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5C" w:rsidRDefault="008D2C95">
      <w:pPr>
        <w:pStyle w:val="WA"/>
      </w:pPr>
      <w:bookmarkStart w:id="0" w:name="UpToHere"/>
      <w:bookmarkStart w:id="1" w:name="_GoBack"/>
      <w:bookmarkEnd w:id="0"/>
      <w:bookmarkEnd w:id="1"/>
      <w:r>
        <w:t>Western Australia</w:t>
      </w:r>
    </w:p>
    <w:p w:rsidR="0033205C" w:rsidRDefault="008D2C95">
      <w:pPr>
        <w:pStyle w:val="NameofActRegPage1"/>
        <w:spacing w:before="3760" w:after="4200"/>
        <w:ind w:left="567" w:right="476"/>
      </w:pPr>
      <w:r>
        <w:fldChar w:fldCharType="begin"/>
      </w:r>
      <w:r>
        <w:instrText xml:space="preserve"> STYLEREF "Name Of Act/Reg"</w:instrText>
      </w:r>
      <w:r>
        <w:fldChar w:fldCharType="separate"/>
      </w:r>
      <w:r w:rsidR="00886AFB">
        <w:rPr>
          <w:noProof/>
        </w:rPr>
        <w:t>The Bank of Adelaide (Merger) Act 1980</w:t>
      </w:r>
      <w:r>
        <w:fldChar w:fldCharType="end"/>
      </w:r>
    </w:p>
    <w:p w:rsidR="0033205C" w:rsidRDefault="0033205C">
      <w:pPr>
        <w:jc w:val="center"/>
        <w:rPr>
          <w:b/>
        </w:rPr>
        <w:sectPr w:rsidR="0033205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205C" w:rsidRDefault="008D2C95">
      <w:pPr>
        <w:pStyle w:val="WA"/>
      </w:pPr>
      <w:r>
        <w:lastRenderedPageBreak/>
        <w:t>Western Australia</w:t>
      </w:r>
    </w:p>
    <w:p w:rsidR="0033205C" w:rsidRDefault="008D2C95">
      <w:pPr>
        <w:pStyle w:val="NameofActRegPage1"/>
      </w:pPr>
      <w:r>
        <w:fldChar w:fldCharType="begin"/>
      </w:r>
      <w:r>
        <w:instrText xml:space="preserve"> STYLEREF "Name Of Act/Reg"</w:instrText>
      </w:r>
      <w:r>
        <w:fldChar w:fldCharType="separate"/>
      </w:r>
      <w:r w:rsidR="00886AFB">
        <w:rPr>
          <w:noProof/>
        </w:rPr>
        <w:t>The Bank of Adelaide (Merger) Act 1980</w:t>
      </w:r>
      <w:r>
        <w:fldChar w:fldCharType="end"/>
      </w:r>
    </w:p>
    <w:p w:rsidR="0033205C" w:rsidRDefault="008D2C95">
      <w:pPr>
        <w:pStyle w:val="Arrangement"/>
      </w:pPr>
      <w:r>
        <w:t>CONTENTS</w:t>
      </w:r>
    </w:p>
    <w:p w:rsidR="0033205C" w:rsidRDefault="008D2C9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_Toc267664473 \h </w:instrText>
      </w:r>
      <w:r>
        <w:fldChar w:fldCharType="separate"/>
      </w:r>
      <w:r w:rsidR="00886AFB">
        <w:t>1</w:t>
      </w:r>
      <w:r>
        <w:fldChar w:fldCharType="end"/>
      </w:r>
    </w:p>
    <w:p w:rsidR="0033205C" w:rsidRDefault="008D2C9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_Toc267664474 \h </w:instrText>
      </w:r>
      <w:r>
        <w:fldChar w:fldCharType="separate"/>
      </w:r>
      <w:r w:rsidR="00886AFB">
        <w:t>2</w:t>
      </w:r>
      <w:r>
        <w:fldChar w:fldCharType="end"/>
      </w:r>
    </w:p>
    <w:p w:rsidR="0033205C" w:rsidRDefault="008D2C9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_Toc267664475 \h </w:instrText>
      </w:r>
      <w:r>
        <w:fldChar w:fldCharType="separate"/>
      </w:r>
      <w:r w:rsidR="00886AFB">
        <w:t>2</w:t>
      </w:r>
      <w:r>
        <w:fldChar w:fldCharType="end"/>
      </w:r>
    </w:p>
    <w:p w:rsidR="0033205C" w:rsidRDefault="008D2C95">
      <w:pPr>
        <w:pStyle w:val="TOC8"/>
        <w:rPr>
          <w:sz w:val="24"/>
          <w:szCs w:val="24"/>
        </w:rPr>
      </w:pPr>
      <w:r>
        <w:rPr>
          <w:szCs w:val="24"/>
        </w:rPr>
        <w:t>4</w:t>
      </w:r>
      <w:r>
        <w:rPr>
          <w:snapToGrid w:val="0"/>
          <w:szCs w:val="24"/>
        </w:rPr>
        <w:t>.</w:t>
      </w:r>
      <w:r>
        <w:rPr>
          <w:snapToGrid w:val="0"/>
          <w:szCs w:val="24"/>
        </w:rPr>
        <w:tab/>
        <w:t>Crown to be bound</w:t>
      </w:r>
      <w:r>
        <w:tab/>
      </w:r>
      <w:r>
        <w:fldChar w:fldCharType="begin"/>
      </w:r>
      <w:r>
        <w:instrText xml:space="preserve"> PAGEREF _Toc267664476 \h </w:instrText>
      </w:r>
      <w:r>
        <w:fldChar w:fldCharType="separate"/>
      </w:r>
      <w:r w:rsidR="00886AFB">
        <w:t>3</w:t>
      </w:r>
      <w:r>
        <w:fldChar w:fldCharType="end"/>
      </w:r>
    </w:p>
    <w:p w:rsidR="0033205C" w:rsidRDefault="008D2C95">
      <w:pPr>
        <w:pStyle w:val="TOC8"/>
        <w:rPr>
          <w:sz w:val="24"/>
          <w:szCs w:val="24"/>
        </w:rPr>
      </w:pPr>
      <w:r>
        <w:rPr>
          <w:szCs w:val="24"/>
        </w:rPr>
        <w:t>5</w:t>
      </w:r>
      <w:r>
        <w:rPr>
          <w:snapToGrid w:val="0"/>
          <w:szCs w:val="24"/>
        </w:rPr>
        <w:t>.</w:t>
      </w:r>
      <w:r>
        <w:rPr>
          <w:snapToGrid w:val="0"/>
          <w:szCs w:val="24"/>
        </w:rPr>
        <w:tab/>
        <w:t>Vesting of undertakings of merging banks</w:t>
      </w:r>
      <w:r>
        <w:tab/>
      </w:r>
      <w:r>
        <w:fldChar w:fldCharType="begin"/>
      </w:r>
      <w:r>
        <w:instrText xml:space="preserve"> PAGEREF _Toc267664477 \h </w:instrText>
      </w:r>
      <w:r>
        <w:fldChar w:fldCharType="separate"/>
      </w:r>
      <w:r w:rsidR="00886AFB">
        <w:t>3</w:t>
      </w:r>
      <w:r>
        <w:fldChar w:fldCharType="end"/>
      </w:r>
    </w:p>
    <w:p w:rsidR="0033205C" w:rsidRDefault="008D2C95">
      <w:pPr>
        <w:pStyle w:val="TOC8"/>
        <w:rPr>
          <w:sz w:val="24"/>
          <w:szCs w:val="24"/>
        </w:rPr>
      </w:pPr>
      <w:r>
        <w:rPr>
          <w:szCs w:val="24"/>
        </w:rPr>
        <w:t>6</w:t>
      </w:r>
      <w:r>
        <w:rPr>
          <w:snapToGrid w:val="0"/>
          <w:szCs w:val="24"/>
        </w:rPr>
        <w:t>.</w:t>
      </w:r>
      <w:r>
        <w:rPr>
          <w:snapToGrid w:val="0"/>
          <w:szCs w:val="24"/>
        </w:rPr>
        <w:tab/>
        <w:t>Transitional trading banks</w:t>
      </w:r>
      <w:r>
        <w:tab/>
      </w:r>
      <w:r>
        <w:fldChar w:fldCharType="begin"/>
      </w:r>
      <w:r>
        <w:instrText xml:space="preserve"> PAGEREF _Toc267664478 \h </w:instrText>
      </w:r>
      <w:r>
        <w:fldChar w:fldCharType="separate"/>
      </w:r>
      <w:r w:rsidR="00886AFB">
        <w:t>4</w:t>
      </w:r>
      <w:r>
        <w:fldChar w:fldCharType="end"/>
      </w:r>
    </w:p>
    <w:p w:rsidR="0033205C" w:rsidRDefault="008D2C95">
      <w:pPr>
        <w:pStyle w:val="TOC8"/>
        <w:rPr>
          <w:sz w:val="24"/>
          <w:szCs w:val="24"/>
        </w:rPr>
      </w:pPr>
      <w:r>
        <w:rPr>
          <w:szCs w:val="24"/>
        </w:rPr>
        <w:t>7</w:t>
      </w:r>
      <w:r>
        <w:rPr>
          <w:snapToGrid w:val="0"/>
          <w:szCs w:val="24"/>
        </w:rPr>
        <w:t>.</w:t>
      </w:r>
      <w:r>
        <w:rPr>
          <w:snapToGrid w:val="0"/>
          <w:szCs w:val="24"/>
        </w:rPr>
        <w:tab/>
        <w:t>Transitional savings banks</w:t>
      </w:r>
      <w:r>
        <w:tab/>
      </w:r>
      <w:r>
        <w:fldChar w:fldCharType="begin"/>
      </w:r>
      <w:r>
        <w:instrText xml:space="preserve"> PAGEREF _Toc267664479 \h </w:instrText>
      </w:r>
      <w:r>
        <w:fldChar w:fldCharType="separate"/>
      </w:r>
      <w:r w:rsidR="00886AFB">
        <w:t>5</w:t>
      </w:r>
      <w:r>
        <w:fldChar w:fldCharType="end"/>
      </w:r>
    </w:p>
    <w:p w:rsidR="0033205C" w:rsidRDefault="008D2C95">
      <w:pPr>
        <w:pStyle w:val="TOC8"/>
        <w:rPr>
          <w:sz w:val="24"/>
          <w:szCs w:val="24"/>
        </w:rPr>
      </w:pPr>
      <w:r>
        <w:rPr>
          <w:szCs w:val="24"/>
        </w:rPr>
        <w:t>8</w:t>
      </w:r>
      <w:r>
        <w:rPr>
          <w:snapToGrid w:val="0"/>
          <w:szCs w:val="24"/>
        </w:rPr>
        <w:t>.</w:t>
      </w:r>
      <w:r>
        <w:rPr>
          <w:snapToGrid w:val="0"/>
          <w:szCs w:val="24"/>
        </w:rPr>
        <w:tab/>
        <w:t>Assignment and subletting of leases</w:t>
      </w:r>
      <w:r>
        <w:tab/>
      </w:r>
      <w:r>
        <w:fldChar w:fldCharType="begin"/>
      </w:r>
      <w:r>
        <w:instrText xml:space="preserve"> PAGEREF _Toc267664480 \h </w:instrText>
      </w:r>
      <w:r>
        <w:fldChar w:fldCharType="separate"/>
      </w:r>
      <w:r w:rsidR="00886AFB">
        <w:t>6</w:t>
      </w:r>
      <w:r>
        <w:fldChar w:fldCharType="end"/>
      </w:r>
    </w:p>
    <w:p w:rsidR="0033205C" w:rsidRDefault="008D2C95">
      <w:pPr>
        <w:pStyle w:val="TOC8"/>
        <w:rPr>
          <w:sz w:val="24"/>
          <w:szCs w:val="24"/>
        </w:rPr>
      </w:pPr>
      <w:r>
        <w:rPr>
          <w:szCs w:val="24"/>
        </w:rPr>
        <w:t>9</w:t>
      </w:r>
      <w:r>
        <w:rPr>
          <w:snapToGrid w:val="0"/>
          <w:szCs w:val="24"/>
        </w:rPr>
        <w:t>.</w:t>
      </w:r>
      <w:r>
        <w:rPr>
          <w:snapToGrid w:val="0"/>
          <w:szCs w:val="24"/>
        </w:rPr>
        <w:tab/>
        <w:t>Continuity of legal proceedings</w:t>
      </w:r>
      <w:r>
        <w:tab/>
      </w:r>
      <w:r>
        <w:fldChar w:fldCharType="begin"/>
      </w:r>
      <w:r>
        <w:instrText xml:space="preserve"> PAGEREF _Toc267664481 \h </w:instrText>
      </w:r>
      <w:r>
        <w:fldChar w:fldCharType="separate"/>
      </w:r>
      <w:r w:rsidR="00886AFB">
        <w:t>6</w:t>
      </w:r>
      <w:r>
        <w:fldChar w:fldCharType="end"/>
      </w:r>
    </w:p>
    <w:p w:rsidR="0033205C" w:rsidRDefault="008D2C95">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_Toc267664482 \h </w:instrText>
      </w:r>
      <w:r>
        <w:fldChar w:fldCharType="separate"/>
      </w:r>
      <w:r w:rsidR="00886AFB">
        <w:t>7</w:t>
      </w:r>
      <w:r>
        <w:fldChar w:fldCharType="end"/>
      </w:r>
    </w:p>
    <w:p w:rsidR="0033205C" w:rsidRDefault="008D2C95">
      <w:pPr>
        <w:pStyle w:val="TOC8"/>
        <w:rPr>
          <w:sz w:val="24"/>
          <w:szCs w:val="24"/>
        </w:rPr>
      </w:pPr>
      <w:r>
        <w:rPr>
          <w:szCs w:val="24"/>
        </w:rPr>
        <w:t>11</w:t>
      </w:r>
      <w:r>
        <w:rPr>
          <w:snapToGrid w:val="0"/>
          <w:szCs w:val="24"/>
        </w:rPr>
        <w:t>.</w:t>
      </w:r>
      <w:r>
        <w:rPr>
          <w:snapToGrid w:val="0"/>
          <w:szCs w:val="24"/>
        </w:rPr>
        <w:tab/>
        <w:t>Officers and employees</w:t>
      </w:r>
      <w:r>
        <w:tab/>
      </w:r>
      <w:r>
        <w:fldChar w:fldCharType="begin"/>
      </w:r>
      <w:r>
        <w:instrText xml:space="preserve"> PAGEREF _Toc267664483 \h </w:instrText>
      </w:r>
      <w:r>
        <w:fldChar w:fldCharType="separate"/>
      </w:r>
      <w:r w:rsidR="00886AFB">
        <w:t>7</w:t>
      </w:r>
      <w:r>
        <w:fldChar w:fldCharType="end"/>
      </w:r>
    </w:p>
    <w:p w:rsidR="0033205C" w:rsidRDefault="008D2C95">
      <w:pPr>
        <w:pStyle w:val="TOC8"/>
        <w:rPr>
          <w:sz w:val="24"/>
          <w:szCs w:val="24"/>
        </w:rPr>
      </w:pPr>
      <w:r>
        <w:rPr>
          <w:szCs w:val="24"/>
        </w:rPr>
        <w:t>12</w:t>
      </w:r>
      <w:r>
        <w:rPr>
          <w:snapToGrid w:val="0"/>
          <w:szCs w:val="24"/>
        </w:rPr>
        <w:t>.</w:t>
      </w:r>
      <w:r>
        <w:rPr>
          <w:snapToGrid w:val="0"/>
          <w:szCs w:val="24"/>
        </w:rPr>
        <w:tab/>
        <w:t>Registration authority to give effect</w:t>
      </w:r>
      <w:r>
        <w:tab/>
      </w:r>
      <w:r>
        <w:fldChar w:fldCharType="begin"/>
      </w:r>
      <w:r>
        <w:instrText xml:space="preserve"> PAGEREF _Toc267664484 \h </w:instrText>
      </w:r>
      <w:r>
        <w:fldChar w:fldCharType="separate"/>
      </w:r>
      <w:r w:rsidR="00886AFB">
        <w:t>8</w:t>
      </w:r>
      <w:r>
        <w:fldChar w:fldCharType="end"/>
      </w:r>
    </w:p>
    <w:p w:rsidR="0033205C" w:rsidRDefault="008D2C95">
      <w:pPr>
        <w:pStyle w:val="TOC2"/>
        <w:tabs>
          <w:tab w:val="right" w:leader="dot" w:pos="7086"/>
        </w:tabs>
        <w:rPr>
          <w:b w:val="0"/>
          <w:sz w:val="24"/>
          <w:szCs w:val="24"/>
        </w:rPr>
      </w:pPr>
      <w:r>
        <w:rPr>
          <w:szCs w:val="26"/>
        </w:rPr>
        <w:t>Notes</w:t>
      </w:r>
    </w:p>
    <w:p w:rsidR="0033205C" w:rsidRDefault="008D2C95">
      <w:pPr>
        <w:pStyle w:val="TOC8"/>
        <w:rPr>
          <w:sz w:val="24"/>
          <w:szCs w:val="24"/>
        </w:rPr>
      </w:pPr>
      <w:r>
        <w:rPr>
          <w:snapToGrid w:val="0"/>
          <w:szCs w:val="24"/>
        </w:rPr>
        <w:tab/>
        <w:t>Compilation table</w:t>
      </w:r>
      <w:r>
        <w:tab/>
      </w:r>
      <w:r>
        <w:fldChar w:fldCharType="begin"/>
      </w:r>
      <w:r>
        <w:instrText xml:space="preserve"> PAGEREF _Toc267664486 \h </w:instrText>
      </w:r>
      <w:r>
        <w:fldChar w:fldCharType="separate"/>
      </w:r>
      <w:r w:rsidR="00886AFB">
        <w:t>9</w:t>
      </w:r>
      <w:r>
        <w:fldChar w:fldCharType="end"/>
      </w:r>
    </w:p>
    <w:p w:rsidR="0033205C" w:rsidRDefault="008D2C95">
      <w:pPr>
        <w:pStyle w:val="TOC8"/>
        <w:rPr>
          <w:sz w:val="24"/>
        </w:rPr>
      </w:pPr>
      <w:r>
        <w:tab/>
        <w:t>Provisions that have not come into operation</w:t>
      </w:r>
      <w:r>
        <w:tab/>
      </w:r>
      <w:r>
        <w:fldChar w:fldCharType="begin"/>
      </w:r>
      <w:r>
        <w:instrText xml:space="preserve"> PAGEREF _Toc267664487 \h </w:instrText>
      </w:r>
      <w:r>
        <w:fldChar w:fldCharType="separate"/>
      </w:r>
      <w:r w:rsidR="00886AFB">
        <w:t>9</w:t>
      </w:r>
      <w:r>
        <w:fldChar w:fldCharType="end"/>
      </w:r>
    </w:p>
    <w:p w:rsidR="0033205C" w:rsidRDefault="008D2C95">
      <w:pPr>
        <w:pStyle w:val="TOC4"/>
      </w:pPr>
      <w:r>
        <w:fldChar w:fldCharType="end"/>
      </w:r>
    </w:p>
    <w:p w:rsidR="0033205C" w:rsidRDefault="008D2C9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3205C" w:rsidRDefault="0033205C">
      <w:pPr>
        <w:pStyle w:val="NoteHeading"/>
        <w:sectPr w:rsidR="0033205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3205C" w:rsidRDefault="008D2C95">
      <w:pPr>
        <w:pStyle w:val="WA"/>
      </w:pPr>
      <w:r>
        <w:t>Western Australia</w:t>
      </w:r>
    </w:p>
    <w:p w:rsidR="0033205C" w:rsidRDefault="008D2C95">
      <w:pPr>
        <w:pStyle w:val="NameofActReg"/>
      </w:pPr>
      <w:r>
        <w:t xml:space="preserve">The Bank of Adelaide (Merger) Act 1980 </w:t>
      </w:r>
    </w:p>
    <w:p w:rsidR="0033205C" w:rsidRDefault="008D2C95">
      <w:pPr>
        <w:pStyle w:val="LongTitle"/>
        <w:rPr>
          <w:snapToGrid w:val="0"/>
        </w:rPr>
      </w:pPr>
      <w:r>
        <w:rPr>
          <w:snapToGrid w:val="0"/>
        </w:rPr>
        <w:t xml:space="preserve">An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rsidR="0033205C" w:rsidRDefault="0033205C">
      <w:pPr>
        <w:pStyle w:val="Preamble1"/>
        <w:rPr>
          <w:snapToGrid w:val="0"/>
        </w:rPr>
      </w:pPr>
    </w:p>
    <w:p w:rsidR="0033205C" w:rsidRDefault="008D2C95">
      <w:pPr>
        <w:pStyle w:val="Preamble2"/>
        <w:rPr>
          <w:snapToGrid w:val="0"/>
        </w:rPr>
      </w:pPr>
      <w:r>
        <w:rPr>
          <w:snapToGrid w:val="0"/>
        </w:rPr>
        <w:t>WHEREAS The Bank of Adelaide became a wholly owned subsidiary of the Australia and New Zealand Banking Group Limited in pursuance of a scheme of arrangement having effect from 30 November 1979:</w:t>
      </w:r>
    </w:p>
    <w:p w:rsidR="0033205C" w:rsidRDefault="008D2C95">
      <w:pPr>
        <w:pStyle w:val="Preamble2"/>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rsidR="0033205C" w:rsidRDefault="008D2C95">
      <w:pPr>
        <w:pStyle w:val="Preamble2"/>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rsidR="0033205C" w:rsidRDefault="008D2C95">
      <w:pPr>
        <w:pStyle w:val="Preamble2"/>
        <w:rPr>
          <w:snapToGrid w:val="0"/>
        </w:rPr>
      </w:pPr>
      <w:r>
        <w:rPr>
          <w:snapToGrid w:val="0"/>
        </w:rPr>
        <w:t>AND WHEREAS it is expedient that the transfers be effected by Act of the Parliament:</w:t>
      </w:r>
    </w:p>
    <w:p w:rsidR="0033205C" w:rsidRDefault="008D2C95">
      <w:pPr>
        <w:pStyle w:val="Heading5"/>
        <w:rPr>
          <w:snapToGrid w:val="0"/>
        </w:rPr>
      </w:pPr>
      <w:bookmarkStart w:id="2" w:name="_Toc411763155"/>
      <w:bookmarkStart w:id="3" w:name="_Toc9669918"/>
      <w:bookmarkStart w:id="4" w:name="_Toc13562856"/>
      <w:bookmarkStart w:id="5" w:name="_Toc125363875"/>
      <w:bookmarkStart w:id="6" w:name="_Toc26766447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33205C" w:rsidRDefault="008D2C95">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rsidR="0033205C" w:rsidRDefault="008D2C95">
      <w:pPr>
        <w:pStyle w:val="Heading5"/>
        <w:rPr>
          <w:snapToGrid w:val="0"/>
        </w:rPr>
      </w:pPr>
      <w:bookmarkStart w:id="7" w:name="_Toc411763156"/>
      <w:bookmarkStart w:id="8" w:name="_Toc9669919"/>
      <w:bookmarkStart w:id="9" w:name="_Toc13562857"/>
      <w:bookmarkStart w:id="10" w:name="_Toc125363876"/>
      <w:bookmarkStart w:id="11" w:name="_Toc26766447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33205C" w:rsidRDefault="008D2C95">
      <w:pPr>
        <w:pStyle w:val="Subsection"/>
        <w:rPr>
          <w:snapToGrid w:val="0"/>
        </w:rPr>
      </w:pPr>
      <w:r>
        <w:rPr>
          <w:snapToGrid w:val="0"/>
        </w:rPr>
        <w:tab/>
      </w:r>
      <w:r>
        <w:rPr>
          <w:snapToGrid w:val="0"/>
        </w:rPr>
        <w:tab/>
        <w:t>This Act shall come into operation on 1 October 1980.</w:t>
      </w:r>
    </w:p>
    <w:p w:rsidR="0033205C" w:rsidRDefault="008D2C95">
      <w:pPr>
        <w:pStyle w:val="Heading5"/>
        <w:rPr>
          <w:snapToGrid w:val="0"/>
        </w:rPr>
      </w:pPr>
      <w:bookmarkStart w:id="12" w:name="_Toc411763157"/>
      <w:bookmarkStart w:id="13" w:name="_Toc9669920"/>
      <w:bookmarkStart w:id="14" w:name="_Toc13562858"/>
      <w:bookmarkStart w:id="15" w:name="_Toc125363877"/>
      <w:bookmarkStart w:id="16" w:name="_Toc267664475"/>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33205C" w:rsidRDefault="008D2C95">
      <w:pPr>
        <w:pStyle w:val="Subsection"/>
        <w:rPr>
          <w:snapToGrid w:val="0"/>
        </w:rPr>
      </w:pPr>
      <w:r>
        <w:rPr>
          <w:snapToGrid w:val="0"/>
        </w:rPr>
        <w:tab/>
      </w:r>
      <w:r>
        <w:rPr>
          <w:snapToGrid w:val="0"/>
        </w:rPr>
        <w:tab/>
        <w:t>In this Act, unless the contrary intention appears — </w:t>
      </w:r>
    </w:p>
    <w:p w:rsidR="0033205C" w:rsidRDefault="008D2C95">
      <w:pPr>
        <w:pStyle w:val="Defstart"/>
      </w:pPr>
      <w:r>
        <w:rPr>
          <w:b/>
        </w:rPr>
        <w:tab/>
      </w:r>
      <w:r>
        <w:rPr>
          <w:rStyle w:val="CharDefText"/>
        </w:rPr>
        <w:t>the appointed day</w:t>
      </w:r>
      <w:r>
        <w:t xml:space="preserve"> means the day of the coming into operation of this Act;</w:t>
      </w:r>
    </w:p>
    <w:p w:rsidR="0033205C" w:rsidRDefault="008D2C95">
      <w:pPr>
        <w:pStyle w:val="Defstart"/>
      </w:pPr>
      <w:r>
        <w:rPr>
          <w:b/>
        </w:rPr>
        <w:tab/>
      </w:r>
      <w:r>
        <w:rPr>
          <w:rStyle w:val="CharDefText"/>
        </w:rPr>
        <w:t>ANZ</w:t>
      </w:r>
      <w:r>
        <w:t xml:space="preserve"> means Australia and New Zealand Banking Group Limited;</w:t>
      </w:r>
    </w:p>
    <w:p w:rsidR="0033205C" w:rsidRDefault="008D2C95">
      <w:pPr>
        <w:pStyle w:val="Defstart"/>
      </w:pPr>
      <w:r>
        <w:rPr>
          <w:b/>
        </w:rPr>
        <w:tab/>
      </w:r>
      <w:r>
        <w:rPr>
          <w:rStyle w:val="CharDefText"/>
        </w:rPr>
        <w:t>ANZ Savings Bank</w:t>
      </w:r>
      <w:r>
        <w:t xml:space="preserve"> means Australia and New Zealand Savings Bank Limited;</w:t>
      </w:r>
    </w:p>
    <w:p w:rsidR="0033205C" w:rsidRDefault="008D2C95">
      <w:pPr>
        <w:pStyle w:val="Defstart"/>
      </w:pPr>
      <w:r>
        <w:rPr>
          <w:b/>
        </w:rPr>
        <w:tab/>
      </w:r>
      <w:r>
        <w:rPr>
          <w:rStyle w:val="CharDefText"/>
        </w:rPr>
        <w:t>BOA</w:t>
      </w:r>
      <w:r>
        <w:t xml:space="preserve"> means The Bank of Adelaide;</w:t>
      </w:r>
    </w:p>
    <w:p w:rsidR="0033205C" w:rsidRDefault="008D2C95">
      <w:pPr>
        <w:pStyle w:val="Defstart"/>
      </w:pPr>
      <w:r>
        <w:rPr>
          <w:b/>
        </w:rPr>
        <w:tab/>
      </w:r>
      <w:r>
        <w:rPr>
          <w:rStyle w:val="CharDefText"/>
        </w:rPr>
        <w:t>BOA Savings Bank</w:t>
      </w:r>
      <w:r>
        <w:t xml:space="preserve"> means The Bank of Adelaide Savings Bank Limited;</w:t>
      </w:r>
    </w:p>
    <w:p w:rsidR="0033205C" w:rsidRDefault="008D2C95">
      <w:pPr>
        <w:pStyle w:val="Defstart"/>
      </w:pPr>
      <w:r>
        <w:rPr>
          <w:b/>
        </w:rPr>
        <w:tab/>
      </w:r>
      <w:r>
        <w:rPr>
          <w:rStyle w:val="CharDefText"/>
        </w:rPr>
        <w:t>excluded assets</w:t>
      </w:r>
      <w:r>
        <w:t xml:space="preserve"> means — </w:t>
      </w:r>
    </w:p>
    <w:p w:rsidR="0033205C" w:rsidRDefault="008D2C95">
      <w:pPr>
        <w:pStyle w:val="Defpara"/>
      </w:pPr>
      <w:r>
        <w:tab/>
        <w:t>(a)</w:t>
      </w:r>
      <w:r>
        <w:tab/>
        <w:t xml:space="preserve">documents required to be kept by BOA or BOA Savings Bank pursuant to the </w:t>
      </w:r>
      <w:r>
        <w:rPr>
          <w:i/>
        </w:rPr>
        <w:t>Companies Act 1961 </w:t>
      </w:r>
      <w:r>
        <w:rPr>
          <w:i/>
          <w:vertAlign w:val="superscript"/>
        </w:rPr>
        <w:t>2</w:t>
      </w:r>
      <w:r>
        <w:t xml:space="preserve"> or otherwise by law; and</w:t>
      </w:r>
    </w:p>
    <w:p w:rsidR="0033205C" w:rsidRDefault="008D2C95">
      <w:pPr>
        <w:pStyle w:val="Defpara"/>
      </w:pPr>
      <w:r>
        <w:tab/>
        <w:t>(b)</w:t>
      </w:r>
      <w:r>
        <w:tab/>
        <w:t>land held, immediately before the appointed day, by BOA or BOA Savings Bank otherwise than by way of security;</w:t>
      </w:r>
    </w:p>
    <w:p w:rsidR="0033205C" w:rsidRDefault="008D2C95">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rsidR="0033205C" w:rsidRDefault="008D2C95">
      <w:pPr>
        <w:pStyle w:val="Defstart"/>
      </w:pPr>
      <w:r>
        <w:rPr>
          <w:b/>
        </w:rPr>
        <w:tab/>
      </w:r>
      <w:r>
        <w:rPr>
          <w:rStyle w:val="CharDefText"/>
        </w:rPr>
        <w:t>land</w:t>
      </w:r>
      <w:r>
        <w:t xml:space="preserve"> includes an estate or interest in land, or an interest in respect of land;</w:t>
      </w:r>
    </w:p>
    <w:p w:rsidR="0033205C" w:rsidRDefault="008D2C95">
      <w:pPr>
        <w:pStyle w:val="Defstart"/>
      </w:pPr>
      <w:r>
        <w:rPr>
          <w:b/>
        </w:rPr>
        <w:tab/>
      </w:r>
      <w:r>
        <w:rPr>
          <w:rStyle w:val="CharDefText"/>
        </w:rPr>
        <w:t>legal proceedings</w:t>
      </w:r>
      <w:r>
        <w:t xml:space="preserve"> includes an arbitration;</w:t>
      </w:r>
    </w:p>
    <w:p w:rsidR="0033205C" w:rsidRDefault="008D2C95">
      <w:pPr>
        <w:pStyle w:val="Defstart"/>
      </w:pPr>
      <w:r>
        <w:rPr>
          <w:b/>
        </w:rPr>
        <w:tab/>
      </w:r>
      <w:r>
        <w:rPr>
          <w:rStyle w:val="CharDefText"/>
        </w:rPr>
        <w:t>liabilities</w:t>
      </w:r>
      <w:r>
        <w:t xml:space="preserve"> includes duties and obligations;</w:t>
      </w:r>
    </w:p>
    <w:p w:rsidR="0033205C" w:rsidRDefault="008D2C95">
      <w:pPr>
        <w:pStyle w:val="Defstart"/>
      </w:pPr>
      <w:r>
        <w:rPr>
          <w:b/>
        </w:rPr>
        <w:tab/>
      </w:r>
      <w:r>
        <w:rPr>
          <w:rStyle w:val="CharDefText"/>
        </w:rPr>
        <w:t>the merging trading banks</w:t>
      </w:r>
      <w:r>
        <w:t xml:space="preserve"> means BOA and ANZ;</w:t>
      </w:r>
    </w:p>
    <w:p w:rsidR="0033205C" w:rsidRDefault="008D2C95">
      <w:pPr>
        <w:pStyle w:val="Defstart"/>
      </w:pPr>
      <w:r>
        <w:rPr>
          <w:b/>
        </w:rPr>
        <w:tab/>
      </w:r>
      <w:r>
        <w:rPr>
          <w:rStyle w:val="CharDefText"/>
        </w:rPr>
        <w:t>the merging savings banks</w:t>
      </w:r>
      <w:r>
        <w:t xml:space="preserve"> means BOA Savings Bank and ANZ Savings Bank;</w:t>
      </w:r>
    </w:p>
    <w:p w:rsidR="0033205C" w:rsidRDefault="008D2C95">
      <w:pPr>
        <w:pStyle w:val="Defstart"/>
      </w:pPr>
      <w:r>
        <w:rPr>
          <w:b/>
        </w:rPr>
        <w:tab/>
      </w:r>
      <w:r>
        <w:rPr>
          <w:rStyle w:val="CharDefText"/>
        </w:rPr>
        <w:t>property</w:t>
      </w:r>
      <w:r>
        <w:t xml:space="preserve"> means real and personal property;</w:t>
      </w:r>
    </w:p>
    <w:p w:rsidR="0033205C" w:rsidRDefault="008D2C95">
      <w:pPr>
        <w:pStyle w:val="Defstart"/>
      </w:pPr>
      <w:r>
        <w:rPr>
          <w:b/>
        </w:rPr>
        <w:tab/>
      </w:r>
      <w:r>
        <w:rPr>
          <w:rStyle w:val="CharDefText"/>
        </w:rPr>
        <w:t>rights</w:t>
      </w:r>
      <w:r>
        <w:t xml:space="preserve"> includes powers and privileges;</w:t>
      </w:r>
    </w:p>
    <w:p w:rsidR="0033205C" w:rsidRDefault="008D2C95">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rsidR="0033205C" w:rsidRDefault="008D2C95">
      <w:pPr>
        <w:pStyle w:val="Defstart"/>
      </w:pPr>
      <w:r>
        <w:rPr>
          <w:b/>
        </w:rPr>
        <w:tab/>
      </w:r>
      <w:r>
        <w:rPr>
          <w:rStyle w:val="CharDefText"/>
        </w:rPr>
        <w:t>transferred employee</w:t>
      </w:r>
      <w:r>
        <w:t xml:space="preserve"> means an officer or employee of BOA who becomes an officer or employee of ANZ in pursuance of this Act; </w:t>
      </w:r>
    </w:p>
    <w:p w:rsidR="0033205C" w:rsidRDefault="008D2C95">
      <w:pPr>
        <w:pStyle w:val="Defstart"/>
      </w:pPr>
      <w:r>
        <w:rPr>
          <w:b/>
        </w:rPr>
        <w:tab/>
      </w:r>
      <w:bookmarkStart w:id="17" w:name="endcomma"/>
      <w:bookmarkEnd w:id="17"/>
      <w:r>
        <w:rPr>
          <w:rStyle w:val="CharDefText"/>
        </w:rPr>
        <w:t>undertaking</w:t>
      </w:r>
      <w:r>
        <w:t xml:space="preserve"> </w:t>
      </w:r>
      <w:bookmarkStart w:id="18" w:name="comma"/>
      <w:bookmarkEnd w:id="18"/>
      <w:r>
        <w:t>in relation to BOA or BOA Savings Bank means — </w:t>
      </w:r>
    </w:p>
    <w:p w:rsidR="0033205C" w:rsidRDefault="008D2C95">
      <w:pPr>
        <w:pStyle w:val="Defpara"/>
      </w:pPr>
      <w:r>
        <w:tab/>
        <w:t>(a)</w:t>
      </w:r>
      <w:r>
        <w:tab/>
        <w:t>all property of the relevant bank (apart from excluded assets); and</w:t>
      </w:r>
    </w:p>
    <w:p w:rsidR="0033205C" w:rsidRDefault="008D2C95">
      <w:pPr>
        <w:pStyle w:val="Defpara"/>
      </w:pPr>
      <w:r>
        <w:tab/>
        <w:t>(b)</w:t>
      </w:r>
      <w:r>
        <w:tab/>
        <w:t>all rights and liabilities of the relevant bank (apart from rights and liabilities relating to excluded assets).</w:t>
      </w:r>
    </w:p>
    <w:p w:rsidR="0033205C" w:rsidRDefault="008D2C95">
      <w:pPr>
        <w:pStyle w:val="Heading5"/>
        <w:rPr>
          <w:snapToGrid w:val="0"/>
        </w:rPr>
      </w:pPr>
      <w:bookmarkStart w:id="19" w:name="_Toc411763158"/>
      <w:bookmarkStart w:id="20" w:name="_Toc9669921"/>
      <w:bookmarkStart w:id="21" w:name="_Toc13562859"/>
      <w:bookmarkStart w:id="22" w:name="_Toc125363878"/>
      <w:bookmarkStart w:id="23" w:name="_Toc267664476"/>
      <w:r>
        <w:rPr>
          <w:rStyle w:val="CharSectno"/>
        </w:rPr>
        <w:t>4</w:t>
      </w:r>
      <w:r>
        <w:rPr>
          <w:snapToGrid w:val="0"/>
        </w:rPr>
        <w:t>.</w:t>
      </w:r>
      <w:r>
        <w:rPr>
          <w:snapToGrid w:val="0"/>
        </w:rPr>
        <w:tab/>
        <w:t>Crown to be bound</w:t>
      </w:r>
      <w:bookmarkEnd w:id="19"/>
      <w:bookmarkEnd w:id="20"/>
      <w:bookmarkEnd w:id="21"/>
      <w:bookmarkEnd w:id="22"/>
      <w:bookmarkEnd w:id="23"/>
      <w:r>
        <w:rPr>
          <w:snapToGrid w:val="0"/>
        </w:rPr>
        <w:t xml:space="preserve"> </w:t>
      </w:r>
    </w:p>
    <w:p w:rsidR="0033205C" w:rsidRDefault="008D2C95">
      <w:pPr>
        <w:pStyle w:val="Subsection"/>
        <w:rPr>
          <w:snapToGrid w:val="0"/>
        </w:rPr>
      </w:pPr>
      <w:r>
        <w:rPr>
          <w:snapToGrid w:val="0"/>
        </w:rPr>
        <w:tab/>
      </w:r>
      <w:r>
        <w:rPr>
          <w:snapToGrid w:val="0"/>
        </w:rPr>
        <w:tab/>
        <w:t>This Act binds the Crown.</w:t>
      </w:r>
    </w:p>
    <w:p w:rsidR="0033205C" w:rsidRDefault="008D2C95">
      <w:pPr>
        <w:pStyle w:val="Heading5"/>
        <w:rPr>
          <w:snapToGrid w:val="0"/>
        </w:rPr>
      </w:pPr>
      <w:bookmarkStart w:id="24" w:name="_Toc411763159"/>
      <w:bookmarkStart w:id="25" w:name="_Toc9669922"/>
      <w:bookmarkStart w:id="26" w:name="_Toc13562860"/>
      <w:bookmarkStart w:id="27" w:name="_Toc125363879"/>
      <w:bookmarkStart w:id="28" w:name="_Toc267664477"/>
      <w:r>
        <w:rPr>
          <w:rStyle w:val="CharSectno"/>
        </w:rPr>
        <w:t>5</w:t>
      </w:r>
      <w:r>
        <w:rPr>
          <w:snapToGrid w:val="0"/>
        </w:rPr>
        <w:t>.</w:t>
      </w:r>
      <w:r>
        <w:rPr>
          <w:snapToGrid w:val="0"/>
        </w:rPr>
        <w:tab/>
        <w:t>Vesting of undertakings of merging banks</w:t>
      </w:r>
      <w:bookmarkEnd w:id="24"/>
      <w:bookmarkEnd w:id="25"/>
      <w:bookmarkEnd w:id="26"/>
      <w:bookmarkEnd w:id="27"/>
      <w:bookmarkEnd w:id="28"/>
      <w:r>
        <w:rPr>
          <w:snapToGrid w:val="0"/>
        </w:rPr>
        <w:t xml:space="preserve"> </w:t>
      </w:r>
    </w:p>
    <w:p w:rsidR="0033205C" w:rsidRDefault="008D2C95">
      <w:pPr>
        <w:pStyle w:val="Subsection"/>
        <w:rPr>
          <w:snapToGrid w:val="0"/>
        </w:rPr>
      </w:pPr>
      <w:r>
        <w:rPr>
          <w:snapToGrid w:val="0"/>
        </w:rPr>
        <w:tab/>
        <w:t>(1)</w:t>
      </w:r>
      <w:r>
        <w:rPr>
          <w:snapToGrid w:val="0"/>
        </w:rPr>
        <w:tab/>
        <w:t>On the appointed day — </w:t>
      </w:r>
    </w:p>
    <w:p w:rsidR="0033205C" w:rsidRDefault="008D2C95">
      <w:pPr>
        <w:pStyle w:val="Indenta"/>
        <w:rPr>
          <w:snapToGrid w:val="0"/>
        </w:rPr>
      </w:pPr>
      <w:r>
        <w:rPr>
          <w:snapToGrid w:val="0"/>
        </w:rPr>
        <w:tab/>
        <w:t>(a)</w:t>
      </w:r>
      <w:r>
        <w:rPr>
          <w:snapToGrid w:val="0"/>
        </w:rPr>
        <w:tab/>
        <w:t>the undertaking of BOA is vested in ANZ; and</w:t>
      </w:r>
    </w:p>
    <w:p w:rsidR="0033205C" w:rsidRDefault="008D2C95">
      <w:pPr>
        <w:pStyle w:val="Indenta"/>
        <w:rPr>
          <w:snapToGrid w:val="0"/>
        </w:rPr>
      </w:pPr>
      <w:r>
        <w:rPr>
          <w:snapToGrid w:val="0"/>
        </w:rPr>
        <w:tab/>
        <w:t>(b)</w:t>
      </w:r>
      <w:r>
        <w:rPr>
          <w:snapToGrid w:val="0"/>
        </w:rPr>
        <w:tab/>
        <w:t>the undertaking of BOA Savings Bank is vested in ANZ Savings Bank.</w:t>
      </w:r>
    </w:p>
    <w:p w:rsidR="0033205C" w:rsidRDefault="008D2C95">
      <w:pPr>
        <w:pStyle w:val="Subsection"/>
        <w:rPr>
          <w:snapToGrid w:val="0"/>
        </w:rPr>
      </w:pPr>
      <w:r>
        <w:rPr>
          <w:snapToGrid w:val="0"/>
        </w:rPr>
        <w:tab/>
        <w:t>(2)</w:t>
      </w:r>
      <w:r>
        <w:rPr>
          <w:snapToGrid w:val="0"/>
        </w:rPr>
        <w:tab/>
        <w:t>On and after the appointed day — </w:t>
      </w:r>
    </w:p>
    <w:p w:rsidR="0033205C" w:rsidRDefault="008D2C95">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rsidR="0033205C" w:rsidRDefault="008D2C95">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rsidR="0033205C" w:rsidRDefault="008D2C95">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rsidR="0033205C" w:rsidRDefault="008D2C95">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rsidR="0033205C" w:rsidRDefault="008D2C95">
      <w:pPr>
        <w:pStyle w:val="Heading5"/>
        <w:rPr>
          <w:snapToGrid w:val="0"/>
        </w:rPr>
      </w:pPr>
      <w:bookmarkStart w:id="29" w:name="_Toc411763160"/>
      <w:bookmarkStart w:id="30" w:name="_Toc9669923"/>
      <w:bookmarkStart w:id="31" w:name="_Toc13562861"/>
      <w:bookmarkStart w:id="32" w:name="_Toc125363880"/>
      <w:bookmarkStart w:id="33" w:name="_Toc267664478"/>
      <w:r>
        <w:rPr>
          <w:rStyle w:val="CharSectno"/>
        </w:rPr>
        <w:t>6</w:t>
      </w:r>
      <w:r>
        <w:rPr>
          <w:snapToGrid w:val="0"/>
        </w:rPr>
        <w:t>.</w:t>
      </w:r>
      <w:r>
        <w:rPr>
          <w:snapToGrid w:val="0"/>
        </w:rPr>
        <w:tab/>
        <w:t>Transitional trading banks</w:t>
      </w:r>
      <w:bookmarkEnd w:id="29"/>
      <w:bookmarkEnd w:id="30"/>
      <w:bookmarkEnd w:id="31"/>
      <w:bookmarkEnd w:id="32"/>
      <w:bookmarkEnd w:id="33"/>
      <w:r>
        <w:rPr>
          <w:snapToGrid w:val="0"/>
        </w:rPr>
        <w:t xml:space="preserve"> </w:t>
      </w:r>
    </w:p>
    <w:p w:rsidR="0033205C" w:rsidRDefault="008D2C95">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33205C" w:rsidRDefault="008D2C95">
      <w:pPr>
        <w:pStyle w:val="Indenta"/>
        <w:rPr>
          <w:snapToGrid w:val="0"/>
        </w:rPr>
      </w:pPr>
      <w:r>
        <w:rPr>
          <w:snapToGrid w:val="0"/>
        </w:rPr>
        <w:tab/>
        <w:t>(a)</w:t>
      </w:r>
      <w:r>
        <w:rPr>
          <w:snapToGrid w:val="0"/>
        </w:rPr>
        <w:tab/>
        <w:t>an instruction, mandate or authority given to BOA and subsisting on the appointed day shall be deemed to have been given to ANZ;</w:t>
      </w:r>
    </w:p>
    <w:p w:rsidR="0033205C" w:rsidRDefault="008D2C95">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w:t>
      </w:r>
    </w:p>
    <w:p w:rsidR="0033205C" w:rsidRDefault="008D2C95">
      <w:pPr>
        <w:pStyle w:val="Indenta"/>
        <w:rPr>
          <w:snapToGrid w:val="0"/>
        </w:rPr>
      </w:pPr>
      <w:r>
        <w:rPr>
          <w:snapToGrid w:val="0"/>
        </w:rPr>
        <w:tab/>
        <w:t>(c)</w:t>
      </w:r>
      <w:r>
        <w:rPr>
          <w:snapToGrid w:val="0"/>
        </w:rPr>
        <w:tab/>
        <w:t>all the rights and obligations of BOA as bailee of documents or chattels shall be transferred to and assumed by ANZ;</w:t>
      </w:r>
    </w:p>
    <w:p w:rsidR="0033205C" w:rsidRDefault="008D2C95">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rsidR="0033205C" w:rsidRDefault="008D2C95">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rsidR="0033205C" w:rsidRDefault="008D2C95">
      <w:pPr>
        <w:pStyle w:val="Heading5"/>
        <w:rPr>
          <w:snapToGrid w:val="0"/>
        </w:rPr>
      </w:pPr>
      <w:bookmarkStart w:id="34" w:name="_Toc411763161"/>
      <w:bookmarkStart w:id="35" w:name="_Toc9669924"/>
      <w:bookmarkStart w:id="36" w:name="_Toc13562862"/>
      <w:bookmarkStart w:id="37" w:name="_Toc125363881"/>
      <w:bookmarkStart w:id="38" w:name="_Toc267664479"/>
      <w:r>
        <w:rPr>
          <w:rStyle w:val="CharSectno"/>
        </w:rPr>
        <w:t>7</w:t>
      </w:r>
      <w:r>
        <w:rPr>
          <w:snapToGrid w:val="0"/>
        </w:rPr>
        <w:t>.</w:t>
      </w:r>
      <w:r>
        <w:rPr>
          <w:snapToGrid w:val="0"/>
        </w:rPr>
        <w:tab/>
        <w:t>Transitional savings banks</w:t>
      </w:r>
      <w:bookmarkEnd w:id="34"/>
      <w:bookmarkEnd w:id="35"/>
      <w:bookmarkEnd w:id="36"/>
      <w:bookmarkEnd w:id="37"/>
      <w:bookmarkEnd w:id="38"/>
      <w:r>
        <w:rPr>
          <w:snapToGrid w:val="0"/>
        </w:rPr>
        <w:t xml:space="preserve"> </w:t>
      </w:r>
    </w:p>
    <w:p w:rsidR="0033205C" w:rsidRDefault="008D2C95">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33205C" w:rsidRDefault="008D2C95">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w:t>
      </w:r>
    </w:p>
    <w:p w:rsidR="0033205C" w:rsidRDefault="008D2C95">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w:t>
      </w:r>
    </w:p>
    <w:p w:rsidR="0033205C" w:rsidRDefault="008D2C95">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w:t>
      </w:r>
    </w:p>
    <w:p w:rsidR="0033205C" w:rsidRDefault="008D2C95">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rsidR="0033205C" w:rsidRDefault="008D2C95">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rsidR="0033205C" w:rsidRDefault="008D2C95">
      <w:pPr>
        <w:pStyle w:val="Heading5"/>
        <w:rPr>
          <w:snapToGrid w:val="0"/>
        </w:rPr>
      </w:pPr>
      <w:bookmarkStart w:id="39" w:name="_Toc411763162"/>
      <w:bookmarkStart w:id="40" w:name="_Toc9669925"/>
      <w:bookmarkStart w:id="41" w:name="_Toc13562863"/>
      <w:bookmarkStart w:id="42" w:name="_Toc125363882"/>
      <w:bookmarkStart w:id="43" w:name="_Toc267664480"/>
      <w:r>
        <w:rPr>
          <w:rStyle w:val="CharSectno"/>
        </w:rPr>
        <w:t>8</w:t>
      </w:r>
      <w:r>
        <w:rPr>
          <w:snapToGrid w:val="0"/>
        </w:rPr>
        <w:t>.</w:t>
      </w:r>
      <w:r>
        <w:rPr>
          <w:snapToGrid w:val="0"/>
        </w:rPr>
        <w:tab/>
        <w:t>Assignment and subletting of leases</w:t>
      </w:r>
      <w:bookmarkEnd w:id="39"/>
      <w:bookmarkEnd w:id="40"/>
      <w:bookmarkEnd w:id="41"/>
      <w:bookmarkEnd w:id="42"/>
      <w:bookmarkEnd w:id="43"/>
      <w:r>
        <w:rPr>
          <w:snapToGrid w:val="0"/>
        </w:rPr>
        <w:t xml:space="preserve"> </w:t>
      </w:r>
    </w:p>
    <w:p w:rsidR="0033205C" w:rsidRDefault="008D2C95">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rsidR="0033205C" w:rsidRDefault="008D2C95">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rsidR="0033205C" w:rsidRDefault="008D2C95">
      <w:pPr>
        <w:pStyle w:val="Heading5"/>
        <w:rPr>
          <w:snapToGrid w:val="0"/>
        </w:rPr>
      </w:pPr>
      <w:bookmarkStart w:id="44" w:name="_Toc411763163"/>
      <w:bookmarkStart w:id="45" w:name="_Toc9669926"/>
      <w:bookmarkStart w:id="46" w:name="_Toc13562864"/>
      <w:bookmarkStart w:id="47" w:name="_Toc125363883"/>
      <w:bookmarkStart w:id="48" w:name="_Toc267664481"/>
      <w:r>
        <w:rPr>
          <w:rStyle w:val="CharSectno"/>
        </w:rPr>
        <w:t>9</w:t>
      </w:r>
      <w:r>
        <w:rPr>
          <w:snapToGrid w:val="0"/>
        </w:rPr>
        <w:t>.</w:t>
      </w:r>
      <w:r>
        <w:rPr>
          <w:snapToGrid w:val="0"/>
        </w:rPr>
        <w:tab/>
        <w:t>Continuity of legal proceedings</w:t>
      </w:r>
      <w:bookmarkEnd w:id="44"/>
      <w:bookmarkEnd w:id="45"/>
      <w:bookmarkEnd w:id="46"/>
      <w:bookmarkEnd w:id="47"/>
      <w:bookmarkEnd w:id="48"/>
      <w:r>
        <w:rPr>
          <w:snapToGrid w:val="0"/>
        </w:rPr>
        <w:t xml:space="preserve"> </w:t>
      </w:r>
    </w:p>
    <w:p w:rsidR="0033205C" w:rsidRDefault="008D2C95">
      <w:pPr>
        <w:pStyle w:val="Subsection"/>
        <w:keepNext/>
        <w:keepLines/>
        <w:rPr>
          <w:snapToGrid w:val="0"/>
        </w:rPr>
      </w:pPr>
      <w:r>
        <w:rPr>
          <w:snapToGrid w:val="0"/>
        </w:rPr>
        <w:tab/>
        <w:t>(1)</w:t>
      </w:r>
      <w:r>
        <w:rPr>
          <w:snapToGrid w:val="0"/>
        </w:rPr>
        <w:tab/>
        <w:t>While BOA remains a subsidiary of ANZ — </w:t>
      </w:r>
    </w:p>
    <w:p w:rsidR="0033205C" w:rsidRDefault="008D2C95">
      <w:pPr>
        <w:pStyle w:val="Indenta"/>
        <w:rPr>
          <w:snapToGrid w:val="0"/>
        </w:rPr>
      </w:pPr>
      <w:r>
        <w:rPr>
          <w:snapToGrid w:val="0"/>
        </w:rPr>
        <w:tab/>
        <w:t>(a)</w:t>
      </w:r>
      <w:r>
        <w:rPr>
          <w:snapToGrid w:val="0"/>
        </w:rPr>
        <w:tab/>
        <w:t>where either of the merging trading banks is served with a document the other shall be deemed to have been served as well;</w:t>
      </w:r>
    </w:p>
    <w:p w:rsidR="0033205C" w:rsidRDefault="008D2C95">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rsidR="0033205C" w:rsidRDefault="008D2C95">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rsidR="0033205C" w:rsidRDefault="008D2C95">
      <w:pPr>
        <w:pStyle w:val="Subsection"/>
        <w:rPr>
          <w:snapToGrid w:val="0"/>
        </w:rPr>
      </w:pPr>
      <w:r>
        <w:rPr>
          <w:snapToGrid w:val="0"/>
        </w:rPr>
        <w:tab/>
        <w:t>(2)</w:t>
      </w:r>
      <w:r>
        <w:rPr>
          <w:snapToGrid w:val="0"/>
        </w:rPr>
        <w:tab/>
        <w:t>While BOA Savings Bank remains a subsidiary of ANZ — </w:t>
      </w:r>
    </w:p>
    <w:p w:rsidR="0033205C" w:rsidRDefault="008D2C95">
      <w:pPr>
        <w:pStyle w:val="Indenta"/>
        <w:rPr>
          <w:snapToGrid w:val="0"/>
        </w:rPr>
      </w:pPr>
      <w:r>
        <w:rPr>
          <w:snapToGrid w:val="0"/>
        </w:rPr>
        <w:tab/>
        <w:t>(a)</w:t>
      </w:r>
      <w:r>
        <w:rPr>
          <w:snapToGrid w:val="0"/>
        </w:rPr>
        <w:tab/>
        <w:t>where either of the merging savings banks is served with a document the other shall be deemed to have been served as well;</w:t>
      </w:r>
    </w:p>
    <w:p w:rsidR="0033205C" w:rsidRDefault="008D2C95">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rsidR="0033205C" w:rsidRDefault="008D2C95">
      <w:pPr>
        <w:pStyle w:val="Indenta"/>
        <w:rPr>
          <w:snapToGrid w:val="0"/>
        </w:rPr>
      </w:pPr>
      <w:r>
        <w:rPr>
          <w:snapToGrid w:val="0"/>
        </w:rPr>
        <w:tab/>
        <w:t>(c)</w:t>
      </w:r>
      <w:r>
        <w:rPr>
          <w:snapToGrid w:val="0"/>
        </w:rPr>
        <w:tab/>
        <w:t>a judgment or order obtained by or against either of the merging savings banks may be enforced by or against the other.</w:t>
      </w:r>
    </w:p>
    <w:p w:rsidR="0033205C" w:rsidRDefault="008D2C95">
      <w:pPr>
        <w:pStyle w:val="Heading5"/>
        <w:rPr>
          <w:snapToGrid w:val="0"/>
        </w:rPr>
      </w:pPr>
      <w:bookmarkStart w:id="49" w:name="_Toc411763164"/>
      <w:bookmarkStart w:id="50" w:name="_Toc9669927"/>
      <w:bookmarkStart w:id="51" w:name="_Toc13562865"/>
      <w:bookmarkStart w:id="52" w:name="_Toc125363884"/>
      <w:bookmarkStart w:id="53" w:name="_Toc267664482"/>
      <w:r>
        <w:rPr>
          <w:rStyle w:val="CharSectno"/>
        </w:rPr>
        <w:t>10</w:t>
      </w:r>
      <w:r>
        <w:rPr>
          <w:snapToGrid w:val="0"/>
        </w:rPr>
        <w:t>.</w:t>
      </w:r>
      <w:r>
        <w:rPr>
          <w:snapToGrid w:val="0"/>
        </w:rPr>
        <w:tab/>
        <w:t>Evidence</w:t>
      </w:r>
      <w:bookmarkEnd w:id="49"/>
      <w:bookmarkEnd w:id="50"/>
      <w:bookmarkEnd w:id="51"/>
      <w:bookmarkEnd w:id="52"/>
      <w:bookmarkEnd w:id="53"/>
      <w:r>
        <w:rPr>
          <w:snapToGrid w:val="0"/>
        </w:rPr>
        <w:t xml:space="preserve"> </w:t>
      </w:r>
    </w:p>
    <w:p w:rsidR="0033205C" w:rsidRDefault="008D2C95">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rsidR="0033205C" w:rsidRDefault="008D2C95">
      <w:pPr>
        <w:pStyle w:val="Heading5"/>
        <w:rPr>
          <w:snapToGrid w:val="0"/>
        </w:rPr>
      </w:pPr>
      <w:bookmarkStart w:id="54" w:name="_Toc411763165"/>
      <w:bookmarkStart w:id="55" w:name="_Toc9669928"/>
      <w:bookmarkStart w:id="56" w:name="_Toc13562866"/>
      <w:bookmarkStart w:id="57" w:name="_Toc125363885"/>
      <w:bookmarkStart w:id="58" w:name="_Toc267664483"/>
      <w:r>
        <w:rPr>
          <w:rStyle w:val="CharSectno"/>
        </w:rPr>
        <w:t>11</w:t>
      </w:r>
      <w:r>
        <w:rPr>
          <w:snapToGrid w:val="0"/>
        </w:rPr>
        <w:t>.</w:t>
      </w:r>
      <w:r>
        <w:rPr>
          <w:snapToGrid w:val="0"/>
        </w:rPr>
        <w:tab/>
        <w:t>Officers and employees</w:t>
      </w:r>
      <w:bookmarkEnd w:id="54"/>
      <w:bookmarkEnd w:id="55"/>
      <w:bookmarkEnd w:id="56"/>
      <w:bookmarkEnd w:id="57"/>
      <w:bookmarkEnd w:id="58"/>
      <w:r>
        <w:rPr>
          <w:snapToGrid w:val="0"/>
        </w:rPr>
        <w:t xml:space="preserve"> </w:t>
      </w:r>
    </w:p>
    <w:p w:rsidR="0033205C" w:rsidRDefault="008D2C95">
      <w:pPr>
        <w:pStyle w:val="Subsection"/>
        <w:rPr>
          <w:snapToGrid w:val="0"/>
        </w:rPr>
      </w:pPr>
      <w:r>
        <w:rPr>
          <w:snapToGrid w:val="0"/>
        </w:rPr>
        <w:tab/>
      </w:r>
      <w:r>
        <w:rPr>
          <w:snapToGrid w:val="0"/>
        </w:rPr>
        <w:tab/>
        <w:t>Notwithstanding any other provision of this Act — </w:t>
      </w:r>
    </w:p>
    <w:p w:rsidR="0033205C" w:rsidRDefault="008D2C95">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w:t>
      </w:r>
    </w:p>
    <w:p w:rsidR="0033205C" w:rsidRDefault="008D2C95">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w:t>
      </w:r>
    </w:p>
    <w:p w:rsidR="0033205C" w:rsidRDefault="008D2C95">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rsidR="0033205C" w:rsidRDefault="008D2C95">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rsidR="0033205C" w:rsidRDefault="008D2C95">
      <w:pPr>
        <w:pStyle w:val="Heading5"/>
        <w:rPr>
          <w:snapToGrid w:val="0"/>
        </w:rPr>
      </w:pPr>
      <w:bookmarkStart w:id="59" w:name="_Toc411763166"/>
      <w:bookmarkStart w:id="60" w:name="_Toc9669929"/>
      <w:bookmarkStart w:id="61" w:name="_Toc13562867"/>
      <w:bookmarkStart w:id="62" w:name="_Toc125363886"/>
      <w:bookmarkStart w:id="63" w:name="_Toc267664484"/>
      <w:r>
        <w:rPr>
          <w:rStyle w:val="CharSectno"/>
        </w:rPr>
        <w:t>12</w:t>
      </w:r>
      <w:r>
        <w:rPr>
          <w:snapToGrid w:val="0"/>
        </w:rPr>
        <w:t>.</w:t>
      </w:r>
      <w:r>
        <w:rPr>
          <w:snapToGrid w:val="0"/>
        </w:rPr>
        <w:tab/>
        <w:t>Registration authority to give effect</w:t>
      </w:r>
      <w:bookmarkEnd w:id="59"/>
      <w:bookmarkEnd w:id="60"/>
      <w:bookmarkEnd w:id="61"/>
      <w:bookmarkEnd w:id="62"/>
      <w:bookmarkEnd w:id="63"/>
      <w:r>
        <w:rPr>
          <w:snapToGrid w:val="0"/>
        </w:rPr>
        <w:t xml:space="preserve"> </w:t>
      </w:r>
    </w:p>
    <w:p w:rsidR="0033205C" w:rsidRDefault="008D2C95">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33205C" w:rsidRDefault="0033205C">
      <w:pPr>
        <w:sectPr w:rsidR="0033205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33205C" w:rsidRDefault="008D2C95">
      <w:pPr>
        <w:pStyle w:val="nHeading2"/>
      </w:pPr>
      <w:bookmarkStart w:id="64" w:name="_Toc125363873"/>
      <w:bookmarkStart w:id="65" w:name="_Toc125363887"/>
      <w:bookmarkStart w:id="66" w:name="_Toc267664294"/>
      <w:bookmarkStart w:id="67" w:name="_Toc267664485"/>
      <w:r>
        <w:t>Notes</w:t>
      </w:r>
      <w:bookmarkEnd w:id="64"/>
      <w:bookmarkEnd w:id="65"/>
      <w:bookmarkEnd w:id="66"/>
      <w:bookmarkEnd w:id="67"/>
    </w:p>
    <w:p w:rsidR="0033205C" w:rsidRDefault="008D2C95">
      <w:pPr>
        <w:pStyle w:val="nSubsection"/>
        <w:rPr>
          <w:snapToGrid w:val="0"/>
        </w:rPr>
      </w:pPr>
      <w:r>
        <w:rPr>
          <w:snapToGrid w:val="0"/>
          <w:vertAlign w:val="superscript"/>
        </w:rPr>
        <w:t>1</w:t>
      </w:r>
      <w:r>
        <w:rPr>
          <w:snapToGrid w:val="0"/>
        </w:rPr>
        <w:tab/>
        <w:t xml:space="preserve">This is a compilation of the </w:t>
      </w:r>
      <w:r>
        <w:rPr>
          <w:i/>
          <w:noProof/>
          <w:snapToGrid w:val="0"/>
        </w:rPr>
        <w:t>The Bank of Adelaide (Merger)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3205C" w:rsidRDefault="008D2C95">
      <w:pPr>
        <w:pStyle w:val="nHeading3"/>
        <w:rPr>
          <w:snapToGrid w:val="0"/>
        </w:rPr>
      </w:pPr>
      <w:bookmarkStart w:id="68" w:name="_Toc125363888"/>
      <w:bookmarkStart w:id="69" w:name="_Toc267664486"/>
      <w:r>
        <w:rPr>
          <w:snapToGrid w:val="0"/>
        </w:rPr>
        <w:t>Compilation table</w:t>
      </w:r>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3205C">
        <w:trPr>
          <w:cantSplit/>
          <w:tblHeader/>
        </w:trPr>
        <w:tc>
          <w:tcPr>
            <w:tcW w:w="2268" w:type="dxa"/>
            <w:tcBorders>
              <w:top w:val="single" w:sz="8" w:space="0" w:color="auto"/>
              <w:bottom w:val="single" w:sz="8" w:space="0" w:color="auto"/>
            </w:tcBorders>
          </w:tcPr>
          <w:p w:rsidR="0033205C" w:rsidRDefault="008D2C9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3205C" w:rsidRDefault="008D2C9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205C" w:rsidRDefault="008D2C95">
            <w:pPr>
              <w:pStyle w:val="nTable"/>
              <w:spacing w:after="40"/>
              <w:rPr>
                <w:b/>
                <w:sz w:val="19"/>
              </w:rPr>
            </w:pPr>
            <w:r>
              <w:rPr>
                <w:b/>
                <w:sz w:val="19"/>
              </w:rPr>
              <w:t>Assent</w:t>
            </w:r>
          </w:p>
        </w:tc>
        <w:tc>
          <w:tcPr>
            <w:tcW w:w="2552" w:type="dxa"/>
            <w:tcBorders>
              <w:top w:val="single" w:sz="8" w:space="0" w:color="auto"/>
              <w:bottom w:val="single" w:sz="8" w:space="0" w:color="auto"/>
            </w:tcBorders>
          </w:tcPr>
          <w:p w:rsidR="0033205C" w:rsidRDefault="008D2C95">
            <w:pPr>
              <w:pStyle w:val="nTable"/>
              <w:spacing w:after="40"/>
              <w:rPr>
                <w:b/>
                <w:sz w:val="19"/>
              </w:rPr>
            </w:pPr>
            <w:r>
              <w:rPr>
                <w:b/>
                <w:sz w:val="19"/>
              </w:rPr>
              <w:t>Commencement</w:t>
            </w:r>
          </w:p>
        </w:tc>
      </w:tr>
      <w:tr w:rsidR="0033205C">
        <w:trPr>
          <w:cantSplit/>
        </w:trPr>
        <w:tc>
          <w:tcPr>
            <w:tcW w:w="2268" w:type="dxa"/>
            <w:tcBorders>
              <w:top w:val="single" w:sz="8" w:space="0" w:color="auto"/>
            </w:tcBorders>
          </w:tcPr>
          <w:p w:rsidR="0033205C" w:rsidRDefault="008D2C95">
            <w:pPr>
              <w:pStyle w:val="nTable"/>
              <w:spacing w:after="40"/>
              <w:ind w:right="113"/>
              <w:rPr>
                <w:sz w:val="19"/>
              </w:rPr>
            </w:pPr>
            <w:r>
              <w:rPr>
                <w:i/>
                <w:sz w:val="19"/>
              </w:rPr>
              <w:t>The Bank of Adelaide (Merger) Act 1980</w:t>
            </w:r>
          </w:p>
        </w:tc>
        <w:tc>
          <w:tcPr>
            <w:tcW w:w="1134" w:type="dxa"/>
            <w:tcBorders>
              <w:top w:val="single" w:sz="8" w:space="0" w:color="auto"/>
            </w:tcBorders>
          </w:tcPr>
          <w:p w:rsidR="0033205C" w:rsidRDefault="008D2C95">
            <w:pPr>
              <w:pStyle w:val="nTable"/>
              <w:spacing w:after="40"/>
              <w:rPr>
                <w:sz w:val="19"/>
              </w:rPr>
            </w:pPr>
            <w:r>
              <w:rPr>
                <w:sz w:val="19"/>
              </w:rPr>
              <w:t>6 of 1980</w:t>
            </w:r>
          </w:p>
        </w:tc>
        <w:tc>
          <w:tcPr>
            <w:tcW w:w="1134" w:type="dxa"/>
            <w:tcBorders>
              <w:top w:val="single" w:sz="8" w:space="0" w:color="auto"/>
            </w:tcBorders>
          </w:tcPr>
          <w:p w:rsidR="0033205C" w:rsidRDefault="008D2C95">
            <w:pPr>
              <w:pStyle w:val="nTable"/>
              <w:spacing w:after="40"/>
              <w:rPr>
                <w:sz w:val="19"/>
              </w:rPr>
            </w:pPr>
            <w:r>
              <w:rPr>
                <w:sz w:val="19"/>
              </w:rPr>
              <w:t>23 Sep 1980</w:t>
            </w:r>
          </w:p>
        </w:tc>
        <w:tc>
          <w:tcPr>
            <w:tcW w:w="2552" w:type="dxa"/>
            <w:tcBorders>
              <w:top w:val="single" w:sz="8" w:space="0" w:color="auto"/>
            </w:tcBorders>
          </w:tcPr>
          <w:p w:rsidR="0033205C" w:rsidRDefault="008D2C95">
            <w:pPr>
              <w:pStyle w:val="nTable"/>
              <w:spacing w:after="40"/>
              <w:rPr>
                <w:sz w:val="19"/>
              </w:rPr>
            </w:pPr>
            <w:r>
              <w:rPr>
                <w:sz w:val="19"/>
              </w:rPr>
              <w:t>1 Oct 1980 (see s. 2)</w:t>
            </w:r>
          </w:p>
        </w:tc>
      </w:tr>
      <w:tr w:rsidR="0033205C">
        <w:trPr>
          <w:cantSplit/>
        </w:trPr>
        <w:tc>
          <w:tcPr>
            <w:tcW w:w="7087" w:type="dxa"/>
            <w:gridSpan w:val="4"/>
            <w:tcBorders>
              <w:bottom w:val="single" w:sz="8" w:space="0" w:color="auto"/>
            </w:tcBorders>
          </w:tcPr>
          <w:p w:rsidR="0033205C" w:rsidRDefault="008D2C95">
            <w:pPr>
              <w:pStyle w:val="nTable"/>
              <w:spacing w:after="40"/>
              <w:rPr>
                <w:sz w:val="19"/>
              </w:rPr>
            </w:pPr>
            <w:r>
              <w:rPr>
                <w:b/>
                <w:sz w:val="19"/>
              </w:rPr>
              <w:t xml:space="preserve">Reprint of </w:t>
            </w:r>
            <w:r>
              <w:rPr>
                <w:b/>
                <w:i/>
                <w:sz w:val="19"/>
              </w:rPr>
              <w:t xml:space="preserve">The Bank of Adelaide (Merger) Act 1980 </w:t>
            </w:r>
            <w:r>
              <w:rPr>
                <w:b/>
                <w:sz w:val="19"/>
              </w:rPr>
              <w:t>as at 7 Jun 2002</w:t>
            </w:r>
          </w:p>
        </w:tc>
      </w:tr>
    </w:tbl>
    <w:p w:rsidR="0033205C" w:rsidRDefault="008D2C9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3205C" w:rsidRDefault="008D2C95">
      <w:pPr>
        <w:pStyle w:val="nHeading3"/>
      </w:pPr>
      <w:bookmarkStart w:id="70" w:name="_Toc7405065"/>
      <w:bookmarkStart w:id="71" w:name="_Toc267664487"/>
      <w:r>
        <w:t>Provisions that have not come into operation</w:t>
      </w:r>
      <w:bookmarkEnd w:id="70"/>
      <w:bookmarkEnd w:id="7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33205C">
        <w:tc>
          <w:tcPr>
            <w:tcW w:w="2266" w:type="dxa"/>
          </w:tcPr>
          <w:p w:rsidR="0033205C" w:rsidRDefault="008D2C95">
            <w:pPr>
              <w:pStyle w:val="nTable"/>
              <w:spacing w:after="40"/>
              <w:rPr>
                <w:b/>
                <w:snapToGrid w:val="0"/>
                <w:sz w:val="19"/>
                <w:lang w:val="en-US"/>
              </w:rPr>
            </w:pPr>
            <w:r>
              <w:rPr>
                <w:b/>
                <w:snapToGrid w:val="0"/>
                <w:sz w:val="19"/>
                <w:lang w:val="en-US"/>
              </w:rPr>
              <w:t>Short title</w:t>
            </w:r>
          </w:p>
        </w:tc>
        <w:tc>
          <w:tcPr>
            <w:tcW w:w="1120" w:type="dxa"/>
          </w:tcPr>
          <w:p w:rsidR="0033205C" w:rsidRDefault="008D2C95">
            <w:pPr>
              <w:pStyle w:val="nTable"/>
              <w:spacing w:after="40"/>
              <w:rPr>
                <w:b/>
                <w:snapToGrid w:val="0"/>
                <w:sz w:val="19"/>
                <w:lang w:val="en-US"/>
              </w:rPr>
            </w:pPr>
            <w:r>
              <w:rPr>
                <w:b/>
                <w:snapToGrid w:val="0"/>
                <w:sz w:val="19"/>
                <w:lang w:val="en-US"/>
              </w:rPr>
              <w:t>Number and year</w:t>
            </w:r>
          </w:p>
        </w:tc>
        <w:tc>
          <w:tcPr>
            <w:tcW w:w="1135" w:type="dxa"/>
          </w:tcPr>
          <w:p w:rsidR="0033205C" w:rsidRDefault="008D2C95">
            <w:pPr>
              <w:pStyle w:val="nTable"/>
              <w:spacing w:after="40"/>
              <w:rPr>
                <w:b/>
                <w:snapToGrid w:val="0"/>
                <w:sz w:val="19"/>
                <w:lang w:val="en-US"/>
              </w:rPr>
            </w:pPr>
            <w:r>
              <w:rPr>
                <w:b/>
                <w:snapToGrid w:val="0"/>
                <w:sz w:val="19"/>
                <w:lang w:val="en-US"/>
              </w:rPr>
              <w:t>Assent</w:t>
            </w:r>
          </w:p>
        </w:tc>
        <w:tc>
          <w:tcPr>
            <w:tcW w:w="2534" w:type="dxa"/>
          </w:tcPr>
          <w:p w:rsidR="0033205C" w:rsidRDefault="008D2C95">
            <w:pPr>
              <w:pStyle w:val="nTable"/>
              <w:spacing w:after="40"/>
              <w:rPr>
                <w:b/>
                <w:snapToGrid w:val="0"/>
                <w:sz w:val="19"/>
                <w:lang w:val="en-US"/>
              </w:rPr>
            </w:pPr>
            <w:r>
              <w:rPr>
                <w:b/>
                <w:snapToGrid w:val="0"/>
                <w:sz w:val="19"/>
                <w:lang w:val="en-US"/>
              </w:rPr>
              <w:t>Commencement</w:t>
            </w:r>
          </w:p>
        </w:tc>
      </w:tr>
      <w:tr w:rsidR="0033205C">
        <w:tblPrEx>
          <w:tblCellMar>
            <w:left w:w="56" w:type="dxa"/>
            <w:right w:w="56" w:type="dxa"/>
          </w:tblCellMar>
        </w:tblPrEx>
        <w:trPr>
          <w:cantSplit/>
        </w:trPr>
        <w:tc>
          <w:tcPr>
            <w:tcW w:w="2266" w:type="dxa"/>
          </w:tcPr>
          <w:p w:rsidR="0033205C" w:rsidRDefault="008D2C9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4</w:t>
            </w:r>
          </w:p>
        </w:tc>
        <w:tc>
          <w:tcPr>
            <w:tcW w:w="1120" w:type="dxa"/>
          </w:tcPr>
          <w:p w:rsidR="0033205C" w:rsidRDefault="008D2C95">
            <w:pPr>
              <w:pStyle w:val="nTable"/>
              <w:spacing w:after="40"/>
              <w:rPr>
                <w:snapToGrid w:val="0"/>
                <w:sz w:val="19"/>
                <w:lang w:val="en-US"/>
              </w:rPr>
            </w:pPr>
            <w:r>
              <w:rPr>
                <w:snapToGrid w:val="0"/>
                <w:sz w:val="19"/>
                <w:lang w:val="en-US"/>
              </w:rPr>
              <w:t>19 of 2010</w:t>
            </w:r>
          </w:p>
        </w:tc>
        <w:tc>
          <w:tcPr>
            <w:tcW w:w="1135" w:type="dxa"/>
          </w:tcPr>
          <w:p w:rsidR="0033205C" w:rsidRDefault="008D2C95">
            <w:pPr>
              <w:pStyle w:val="nTable"/>
              <w:spacing w:after="40"/>
              <w:rPr>
                <w:snapToGrid w:val="0"/>
                <w:sz w:val="19"/>
                <w:lang w:val="en-US"/>
              </w:rPr>
            </w:pPr>
            <w:r>
              <w:rPr>
                <w:snapToGrid w:val="0"/>
                <w:sz w:val="19"/>
                <w:lang w:val="en-US"/>
              </w:rPr>
              <w:t>28 Jun 2010</w:t>
            </w:r>
          </w:p>
        </w:tc>
        <w:tc>
          <w:tcPr>
            <w:tcW w:w="2534" w:type="dxa"/>
          </w:tcPr>
          <w:p w:rsidR="0033205C" w:rsidRDefault="008D2C95">
            <w:pPr>
              <w:pStyle w:val="nTable"/>
              <w:spacing w:after="40"/>
              <w:rPr>
                <w:snapToGrid w:val="0"/>
                <w:sz w:val="19"/>
                <w:lang w:val="en-US"/>
              </w:rPr>
            </w:pPr>
            <w:r>
              <w:rPr>
                <w:snapToGrid w:val="0"/>
                <w:sz w:val="19"/>
                <w:lang w:val="en-US"/>
              </w:rPr>
              <w:t>To be proclaimed (see s. 2(b))</w:t>
            </w:r>
          </w:p>
        </w:tc>
      </w:tr>
    </w:tbl>
    <w:p w:rsidR="0033205C" w:rsidRDefault="008D2C95">
      <w:pPr>
        <w:pStyle w:val="nSubsection"/>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section 18 of the </w:t>
      </w:r>
      <w:r>
        <w:rPr>
          <w:i/>
          <w:snapToGrid w:val="0"/>
        </w:rPr>
        <w:t xml:space="preserve">Companies (Application of Laws) Act 1981.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Corporations (Western Australia) Act 1990</w:t>
      </w:r>
      <w:r>
        <w:rPr>
          <w:snapToGrid w:val="0"/>
        </w:rPr>
        <w:t xml:space="preserve"> and Part 2 of the </w:t>
      </w:r>
      <w:r>
        <w:rPr>
          <w:i/>
          <w:snapToGrid w:val="0"/>
        </w:rPr>
        <w:t xml:space="preserve">Corporations (Ancillary Provisions) Act 2001 </w:t>
      </w:r>
      <w:r>
        <w:rPr>
          <w:snapToGrid w:val="0"/>
        </w:rPr>
        <w:t>respectively.</w:t>
      </w:r>
    </w:p>
    <w:p w:rsidR="0033205C" w:rsidRDefault="008D2C95">
      <w:pPr>
        <w:pStyle w:val="nSubsection"/>
        <w:rPr>
          <w:i/>
        </w:rPr>
      </w:pPr>
      <w:r>
        <w:rPr>
          <w:vertAlign w:val="superscript"/>
        </w:rPr>
        <w:t>3</w:t>
      </w:r>
      <w:r>
        <w:rPr>
          <w:vertAlign w:val="superscript"/>
        </w:rPr>
        <w:tab/>
      </w:r>
      <w:r>
        <w:t xml:space="preserve">Repealed by the </w:t>
      </w:r>
      <w:r>
        <w:rPr>
          <w:i/>
        </w:rPr>
        <w:t>Mining Act 1978.</w:t>
      </w:r>
    </w:p>
    <w:p w:rsidR="0033205C" w:rsidRDefault="008D2C95">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p>
    <w:p w:rsidR="0033205C" w:rsidRDefault="0033205C">
      <w:pPr>
        <w:pStyle w:val="BlankOpen"/>
      </w:pPr>
    </w:p>
    <w:p w:rsidR="0033205C" w:rsidRDefault="008D2C95">
      <w:pPr>
        <w:pStyle w:val="nzHeading5"/>
      </w:pPr>
      <w:bookmarkStart w:id="72" w:name="_Toc233107852"/>
      <w:bookmarkStart w:id="73" w:name="_Toc255473745"/>
      <w:bookmarkStart w:id="74" w:name="_Toc265583800"/>
      <w:r>
        <w:rPr>
          <w:rStyle w:val="CharSectno"/>
        </w:rPr>
        <w:t>50</w:t>
      </w:r>
      <w:r>
        <w:t>.</w:t>
      </w:r>
      <w:r>
        <w:tab/>
        <w:t>Heading to preamble</w:t>
      </w:r>
      <w:bookmarkEnd w:id="72"/>
      <w:bookmarkEnd w:id="73"/>
      <w:bookmarkEnd w:id="74"/>
    </w:p>
    <w:p w:rsidR="0033205C" w:rsidRDefault="008D2C95">
      <w:pPr>
        <w:pStyle w:val="nzSubsection"/>
      </w:pPr>
      <w:r>
        <w:tab/>
        <w:t>(1)</w:t>
      </w:r>
      <w:r>
        <w:tab/>
        <w:t>This section amends the Acts listed in the Table.</w:t>
      </w:r>
    </w:p>
    <w:p w:rsidR="0033205C" w:rsidRDefault="008D2C95">
      <w:pPr>
        <w:pStyle w:val="nzSubsection"/>
      </w:pPr>
      <w:r>
        <w:tab/>
        <w:t>(2)</w:t>
      </w:r>
      <w:r>
        <w:tab/>
        <w:t>In each Act listed in the Table after the long title insert:</w:t>
      </w:r>
    </w:p>
    <w:p w:rsidR="0033205C" w:rsidRDefault="0033205C">
      <w:pPr>
        <w:pStyle w:val="BlankOpen"/>
      </w:pPr>
    </w:p>
    <w:p w:rsidR="0033205C" w:rsidRDefault="008D2C95">
      <w:pPr>
        <w:pStyle w:val="zPreamble1"/>
        <w:rPr>
          <w:rFonts w:ascii="Times New Roman" w:hAnsi="Times New Roman"/>
        </w:rPr>
      </w:pPr>
      <w:r>
        <w:rPr>
          <w:rFonts w:ascii="Times New Roman" w:hAnsi="Times New Roman"/>
        </w:rPr>
        <w:t>Preamble</w:t>
      </w:r>
    </w:p>
    <w:p w:rsidR="0033205C" w:rsidRDefault="0033205C">
      <w:pPr>
        <w:pStyle w:val="BlankClose"/>
      </w:pPr>
    </w:p>
    <w:p w:rsidR="0033205C" w:rsidRDefault="0033205C">
      <w:pPr>
        <w:pStyle w:val="BlankClose"/>
      </w:pPr>
    </w:p>
    <w:p w:rsidR="0033205C" w:rsidRDefault="0033205C"/>
    <w:p w:rsidR="0033205C" w:rsidRDefault="0033205C">
      <w:pPr>
        <w:sectPr w:rsidR="0033205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33205C" w:rsidRDefault="0033205C"/>
    <w:sectPr w:rsidR="0033205C">
      <w:headerReference w:type="even" r:id="rId29"/>
      <w:headerReference w:type="default" r:id="rId30"/>
      <w:headerReference w:type="first" r:id="rId31"/>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5C" w:rsidRDefault="008D2C95">
      <w:r>
        <w:separator/>
      </w:r>
    </w:p>
  </w:endnote>
  <w:endnote w:type="continuationSeparator" w:id="0">
    <w:p w:rsidR="0033205C" w:rsidRDefault="008D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p>
  <w:p w:rsidR="0033205C" w:rsidRDefault="008D2C9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3205C" w:rsidRDefault="008D2C9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3205C" w:rsidRDefault="008D2C9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p>
  <w:p w:rsidR="0033205C" w:rsidRDefault="008D2C9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3205C" w:rsidRDefault="008D2C9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6AFB">
      <w:rPr>
        <w:rStyle w:val="PageNumber"/>
        <w:rFonts w:ascii="Arial" w:hAnsi="Arial" w:cs="Arial"/>
        <w:noProof/>
      </w:rPr>
      <w:t>i</w:t>
    </w:r>
    <w:r>
      <w:rPr>
        <w:rStyle w:val="PageNumber"/>
        <w:rFonts w:ascii="Arial" w:hAnsi="Arial" w:cs="Arial"/>
      </w:rPr>
      <w:fldChar w:fldCharType="end"/>
    </w:r>
  </w:p>
  <w:p w:rsidR="0033205C" w:rsidRDefault="008D2C9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AFB">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33205C" w:rsidRDefault="008D2C9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AFB">
      <w:rPr>
        <w:rStyle w:val="CharPageNo"/>
        <w:rFonts w:ascii="Arial" w:hAnsi="Arial"/>
        <w:noProof/>
      </w:rPr>
      <w:t>9</w:t>
    </w:r>
    <w:r>
      <w:rPr>
        <w:rStyle w:val="CharPageNo"/>
        <w:rFonts w:ascii="Arial" w:hAnsi="Arial"/>
      </w:rPr>
      <w:fldChar w:fldCharType="end"/>
    </w:r>
  </w:p>
  <w:p w:rsidR="0033205C" w:rsidRDefault="008D2C9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Footer"/>
      <w:tabs>
        <w:tab w:val="clear" w:pos="4153"/>
        <w:tab w:val="right" w:pos="7088"/>
      </w:tabs>
      <w:rPr>
        <w:rStyle w:val="PageNumber"/>
      </w:rPr>
    </w:pPr>
  </w:p>
  <w:p w:rsidR="0033205C" w:rsidRDefault="008D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AF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AF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AFB">
      <w:rPr>
        <w:rStyle w:val="CharPageNo"/>
        <w:rFonts w:ascii="Arial" w:hAnsi="Arial"/>
        <w:noProof/>
      </w:rPr>
      <w:t>1</w:t>
    </w:r>
    <w:r>
      <w:rPr>
        <w:rStyle w:val="CharPageNo"/>
        <w:rFonts w:ascii="Arial" w:hAnsi="Arial"/>
      </w:rPr>
      <w:fldChar w:fldCharType="end"/>
    </w:r>
  </w:p>
  <w:p w:rsidR="0033205C" w:rsidRDefault="008D2C9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5C" w:rsidRDefault="008D2C95">
      <w:r>
        <w:separator/>
      </w:r>
    </w:p>
  </w:footnote>
  <w:footnote w:type="continuationSeparator" w:id="0">
    <w:p w:rsidR="0033205C" w:rsidRDefault="008D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8D2C95">
    <w:pPr>
      <w:pStyle w:val="headerpartodd"/>
      <w:ind w:left="0" w:firstLine="0"/>
      <w:rPr>
        <w:i/>
      </w:rPr>
    </w:pPr>
    <w:r>
      <w:rPr>
        <w:i/>
      </w:rPr>
      <w:fldChar w:fldCharType="begin"/>
    </w:r>
    <w:r>
      <w:rPr>
        <w:i/>
      </w:rPr>
      <w:instrText xml:space="preserve"> Styleref "Name of Act/Reg" </w:instrText>
    </w:r>
    <w:r>
      <w:rPr>
        <w:i/>
      </w:rPr>
      <w:fldChar w:fldCharType="separate"/>
    </w:r>
    <w:r w:rsidR="00886AFB">
      <w:rPr>
        <w:i/>
        <w:noProof/>
      </w:rPr>
      <w:t>The Bank of Adelaide (Merger) Act 1980</w:t>
    </w:r>
    <w:r>
      <w:rPr>
        <w:i/>
      </w:rPr>
      <w:fldChar w:fldCharType="end"/>
    </w:r>
  </w:p>
  <w:p w:rsidR="0033205C" w:rsidRDefault="008D2C9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205C" w:rsidRDefault="008D2C9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205C" w:rsidRDefault="0033205C">
    <w:pPr>
      <w:pStyle w:val="headerpart"/>
    </w:pPr>
  </w:p>
  <w:p w:rsidR="0033205C" w:rsidRDefault="0033205C">
    <w:pPr>
      <w:pBdr>
        <w:bottom w:val="single" w:sz="6" w:space="1" w:color="auto"/>
      </w:pBdr>
      <w:rPr>
        <w:b/>
      </w:rPr>
    </w:pPr>
  </w:p>
  <w:p w:rsidR="0033205C" w:rsidRDefault="003320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05C">
      <w:trPr>
        <w:cantSplit/>
      </w:trPr>
      <w:tc>
        <w:tcPr>
          <w:tcW w:w="7312" w:type="dxa"/>
          <w:gridSpan w:val="2"/>
        </w:tcPr>
        <w:p w:rsidR="0033205C" w:rsidRDefault="008D2C95">
          <w:pPr>
            <w:pStyle w:val="HeaderActNameLeft"/>
          </w:pPr>
          <w:fldSimple w:instr=" Styleref &quot;Name of Act/Reg&quot; ">
            <w:r w:rsidR="00886AFB">
              <w:rPr>
                <w:noProof/>
              </w:rPr>
              <w:t>The Bank of Adelaide (Merger) Act 1980</w:t>
            </w:r>
          </w:fldSimple>
        </w:p>
      </w:tc>
    </w:tr>
    <w:tr w:rsidR="0033205C">
      <w:tc>
        <w:tcPr>
          <w:tcW w:w="1548" w:type="dxa"/>
        </w:tcPr>
        <w:p w:rsidR="0033205C" w:rsidRDefault="0033205C">
          <w:pPr>
            <w:pStyle w:val="HeaderNumberLeft"/>
          </w:pPr>
        </w:p>
      </w:tc>
      <w:tc>
        <w:tcPr>
          <w:tcW w:w="5764" w:type="dxa"/>
        </w:tcPr>
        <w:p w:rsidR="0033205C" w:rsidRDefault="0033205C">
          <w:pPr>
            <w:pStyle w:val="HeaderTextLeft"/>
          </w:pPr>
        </w:p>
      </w:tc>
    </w:tr>
    <w:tr w:rsidR="0033205C">
      <w:tc>
        <w:tcPr>
          <w:tcW w:w="1548" w:type="dxa"/>
        </w:tcPr>
        <w:p w:rsidR="0033205C" w:rsidRDefault="0033205C">
          <w:pPr>
            <w:pStyle w:val="HeaderNumberLeft"/>
          </w:pPr>
        </w:p>
      </w:tc>
      <w:tc>
        <w:tcPr>
          <w:tcW w:w="5764" w:type="dxa"/>
        </w:tcPr>
        <w:p w:rsidR="0033205C" w:rsidRDefault="0033205C">
          <w:pPr>
            <w:pStyle w:val="HeaderTextLeft"/>
          </w:pPr>
        </w:p>
      </w:tc>
    </w:tr>
    <w:tr w:rsidR="0033205C">
      <w:trPr>
        <w:cantSplit/>
      </w:trPr>
      <w:tc>
        <w:tcPr>
          <w:tcW w:w="7312" w:type="dxa"/>
          <w:gridSpan w:val="2"/>
        </w:tcPr>
        <w:p w:rsidR="0033205C" w:rsidRDefault="0033205C">
          <w:pPr>
            <w:pStyle w:val="HeaderSectionLeft"/>
          </w:pPr>
        </w:p>
      </w:tc>
    </w:tr>
  </w:tbl>
  <w:p w:rsidR="0033205C" w:rsidRDefault="0033205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205C">
      <w:trPr>
        <w:cantSplit/>
      </w:trPr>
      <w:tc>
        <w:tcPr>
          <w:tcW w:w="7312" w:type="dxa"/>
          <w:gridSpan w:val="2"/>
        </w:tcPr>
        <w:p w:rsidR="0033205C" w:rsidRDefault="008D2C95">
          <w:pPr>
            <w:pStyle w:val="HeaderActNameRight"/>
          </w:pPr>
          <w:fldSimple w:instr=" Styleref &quot;Name of Act/Reg&quot; ">
            <w:r w:rsidR="00886AFB">
              <w:rPr>
                <w:noProof/>
              </w:rPr>
              <w:t>The Bank of Adelaide (Merger) Act 1980</w:t>
            </w:r>
          </w:fldSimple>
        </w:p>
      </w:tc>
    </w:tr>
    <w:tr w:rsidR="0033205C">
      <w:tc>
        <w:tcPr>
          <w:tcW w:w="5760" w:type="dxa"/>
        </w:tcPr>
        <w:p w:rsidR="0033205C" w:rsidRDefault="0033205C">
          <w:pPr>
            <w:pStyle w:val="HeaderTextRight"/>
          </w:pPr>
        </w:p>
      </w:tc>
      <w:tc>
        <w:tcPr>
          <w:tcW w:w="1552" w:type="dxa"/>
        </w:tcPr>
        <w:p w:rsidR="0033205C" w:rsidRDefault="0033205C">
          <w:pPr>
            <w:pStyle w:val="HeaderNumberRight"/>
          </w:pPr>
        </w:p>
      </w:tc>
    </w:tr>
    <w:tr w:rsidR="0033205C">
      <w:tc>
        <w:tcPr>
          <w:tcW w:w="5760" w:type="dxa"/>
        </w:tcPr>
        <w:p w:rsidR="0033205C" w:rsidRDefault="0033205C">
          <w:pPr>
            <w:pStyle w:val="HeaderTextRight"/>
          </w:pPr>
        </w:p>
      </w:tc>
      <w:tc>
        <w:tcPr>
          <w:tcW w:w="1552" w:type="dxa"/>
        </w:tcPr>
        <w:p w:rsidR="0033205C" w:rsidRDefault="0033205C">
          <w:pPr>
            <w:pStyle w:val="HeaderNumberRight"/>
          </w:pPr>
        </w:p>
      </w:tc>
    </w:tr>
    <w:tr w:rsidR="0033205C">
      <w:trPr>
        <w:cantSplit/>
      </w:trPr>
      <w:tc>
        <w:tcPr>
          <w:tcW w:w="7312" w:type="dxa"/>
          <w:gridSpan w:val="2"/>
        </w:tcPr>
        <w:p w:rsidR="0033205C" w:rsidRDefault="0033205C">
          <w:pPr>
            <w:pStyle w:val="HeaderSectionRight"/>
          </w:pPr>
        </w:p>
      </w:tc>
    </w:tr>
  </w:tbl>
  <w:p w:rsidR="0033205C" w:rsidRDefault="0033205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8D2C95">
    <w:pPr>
      <w:pStyle w:val="headerpartodd"/>
      <w:ind w:left="0" w:firstLine="0"/>
      <w:rPr>
        <w:i/>
      </w:rPr>
    </w:pPr>
    <w:r>
      <w:rPr>
        <w:i/>
      </w:rPr>
      <w:fldChar w:fldCharType="begin"/>
    </w:r>
    <w:r>
      <w:rPr>
        <w:i/>
      </w:rPr>
      <w:instrText xml:space="preserve"> Styleref "Name of Act/Reg" </w:instrText>
    </w:r>
    <w:r>
      <w:rPr>
        <w:i/>
      </w:rPr>
      <w:fldChar w:fldCharType="separate"/>
    </w:r>
    <w:r w:rsidR="00886AFB">
      <w:rPr>
        <w:i/>
        <w:noProof/>
      </w:rPr>
      <w:t>The Bank of Adelaide (Merger) Act 1980</w:t>
    </w:r>
    <w:r>
      <w:rPr>
        <w:i/>
      </w:rPr>
      <w:fldChar w:fldCharType="end"/>
    </w:r>
  </w:p>
  <w:p w:rsidR="0033205C" w:rsidRDefault="0033205C">
    <w:pPr>
      <w:pStyle w:val="headerpartodd"/>
      <w:ind w:left="0" w:firstLine="0"/>
      <w:rPr>
        <w:b w:val="0"/>
        <w:i/>
      </w:rPr>
    </w:pPr>
  </w:p>
  <w:p w:rsidR="0033205C" w:rsidRDefault="0033205C">
    <w:pPr>
      <w:pStyle w:val="headerpart"/>
    </w:pPr>
  </w:p>
  <w:p w:rsidR="0033205C" w:rsidRDefault="0033205C">
    <w:pPr>
      <w:pStyle w:val="headerpart"/>
    </w:pPr>
  </w:p>
  <w:p w:rsidR="0033205C" w:rsidRDefault="0033205C">
    <w:pPr>
      <w:pBdr>
        <w:bottom w:val="single" w:sz="6" w:space="1" w:color="auto"/>
      </w:pBdr>
      <w:rPr>
        <w:b/>
      </w:rPr>
    </w:pPr>
  </w:p>
  <w:p w:rsidR="0033205C" w:rsidRDefault="0033205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8D2C95">
    <w:pPr>
      <w:pStyle w:val="headerpartodd"/>
      <w:ind w:left="0" w:firstLine="0"/>
      <w:jc w:val="right"/>
      <w:rPr>
        <w:i/>
      </w:rPr>
    </w:pPr>
    <w:r>
      <w:rPr>
        <w:i/>
      </w:rPr>
      <w:fldChar w:fldCharType="begin"/>
    </w:r>
    <w:r>
      <w:rPr>
        <w:i/>
      </w:rPr>
      <w:instrText xml:space="preserve"> Styleref "Name of Act/Reg" </w:instrText>
    </w:r>
    <w:r>
      <w:rPr>
        <w:i/>
      </w:rPr>
      <w:fldChar w:fldCharType="separate"/>
    </w:r>
    <w:r w:rsidR="00886AFB">
      <w:rPr>
        <w:i/>
        <w:noProof/>
      </w:rPr>
      <w:t>The Bank of Adelaide (Merger) Act 1980</w:t>
    </w:r>
    <w:r>
      <w:rPr>
        <w:i/>
      </w:rPr>
      <w:fldChar w:fldCharType="end"/>
    </w:r>
  </w:p>
  <w:p w:rsidR="0033205C" w:rsidRDefault="0033205C">
    <w:pPr>
      <w:pStyle w:val="headerpartodd"/>
      <w:ind w:left="0" w:firstLine="0"/>
      <w:jc w:val="right"/>
      <w:rPr>
        <w:b w:val="0"/>
        <w:i/>
      </w:rPr>
    </w:pPr>
  </w:p>
  <w:p w:rsidR="0033205C" w:rsidRDefault="0033205C">
    <w:pPr>
      <w:pStyle w:val="headerpart"/>
      <w:jc w:val="right"/>
    </w:pPr>
  </w:p>
  <w:p w:rsidR="0033205C" w:rsidRDefault="0033205C">
    <w:pPr>
      <w:pStyle w:val="headerpart"/>
      <w:jc w:val="right"/>
    </w:pPr>
  </w:p>
  <w:p w:rsidR="0033205C" w:rsidRDefault="0033205C">
    <w:pPr>
      <w:pBdr>
        <w:bottom w:val="single" w:sz="6" w:space="1" w:color="auto"/>
      </w:pBdr>
      <w:jc w:val="right"/>
      <w:rPr>
        <w:b/>
      </w:rPr>
    </w:pPr>
  </w:p>
  <w:p w:rsidR="0033205C" w:rsidRDefault="003320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05C">
      <w:trPr>
        <w:cantSplit/>
      </w:trPr>
      <w:tc>
        <w:tcPr>
          <w:tcW w:w="7263" w:type="dxa"/>
          <w:gridSpan w:val="2"/>
        </w:tcPr>
        <w:p w:rsidR="0033205C" w:rsidRDefault="008D2C95">
          <w:pPr>
            <w:pStyle w:val="HeaderActNameLeft"/>
          </w:pPr>
          <w:fldSimple w:instr=" Styleref &quot;Name of Act/Reg&quot; ">
            <w:r w:rsidR="00886AFB">
              <w:rPr>
                <w:noProof/>
              </w:rPr>
              <w:t>The Bank of Adelaide (Merger) Act 1980</w:t>
            </w:r>
          </w:fldSimple>
        </w:p>
      </w:tc>
    </w:tr>
    <w:tr w:rsidR="0033205C">
      <w:tc>
        <w:tcPr>
          <w:tcW w:w="1548" w:type="dxa"/>
        </w:tcPr>
        <w:p w:rsidR="0033205C" w:rsidRDefault="0033205C">
          <w:pPr>
            <w:pStyle w:val="HeaderNumberLeft"/>
          </w:pPr>
        </w:p>
      </w:tc>
      <w:tc>
        <w:tcPr>
          <w:tcW w:w="5715" w:type="dxa"/>
        </w:tcPr>
        <w:p w:rsidR="0033205C" w:rsidRDefault="0033205C">
          <w:pPr>
            <w:pStyle w:val="HeaderTextLeft"/>
          </w:pPr>
        </w:p>
      </w:tc>
    </w:tr>
    <w:tr w:rsidR="0033205C">
      <w:tc>
        <w:tcPr>
          <w:tcW w:w="1548" w:type="dxa"/>
        </w:tcPr>
        <w:p w:rsidR="0033205C" w:rsidRDefault="0033205C">
          <w:pPr>
            <w:pStyle w:val="HeaderNumberLeft"/>
          </w:pPr>
        </w:p>
      </w:tc>
      <w:tc>
        <w:tcPr>
          <w:tcW w:w="5715" w:type="dxa"/>
        </w:tcPr>
        <w:p w:rsidR="0033205C" w:rsidRDefault="0033205C">
          <w:pPr>
            <w:pStyle w:val="HeaderTextLeft"/>
          </w:pPr>
        </w:p>
      </w:tc>
    </w:tr>
    <w:tr w:rsidR="0033205C">
      <w:trPr>
        <w:cantSplit/>
      </w:trPr>
      <w:tc>
        <w:tcPr>
          <w:tcW w:w="7263" w:type="dxa"/>
          <w:gridSpan w:val="2"/>
        </w:tcPr>
        <w:p w:rsidR="0033205C" w:rsidRDefault="008D2C95">
          <w:pPr>
            <w:pStyle w:val="HeaderSectionLeft"/>
            <w:rPr>
              <w:b w:val="0"/>
            </w:rPr>
          </w:pPr>
          <w:r>
            <w:rPr>
              <w:b w:val="0"/>
            </w:rPr>
            <w:t>Contents</w:t>
          </w:r>
        </w:p>
      </w:tc>
    </w:tr>
  </w:tbl>
  <w:p w:rsidR="0033205C" w:rsidRDefault="0033205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05C">
      <w:trPr>
        <w:cantSplit/>
      </w:trPr>
      <w:tc>
        <w:tcPr>
          <w:tcW w:w="7263" w:type="dxa"/>
          <w:gridSpan w:val="2"/>
        </w:tcPr>
        <w:p w:rsidR="0033205C" w:rsidRDefault="008D2C95">
          <w:pPr>
            <w:pStyle w:val="HeaderActNameRight"/>
            <w:ind w:right="17"/>
          </w:pPr>
          <w:fldSimple w:instr=" Styleref &quot;Name of Act/Reg&quot; ">
            <w:r w:rsidR="00886AFB">
              <w:rPr>
                <w:noProof/>
              </w:rPr>
              <w:t>The Bank of Adelaide (Merger) Act 1980</w:t>
            </w:r>
          </w:fldSimple>
        </w:p>
      </w:tc>
    </w:tr>
    <w:tr w:rsidR="0033205C">
      <w:tc>
        <w:tcPr>
          <w:tcW w:w="5715" w:type="dxa"/>
        </w:tcPr>
        <w:p w:rsidR="0033205C" w:rsidRDefault="0033205C">
          <w:pPr>
            <w:pStyle w:val="HeaderTextRight"/>
          </w:pPr>
        </w:p>
      </w:tc>
      <w:tc>
        <w:tcPr>
          <w:tcW w:w="1548" w:type="dxa"/>
        </w:tcPr>
        <w:p w:rsidR="0033205C" w:rsidRDefault="0033205C">
          <w:pPr>
            <w:pStyle w:val="HeaderNumberRight"/>
            <w:ind w:right="17"/>
          </w:pPr>
        </w:p>
      </w:tc>
    </w:tr>
    <w:tr w:rsidR="0033205C">
      <w:tc>
        <w:tcPr>
          <w:tcW w:w="5715" w:type="dxa"/>
        </w:tcPr>
        <w:p w:rsidR="0033205C" w:rsidRDefault="0033205C">
          <w:pPr>
            <w:pStyle w:val="HeaderTextRight"/>
          </w:pPr>
        </w:p>
      </w:tc>
      <w:tc>
        <w:tcPr>
          <w:tcW w:w="1548" w:type="dxa"/>
        </w:tcPr>
        <w:p w:rsidR="0033205C" w:rsidRDefault="0033205C">
          <w:pPr>
            <w:pStyle w:val="HeaderNumberRight"/>
            <w:ind w:right="17"/>
          </w:pPr>
        </w:p>
      </w:tc>
    </w:tr>
    <w:tr w:rsidR="0033205C">
      <w:trPr>
        <w:cantSplit/>
      </w:trPr>
      <w:tc>
        <w:tcPr>
          <w:tcW w:w="7263" w:type="dxa"/>
          <w:gridSpan w:val="2"/>
        </w:tcPr>
        <w:p w:rsidR="0033205C" w:rsidRDefault="008D2C95">
          <w:pPr>
            <w:pStyle w:val="HeaderSectionRight"/>
            <w:ind w:right="17"/>
            <w:rPr>
              <w:b w:val="0"/>
            </w:rPr>
          </w:pPr>
          <w:r>
            <w:rPr>
              <w:b w:val="0"/>
            </w:rPr>
            <w:t>Contents</w:t>
          </w:r>
        </w:p>
      </w:tc>
    </w:tr>
  </w:tbl>
  <w:p w:rsidR="0033205C" w:rsidRDefault="0033205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205C">
      <w:trPr>
        <w:cantSplit/>
      </w:trPr>
      <w:tc>
        <w:tcPr>
          <w:tcW w:w="7312" w:type="dxa"/>
          <w:gridSpan w:val="2"/>
        </w:tcPr>
        <w:p w:rsidR="0033205C" w:rsidRDefault="008D2C95">
          <w:pPr>
            <w:pStyle w:val="HeaderActNameLeft"/>
          </w:pPr>
          <w:fldSimple w:instr=" Styleref &quot;Name of Act/Reg&quot; ">
            <w:r w:rsidR="00886AFB">
              <w:rPr>
                <w:noProof/>
              </w:rPr>
              <w:t>The Bank of Adelaide (Merger) Act 1980</w:t>
            </w:r>
          </w:fldSimple>
        </w:p>
      </w:tc>
    </w:tr>
    <w:tr w:rsidR="0033205C">
      <w:tc>
        <w:tcPr>
          <w:tcW w:w="1305" w:type="dxa"/>
        </w:tcPr>
        <w:p w:rsidR="0033205C" w:rsidRDefault="008D2C95">
          <w:pPr>
            <w:pStyle w:val="HeaderNumberLeft"/>
          </w:pPr>
          <w:r>
            <w:fldChar w:fldCharType="begin"/>
          </w:r>
          <w:r>
            <w:instrText xml:space="preserve"> styleref CharPartNo </w:instrText>
          </w:r>
          <w:r>
            <w:fldChar w:fldCharType="end"/>
          </w:r>
        </w:p>
      </w:tc>
      <w:tc>
        <w:tcPr>
          <w:tcW w:w="6007" w:type="dxa"/>
        </w:tcPr>
        <w:p w:rsidR="0033205C" w:rsidRDefault="008D2C95">
          <w:pPr>
            <w:pStyle w:val="HeaderTextLeft"/>
          </w:pPr>
          <w:r>
            <w:fldChar w:fldCharType="begin"/>
          </w:r>
          <w:r>
            <w:instrText xml:space="preserve"> styleref CharPartText </w:instrText>
          </w:r>
          <w:r>
            <w:fldChar w:fldCharType="end"/>
          </w:r>
        </w:p>
      </w:tc>
    </w:tr>
    <w:tr w:rsidR="0033205C">
      <w:tc>
        <w:tcPr>
          <w:tcW w:w="1305" w:type="dxa"/>
        </w:tcPr>
        <w:p w:rsidR="0033205C" w:rsidRDefault="008D2C95">
          <w:pPr>
            <w:pStyle w:val="HeaderNumberLeft"/>
          </w:pPr>
          <w:r>
            <w:fldChar w:fldCharType="begin"/>
          </w:r>
          <w:r>
            <w:instrText xml:space="preserve"> styleref CharDivNo </w:instrText>
          </w:r>
          <w:r>
            <w:fldChar w:fldCharType="end"/>
          </w:r>
        </w:p>
      </w:tc>
      <w:tc>
        <w:tcPr>
          <w:tcW w:w="6007" w:type="dxa"/>
        </w:tcPr>
        <w:p w:rsidR="0033205C" w:rsidRDefault="008D2C95">
          <w:pPr>
            <w:pStyle w:val="HeaderTextLeft"/>
          </w:pPr>
          <w:r>
            <w:fldChar w:fldCharType="begin"/>
          </w:r>
          <w:r>
            <w:instrText xml:space="preserve"> styleref CharDivText </w:instrText>
          </w:r>
          <w:r>
            <w:fldChar w:fldCharType="end"/>
          </w:r>
        </w:p>
      </w:tc>
    </w:tr>
    <w:tr w:rsidR="0033205C">
      <w:trPr>
        <w:cantSplit/>
      </w:trPr>
      <w:tc>
        <w:tcPr>
          <w:tcW w:w="7312" w:type="dxa"/>
          <w:gridSpan w:val="2"/>
        </w:tcPr>
        <w:p w:rsidR="0033205C" w:rsidRDefault="008D2C95">
          <w:pPr>
            <w:pStyle w:val="HeaderSectionLeft"/>
          </w:pPr>
          <w:r>
            <w:t xml:space="preserve">s. </w:t>
          </w:r>
          <w:fldSimple w:instr=" styleref CharSectno ">
            <w:r w:rsidR="00886AFB">
              <w:rPr>
                <w:noProof/>
              </w:rPr>
              <w:t>1</w:t>
            </w:r>
          </w:fldSimple>
        </w:p>
      </w:tc>
    </w:tr>
  </w:tbl>
  <w:p w:rsidR="0033205C" w:rsidRDefault="0033205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205C">
      <w:trPr>
        <w:cantSplit/>
      </w:trPr>
      <w:tc>
        <w:tcPr>
          <w:tcW w:w="7312" w:type="dxa"/>
          <w:gridSpan w:val="2"/>
        </w:tcPr>
        <w:p w:rsidR="0033205C" w:rsidRDefault="008D2C95">
          <w:pPr>
            <w:pStyle w:val="HeaderActNameRight"/>
          </w:pPr>
          <w:fldSimple w:instr=" Styleref &quot;Name of Act/Reg&quot; ">
            <w:r w:rsidR="00886AFB">
              <w:rPr>
                <w:noProof/>
              </w:rPr>
              <w:t>The Bank of Adelaide (Merger) Act 1980</w:t>
            </w:r>
          </w:fldSimple>
        </w:p>
      </w:tc>
    </w:tr>
    <w:tr w:rsidR="0033205C">
      <w:tc>
        <w:tcPr>
          <w:tcW w:w="5985" w:type="dxa"/>
        </w:tcPr>
        <w:p w:rsidR="0033205C" w:rsidRDefault="008D2C95">
          <w:pPr>
            <w:pStyle w:val="HeaderTextRight"/>
          </w:pPr>
          <w:r>
            <w:fldChar w:fldCharType="begin"/>
          </w:r>
          <w:r>
            <w:instrText xml:space="preserve"> styleref CharPartText </w:instrText>
          </w:r>
          <w:r>
            <w:fldChar w:fldCharType="end"/>
          </w:r>
        </w:p>
      </w:tc>
      <w:tc>
        <w:tcPr>
          <w:tcW w:w="1327" w:type="dxa"/>
        </w:tcPr>
        <w:p w:rsidR="0033205C" w:rsidRDefault="008D2C95">
          <w:pPr>
            <w:pStyle w:val="HeaderNumberRight"/>
          </w:pPr>
          <w:r>
            <w:fldChar w:fldCharType="begin"/>
          </w:r>
          <w:r>
            <w:instrText xml:space="preserve"> styleref CharPartNo </w:instrText>
          </w:r>
          <w:r>
            <w:fldChar w:fldCharType="end"/>
          </w:r>
        </w:p>
      </w:tc>
    </w:tr>
    <w:tr w:rsidR="0033205C">
      <w:tc>
        <w:tcPr>
          <w:tcW w:w="5985" w:type="dxa"/>
        </w:tcPr>
        <w:p w:rsidR="0033205C" w:rsidRDefault="008D2C95">
          <w:pPr>
            <w:pStyle w:val="HeaderTextRight"/>
          </w:pPr>
          <w:r>
            <w:fldChar w:fldCharType="begin"/>
          </w:r>
          <w:r>
            <w:instrText xml:space="preserve"> styleref CharDivText </w:instrText>
          </w:r>
          <w:r>
            <w:fldChar w:fldCharType="end"/>
          </w:r>
        </w:p>
      </w:tc>
      <w:tc>
        <w:tcPr>
          <w:tcW w:w="1327" w:type="dxa"/>
        </w:tcPr>
        <w:p w:rsidR="0033205C" w:rsidRDefault="008D2C95">
          <w:pPr>
            <w:pStyle w:val="HeaderNumberRight"/>
          </w:pPr>
          <w:r>
            <w:fldChar w:fldCharType="begin"/>
          </w:r>
          <w:r>
            <w:instrText xml:space="preserve"> styleref CharDivNo </w:instrText>
          </w:r>
          <w:r>
            <w:fldChar w:fldCharType="end"/>
          </w:r>
        </w:p>
      </w:tc>
    </w:tr>
    <w:tr w:rsidR="0033205C">
      <w:trPr>
        <w:cantSplit/>
      </w:trPr>
      <w:tc>
        <w:tcPr>
          <w:tcW w:w="7312" w:type="dxa"/>
          <w:gridSpan w:val="2"/>
        </w:tcPr>
        <w:p w:rsidR="0033205C" w:rsidRDefault="008D2C95">
          <w:pPr>
            <w:pStyle w:val="HeaderSectionRight"/>
          </w:pPr>
          <w:r>
            <w:t xml:space="preserve">s. </w:t>
          </w:r>
          <w:fldSimple w:instr=" styleref CharSectno ">
            <w:r w:rsidR="00886AFB">
              <w:rPr>
                <w:noProof/>
              </w:rPr>
              <w:t>1</w:t>
            </w:r>
          </w:fldSimple>
        </w:p>
      </w:tc>
    </w:tr>
  </w:tbl>
  <w:p w:rsidR="0033205C" w:rsidRDefault="0033205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C" w:rsidRDefault="00332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01F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5E7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8C4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0A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A4EB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E6F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6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D41C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C67BC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EB2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DBEA2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CCCDD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95"/>
    <w:rsid w:val="0033205C"/>
    <w:rsid w:val="00341E5B"/>
    <w:rsid w:val="00433750"/>
    <w:rsid w:val="00886AFB"/>
    <w:rsid w:val="008D2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2553</Words>
  <Characters>12054</Characters>
  <Application>Microsoft Office Word</Application>
  <DocSecurity>0</DocSecurity>
  <Lines>344</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1980 - 01-b0-01</dc:title>
  <dc:subject/>
  <dc:creator>Matthew Pether</dc:creator>
  <cp:keywords/>
  <cp:lastModifiedBy>svcMRProcess</cp:lastModifiedBy>
  <cp:revision>4</cp:revision>
  <cp:lastPrinted>2002-06-07T08:17:00Z</cp:lastPrinted>
  <dcterms:created xsi:type="dcterms:W3CDTF">2013-02-20T18:29:00Z</dcterms:created>
  <dcterms:modified xsi:type="dcterms:W3CDTF">2013-02-20T18:29:00Z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