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DE" w:rsidRDefault="00BD35AB">
      <w:pPr>
        <w:pStyle w:val="WA"/>
      </w:pPr>
      <w:bookmarkStart w:id="0" w:name="_GoBack"/>
      <w:bookmarkEnd w:id="0"/>
      <w:r>
        <w:t>Western Australia</w:t>
      </w:r>
    </w:p>
    <w:p w:rsidR="002807DE" w:rsidRDefault="00BD35AB">
      <w:pPr>
        <w:pStyle w:val="NameofActRegPage1"/>
        <w:spacing w:before="3760" w:after="4200"/>
      </w:pPr>
      <w:r>
        <w:fldChar w:fldCharType="begin"/>
      </w:r>
      <w:r>
        <w:instrText xml:space="preserve"> STYLEREF "Name Of Act/Reg"</w:instrText>
      </w:r>
      <w:r>
        <w:fldChar w:fldCharType="separate"/>
      </w:r>
      <w:r w:rsidR="00C82D30">
        <w:rPr>
          <w:noProof/>
        </w:rPr>
        <w:t>Iron Ore Processing (BHP Minerals) Agreement Act 1994</w:t>
      </w:r>
      <w:r>
        <w:fldChar w:fldCharType="end"/>
      </w:r>
    </w:p>
    <w:p w:rsidR="002807DE" w:rsidRDefault="002807DE">
      <w:pPr>
        <w:jc w:val="center"/>
        <w:rPr>
          <w:b/>
        </w:rPr>
        <w:sectPr w:rsidR="002807D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807DE" w:rsidRDefault="00BD35AB">
      <w:pPr>
        <w:pStyle w:val="WA"/>
        <w:spacing w:before="120"/>
      </w:pPr>
      <w:r>
        <w:lastRenderedPageBreak/>
        <w:t>Western Australia</w:t>
      </w:r>
    </w:p>
    <w:p w:rsidR="002807DE" w:rsidRDefault="00BD35AB">
      <w:pPr>
        <w:pStyle w:val="NameofActRegPage1"/>
      </w:pPr>
      <w:r>
        <w:fldChar w:fldCharType="begin"/>
      </w:r>
      <w:r>
        <w:instrText xml:space="preserve"> STYLEREF "Name Of Act/Reg"</w:instrText>
      </w:r>
      <w:r>
        <w:fldChar w:fldCharType="separate"/>
      </w:r>
      <w:r w:rsidR="00C82D30">
        <w:rPr>
          <w:noProof/>
        </w:rPr>
        <w:t>Iron Ore Processing (BHP Minerals) Agreement Act 1994</w:t>
      </w:r>
      <w:r>
        <w:fldChar w:fldCharType="end"/>
      </w:r>
    </w:p>
    <w:p w:rsidR="002807DE" w:rsidRDefault="00BD35AB">
      <w:pPr>
        <w:pStyle w:val="Arrangement"/>
      </w:pPr>
      <w:r>
        <w:t>CONTENTS</w:t>
      </w:r>
    </w:p>
    <w:p w:rsidR="002807DE" w:rsidRDefault="00BD35A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_Toc267921702 \h </w:instrText>
      </w:r>
      <w:r>
        <w:fldChar w:fldCharType="separate"/>
      </w:r>
      <w:r w:rsidR="00C82D30">
        <w:t>1</w:t>
      </w:r>
      <w:r>
        <w:fldChar w:fldCharType="end"/>
      </w:r>
    </w:p>
    <w:p w:rsidR="002807DE" w:rsidRDefault="00BD35AB">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_Toc267921703 \h </w:instrText>
      </w:r>
      <w:r>
        <w:fldChar w:fldCharType="separate"/>
      </w:r>
      <w:r w:rsidR="00C82D30">
        <w:t>1</w:t>
      </w:r>
      <w:r>
        <w:fldChar w:fldCharType="end"/>
      </w:r>
    </w:p>
    <w:p w:rsidR="002807DE" w:rsidRDefault="00BD35AB">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_Toc267921704 \h </w:instrText>
      </w:r>
      <w:r>
        <w:fldChar w:fldCharType="separate"/>
      </w:r>
      <w:r w:rsidR="00C82D30">
        <w:t>1</w:t>
      </w:r>
      <w:r>
        <w:fldChar w:fldCharType="end"/>
      </w:r>
    </w:p>
    <w:p w:rsidR="002807DE" w:rsidRDefault="00BD35AB">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_Toc267921705 \h </w:instrText>
      </w:r>
      <w:r>
        <w:fldChar w:fldCharType="separate"/>
      </w:r>
      <w:r w:rsidR="00C82D30">
        <w:t>1</w:t>
      </w:r>
      <w:r>
        <w:fldChar w:fldCharType="end"/>
      </w:r>
    </w:p>
    <w:p w:rsidR="002807DE" w:rsidRDefault="00BD35AB">
      <w:pPr>
        <w:pStyle w:val="TOC2"/>
        <w:tabs>
          <w:tab w:val="right" w:pos="7086"/>
        </w:tabs>
        <w:rPr>
          <w:b w:val="0"/>
          <w:sz w:val="24"/>
          <w:szCs w:val="24"/>
        </w:rPr>
      </w:pPr>
      <w:r>
        <w:rPr>
          <w:szCs w:val="28"/>
        </w:rPr>
        <w:t>Schedule 1</w:t>
      </w:r>
    </w:p>
    <w:p w:rsidR="002807DE" w:rsidRDefault="00BD35AB">
      <w:pPr>
        <w:pStyle w:val="TOC2"/>
        <w:tabs>
          <w:tab w:val="right" w:pos="7086"/>
        </w:tabs>
        <w:rPr>
          <w:b w:val="0"/>
          <w:sz w:val="24"/>
          <w:szCs w:val="24"/>
        </w:rPr>
      </w:pPr>
      <w:r>
        <w:rPr>
          <w:szCs w:val="26"/>
        </w:rPr>
        <w:t>Notes</w:t>
      </w:r>
    </w:p>
    <w:p w:rsidR="002807DE" w:rsidRDefault="00BD35AB">
      <w:pPr>
        <w:pStyle w:val="TOC8"/>
        <w:rPr>
          <w:sz w:val="24"/>
          <w:szCs w:val="24"/>
        </w:rPr>
      </w:pPr>
      <w:r>
        <w:rPr>
          <w:snapToGrid w:val="0"/>
          <w:szCs w:val="24"/>
        </w:rPr>
        <w:t>Compilation table</w:t>
      </w:r>
      <w:r>
        <w:tab/>
      </w:r>
      <w:r>
        <w:fldChar w:fldCharType="begin"/>
      </w:r>
      <w:r>
        <w:instrText xml:space="preserve"> PAGEREF _Toc267921708 \h </w:instrText>
      </w:r>
      <w:r>
        <w:fldChar w:fldCharType="separate"/>
      </w:r>
      <w:r w:rsidR="00C82D30">
        <w:t>29</w:t>
      </w:r>
      <w:r>
        <w:fldChar w:fldCharType="end"/>
      </w:r>
    </w:p>
    <w:p w:rsidR="002807DE" w:rsidRDefault="00BD35A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807DE" w:rsidRDefault="002807DE">
      <w:pPr>
        <w:pStyle w:val="NoteHeading"/>
        <w:sectPr w:rsidR="002807D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807DE" w:rsidRDefault="00BD35AB">
      <w:pPr>
        <w:pStyle w:val="WA"/>
        <w:spacing w:before="120"/>
      </w:pPr>
      <w:r>
        <w:t>Western Australia</w:t>
      </w:r>
    </w:p>
    <w:p w:rsidR="002807DE" w:rsidRDefault="00BD35AB">
      <w:pPr>
        <w:pStyle w:val="NameofActReg"/>
      </w:pPr>
      <w:r>
        <w:t xml:space="preserve">Iron Ore Processing (BHP Minerals) Agreement Act 1994 </w:t>
      </w:r>
    </w:p>
    <w:p w:rsidR="002807DE" w:rsidRDefault="00BD35AB">
      <w:pPr>
        <w:pStyle w:val="LongTitle"/>
        <w:rPr>
          <w:snapToGrid w:val="0"/>
        </w:rPr>
      </w:pPr>
      <w:r>
        <w:rPr>
          <w:snapToGrid w:val="0"/>
        </w:rPr>
        <w:t xml:space="preserve">An Act to ratify, and authorise the implementation of, an agreement between the State and BHP Minerals Pty. Ltd. relating to investigations into the feasibility of establishing further iron ore processing facilities in Western Australia. </w:t>
      </w:r>
    </w:p>
    <w:p w:rsidR="002807DE" w:rsidRDefault="00BD35AB">
      <w:pPr>
        <w:pStyle w:val="Heading5"/>
        <w:rPr>
          <w:snapToGrid w:val="0"/>
        </w:rPr>
      </w:pPr>
      <w:bookmarkStart w:id="1" w:name="_Toc63762582"/>
      <w:bookmarkStart w:id="2" w:name="_Toc68424549"/>
      <w:bookmarkStart w:id="3" w:name="_Toc267921702"/>
      <w:r>
        <w:rPr>
          <w:rStyle w:val="CharSectno"/>
        </w:rPr>
        <w:t>1</w:t>
      </w:r>
      <w:r>
        <w:rPr>
          <w:snapToGrid w:val="0"/>
        </w:rPr>
        <w:t>.</w:t>
      </w:r>
      <w:r>
        <w:rPr>
          <w:snapToGrid w:val="0"/>
        </w:rPr>
        <w:tab/>
        <w:t>Short title</w:t>
      </w:r>
      <w:bookmarkEnd w:id="1"/>
      <w:bookmarkEnd w:id="2"/>
      <w:bookmarkEnd w:id="3"/>
      <w:r>
        <w:rPr>
          <w:snapToGrid w:val="0"/>
        </w:rPr>
        <w:t xml:space="preserve"> </w:t>
      </w:r>
    </w:p>
    <w:p w:rsidR="002807DE" w:rsidRDefault="00BD35AB">
      <w:pPr>
        <w:pStyle w:val="Subsection"/>
        <w:rPr>
          <w:snapToGrid w:val="0"/>
        </w:rPr>
      </w:pPr>
      <w:r>
        <w:rPr>
          <w:snapToGrid w:val="0"/>
        </w:rPr>
        <w:tab/>
      </w:r>
      <w:r>
        <w:rPr>
          <w:snapToGrid w:val="0"/>
        </w:rPr>
        <w:tab/>
        <w:t xml:space="preserve">This Act may be cited as the </w:t>
      </w:r>
      <w:r>
        <w:rPr>
          <w:i/>
          <w:snapToGrid w:val="0"/>
        </w:rPr>
        <w:t>Iron Ore Processing (BHP Minerals) Agreement Act 1994 </w:t>
      </w:r>
      <w:r>
        <w:rPr>
          <w:snapToGrid w:val="0"/>
          <w:vertAlign w:val="superscript"/>
        </w:rPr>
        <w:t>1</w:t>
      </w:r>
      <w:r>
        <w:rPr>
          <w:snapToGrid w:val="0"/>
        </w:rPr>
        <w:t>.</w:t>
      </w:r>
    </w:p>
    <w:p w:rsidR="002807DE" w:rsidRDefault="00BD35AB">
      <w:pPr>
        <w:pStyle w:val="Heading5"/>
        <w:rPr>
          <w:snapToGrid w:val="0"/>
        </w:rPr>
      </w:pPr>
      <w:bookmarkStart w:id="4" w:name="_Toc63762583"/>
      <w:bookmarkStart w:id="5" w:name="_Toc68424550"/>
      <w:bookmarkStart w:id="6" w:name="_Toc267921703"/>
      <w:r>
        <w:rPr>
          <w:rStyle w:val="CharSectno"/>
        </w:rPr>
        <w:t>2</w:t>
      </w:r>
      <w:r>
        <w:rPr>
          <w:snapToGrid w:val="0"/>
        </w:rPr>
        <w:t>.</w:t>
      </w:r>
      <w:r>
        <w:rPr>
          <w:snapToGrid w:val="0"/>
        </w:rPr>
        <w:tab/>
        <w:t>Commencement</w:t>
      </w:r>
      <w:bookmarkEnd w:id="4"/>
      <w:bookmarkEnd w:id="5"/>
      <w:bookmarkEnd w:id="6"/>
      <w:r>
        <w:rPr>
          <w:snapToGrid w:val="0"/>
        </w:rPr>
        <w:t xml:space="preserve"> </w:t>
      </w:r>
    </w:p>
    <w:p w:rsidR="002807DE" w:rsidRDefault="00BD35AB">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2807DE" w:rsidRDefault="00BD35AB">
      <w:pPr>
        <w:pStyle w:val="Heading5"/>
        <w:rPr>
          <w:snapToGrid w:val="0"/>
        </w:rPr>
      </w:pPr>
      <w:bookmarkStart w:id="7" w:name="_Toc63762584"/>
      <w:bookmarkStart w:id="8" w:name="_Toc68424551"/>
      <w:bookmarkStart w:id="9" w:name="_Toc267921704"/>
      <w:r>
        <w:rPr>
          <w:rStyle w:val="CharSectno"/>
        </w:rPr>
        <w:t>3</w:t>
      </w:r>
      <w:r>
        <w:rPr>
          <w:snapToGrid w:val="0"/>
        </w:rPr>
        <w:t>.</w:t>
      </w:r>
      <w:r>
        <w:rPr>
          <w:snapToGrid w:val="0"/>
        </w:rPr>
        <w:tab/>
        <w:t>Interpretation</w:t>
      </w:r>
      <w:bookmarkEnd w:id="7"/>
      <w:bookmarkEnd w:id="8"/>
      <w:bookmarkEnd w:id="9"/>
      <w:r>
        <w:rPr>
          <w:snapToGrid w:val="0"/>
        </w:rPr>
        <w:t xml:space="preserve"> </w:t>
      </w:r>
    </w:p>
    <w:p w:rsidR="002807DE" w:rsidRDefault="00BD35AB">
      <w:pPr>
        <w:pStyle w:val="Subsection"/>
        <w:rPr>
          <w:snapToGrid w:val="0"/>
        </w:rPr>
      </w:pPr>
      <w:r>
        <w:rPr>
          <w:snapToGrid w:val="0"/>
        </w:rPr>
        <w:tab/>
      </w:r>
      <w:r>
        <w:rPr>
          <w:snapToGrid w:val="0"/>
        </w:rPr>
        <w:tab/>
        <w:t>In this Act, unless the contrary intention appears — </w:t>
      </w:r>
    </w:p>
    <w:p w:rsidR="002807DE" w:rsidRDefault="00BD35AB">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rsidR="002807DE" w:rsidRDefault="00BD35AB">
      <w:pPr>
        <w:pStyle w:val="Heading5"/>
        <w:rPr>
          <w:snapToGrid w:val="0"/>
        </w:rPr>
      </w:pPr>
      <w:bookmarkStart w:id="10" w:name="_Toc63762585"/>
      <w:bookmarkStart w:id="11" w:name="_Toc68424552"/>
      <w:bookmarkStart w:id="12" w:name="_Toc267921705"/>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rsidR="002807DE" w:rsidRDefault="00BD35AB">
      <w:pPr>
        <w:pStyle w:val="Subsection"/>
        <w:rPr>
          <w:snapToGrid w:val="0"/>
        </w:rPr>
      </w:pPr>
      <w:r>
        <w:rPr>
          <w:snapToGrid w:val="0"/>
        </w:rPr>
        <w:tab/>
        <w:t>(1)</w:t>
      </w:r>
      <w:r>
        <w:rPr>
          <w:snapToGrid w:val="0"/>
        </w:rPr>
        <w:tab/>
        <w:t>The Agreement is ratified.</w:t>
      </w:r>
    </w:p>
    <w:p w:rsidR="002807DE" w:rsidRDefault="00BD35AB">
      <w:pPr>
        <w:pStyle w:val="Subsection"/>
        <w:rPr>
          <w:snapToGrid w:val="0"/>
        </w:rPr>
      </w:pPr>
      <w:r>
        <w:rPr>
          <w:snapToGrid w:val="0"/>
        </w:rPr>
        <w:tab/>
        <w:t>(2)</w:t>
      </w:r>
      <w:r>
        <w:rPr>
          <w:snapToGrid w:val="0"/>
        </w:rPr>
        <w:tab/>
        <w:t>The implementation of the Agreement is authorised.</w:t>
      </w:r>
    </w:p>
    <w:p w:rsidR="002807DE" w:rsidRDefault="00BD35AB">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2807DE" w:rsidRDefault="002807DE">
      <w:pPr>
        <w:rPr>
          <w:rStyle w:val="CharDivText"/>
        </w:rPr>
        <w:sectPr w:rsidR="002807D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807DE" w:rsidRDefault="00BD35AB">
      <w:pPr>
        <w:pStyle w:val="yScheduleHeading"/>
      </w:pPr>
      <w:bookmarkStart w:id="13" w:name="_Toc68424553"/>
      <w:bookmarkStart w:id="14" w:name="_Toc267921706"/>
      <w:r>
        <w:rPr>
          <w:rStyle w:val="CharSchNo"/>
        </w:rPr>
        <w:t>Schedule 1</w:t>
      </w:r>
      <w:bookmarkEnd w:id="13"/>
      <w:bookmarkEnd w:id="14"/>
      <w:r>
        <w:rPr>
          <w:rStyle w:val="CharSchText"/>
        </w:rPr>
        <w:t xml:space="preserve"> </w:t>
      </w:r>
    </w:p>
    <w:p w:rsidR="002807DE" w:rsidRDefault="00BD35AB">
      <w:pPr>
        <w:pStyle w:val="yShoulderClause"/>
        <w:rPr>
          <w:snapToGrid w:val="0"/>
        </w:rPr>
      </w:pPr>
      <w:r>
        <w:rPr>
          <w:snapToGrid w:val="0"/>
        </w:rPr>
        <w:t>[section 3]</w:t>
      </w:r>
    </w:p>
    <w:p w:rsidR="002807DE" w:rsidRDefault="00BD35AB">
      <w:pPr>
        <w:pStyle w:val="MiscellaneousHeading"/>
        <w:spacing w:after="80"/>
        <w:rPr>
          <w:b/>
          <w:snapToGrid w:val="0"/>
          <w:sz w:val="22"/>
        </w:rPr>
      </w:pPr>
      <w:r>
        <w:rPr>
          <w:b/>
          <w:snapToGrid w:val="0"/>
          <w:sz w:val="22"/>
        </w:rPr>
        <w:t>IRON ORE PROCESSING (BHP MINERALS)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Western Australia which are approved by the Minister from time to time as alternative investments under subclause (4) of Clause 5;</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Western Australia. </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This Agreement shall be interpreted according to the law for the time being in force in the State of Western Australia.</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rsidR="002807DE">
        <w:tc>
          <w:tcPr>
            <w:tcW w:w="3798" w:type="dxa"/>
          </w:tcPr>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b/>
                <w:spacing w:val="-2"/>
              </w:rPr>
              <w:t>FAIRFAX COURT</w:t>
            </w:r>
            <w:r>
              <w:rPr>
                <w:spacing w:val="-2"/>
              </w:rPr>
              <w:t xml:space="preserve"> in the</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rsidR="002807DE" w:rsidRDefault="002807DE"/>
        </w:tc>
        <w:tc>
          <w:tcPr>
            <w:tcW w:w="720" w:type="dxa"/>
          </w:tcPr>
          <w:p w:rsidR="002807DE" w:rsidRDefault="00BD35AB">
            <w:r>
              <w:t>)</w:t>
            </w:r>
            <w:r>
              <w:br/>
              <w:t>)</w:t>
            </w:r>
            <w:r>
              <w:br/>
              <w:t>)</w:t>
            </w:r>
          </w:p>
          <w:p w:rsidR="002807DE" w:rsidRDefault="00BD35AB">
            <w:r>
              <w:t>)</w:t>
            </w:r>
          </w:p>
        </w:tc>
        <w:tc>
          <w:tcPr>
            <w:tcW w:w="3960" w:type="dxa"/>
          </w:tcPr>
          <w:p w:rsidR="002807DE" w:rsidRDefault="002807DE"/>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R F COURT</w:t>
            </w:r>
          </w:p>
          <w:p w:rsidR="002807DE" w:rsidRDefault="002807DE"/>
        </w:tc>
      </w:tr>
    </w:tbl>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rsidR="002807DE">
        <w:tc>
          <w:tcPr>
            <w:tcW w:w="3798" w:type="dxa"/>
          </w:tcPr>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rsidR="002807DE" w:rsidRDefault="00BD35AB">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rsidR="002807DE" w:rsidRDefault="002807DE">
            <w:pPr>
              <w:keepNext/>
              <w:keepLines/>
            </w:pPr>
          </w:p>
        </w:tc>
        <w:tc>
          <w:tcPr>
            <w:tcW w:w="720" w:type="dxa"/>
          </w:tcPr>
          <w:p w:rsidR="002807DE" w:rsidRDefault="00BD35AB">
            <w:pPr>
              <w:keepNext/>
              <w:keepLines/>
            </w:pPr>
            <w:r>
              <w:t>)</w:t>
            </w:r>
            <w:r>
              <w:br/>
              <w:t>)</w:t>
            </w:r>
            <w:r>
              <w:br/>
              <w:t>)</w:t>
            </w:r>
            <w:r>
              <w:br/>
              <w:t>)</w:t>
            </w:r>
          </w:p>
        </w:tc>
        <w:tc>
          <w:tcPr>
            <w:tcW w:w="3960" w:type="dxa"/>
          </w:tcPr>
          <w:p w:rsidR="002807DE" w:rsidRDefault="00BD35AB">
            <w:pPr>
              <w:keepNext/>
              <w:keepLines/>
              <w:jc w:val="both"/>
            </w:pPr>
            <w:r>
              <w:br/>
              <w:t>C.S.</w:t>
            </w:r>
          </w:p>
          <w:p w:rsidR="002807DE" w:rsidRDefault="00BD35AB">
            <w:pPr>
              <w:keepNext/>
              <w:keepLines/>
              <w:ind w:left="-702"/>
              <w:jc w:val="both"/>
            </w:pPr>
            <w:r>
              <w:t>C.S.</w:t>
            </w:r>
          </w:p>
        </w:tc>
      </w:tr>
    </w:tbl>
    <w:p w:rsidR="002807DE" w:rsidRDefault="002807DE">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rsidR="002807DE" w:rsidRDefault="00BD35AB">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rsidR="002807DE" w:rsidRDefault="002807DE"/>
    <w:p w:rsidR="002807DE" w:rsidRDefault="002807DE">
      <w:pPr>
        <w:sectPr w:rsidR="002807D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807DE" w:rsidRDefault="00BD35AB">
      <w:pPr>
        <w:pStyle w:val="nHeading2"/>
      </w:pPr>
      <w:bookmarkStart w:id="15" w:name="_Toc68424554"/>
      <w:bookmarkStart w:id="16" w:name="_Toc267921707"/>
      <w:r>
        <w:t>Notes</w:t>
      </w:r>
      <w:bookmarkEnd w:id="15"/>
      <w:bookmarkEnd w:id="16"/>
    </w:p>
    <w:p w:rsidR="002807DE" w:rsidRDefault="00BD35AB">
      <w:pPr>
        <w:pStyle w:val="nSubsection"/>
        <w:rPr>
          <w:snapToGrid w:val="0"/>
        </w:rPr>
      </w:pPr>
      <w:r>
        <w:rPr>
          <w:snapToGrid w:val="0"/>
          <w:vertAlign w:val="superscript"/>
        </w:rPr>
        <w:t>1</w:t>
      </w:r>
      <w:r>
        <w:rPr>
          <w:snapToGrid w:val="0"/>
        </w:rPr>
        <w:tab/>
        <w:t xml:space="preserve">This is a compilation of the </w:t>
      </w:r>
      <w:r>
        <w:rPr>
          <w:i/>
          <w:noProof/>
          <w:snapToGrid w:val="0"/>
        </w:rPr>
        <w:t>Iron Ore Processing (BHP Minerals) Agreement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2807DE" w:rsidRDefault="00BD35AB">
      <w:pPr>
        <w:pStyle w:val="nHeading3"/>
        <w:rPr>
          <w:snapToGrid w:val="0"/>
        </w:rPr>
      </w:pPr>
      <w:bookmarkStart w:id="17" w:name="_Toc68424555"/>
      <w:bookmarkStart w:id="18" w:name="_Toc267921708"/>
      <w:r>
        <w:rPr>
          <w:snapToGrid w:val="0"/>
        </w:rPr>
        <w:t>Comp</w:t>
      </w:r>
      <w:bookmarkStart w:id="19" w:name="UpToHere"/>
      <w:bookmarkEnd w:id="19"/>
      <w:r>
        <w:rPr>
          <w:snapToGrid w:val="0"/>
        </w:rPr>
        <w:t>ilation table</w:t>
      </w:r>
      <w:bookmarkEnd w:id="17"/>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807DE">
        <w:trPr>
          <w:tblHeader/>
        </w:trPr>
        <w:tc>
          <w:tcPr>
            <w:tcW w:w="2268" w:type="dxa"/>
            <w:tcBorders>
              <w:top w:val="single" w:sz="8" w:space="0" w:color="auto"/>
              <w:bottom w:val="nil"/>
            </w:tcBorders>
          </w:tcPr>
          <w:p w:rsidR="002807DE" w:rsidRDefault="00BD35AB">
            <w:pPr>
              <w:pStyle w:val="nTable"/>
              <w:rPr>
                <w:b/>
                <w:sz w:val="19"/>
              </w:rPr>
            </w:pPr>
            <w:r>
              <w:rPr>
                <w:b/>
                <w:sz w:val="19"/>
              </w:rPr>
              <w:t>Short title</w:t>
            </w:r>
          </w:p>
        </w:tc>
        <w:tc>
          <w:tcPr>
            <w:tcW w:w="1134" w:type="dxa"/>
            <w:tcBorders>
              <w:top w:val="single" w:sz="8" w:space="0" w:color="auto"/>
              <w:bottom w:val="nil"/>
            </w:tcBorders>
          </w:tcPr>
          <w:p w:rsidR="002807DE" w:rsidRDefault="00BD35AB">
            <w:pPr>
              <w:pStyle w:val="nTable"/>
              <w:rPr>
                <w:b/>
                <w:sz w:val="19"/>
              </w:rPr>
            </w:pPr>
            <w:r>
              <w:rPr>
                <w:b/>
                <w:sz w:val="19"/>
              </w:rPr>
              <w:t>Number and year</w:t>
            </w:r>
          </w:p>
        </w:tc>
        <w:tc>
          <w:tcPr>
            <w:tcW w:w="1134" w:type="dxa"/>
            <w:tcBorders>
              <w:top w:val="single" w:sz="8" w:space="0" w:color="auto"/>
              <w:bottom w:val="nil"/>
            </w:tcBorders>
          </w:tcPr>
          <w:p w:rsidR="002807DE" w:rsidRDefault="00BD35AB">
            <w:pPr>
              <w:pStyle w:val="nTable"/>
              <w:rPr>
                <w:b/>
                <w:sz w:val="19"/>
              </w:rPr>
            </w:pPr>
            <w:r>
              <w:rPr>
                <w:b/>
                <w:sz w:val="19"/>
              </w:rPr>
              <w:t>Assent</w:t>
            </w:r>
          </w:p>
        </w:tc>
        <w:tc>
          <w:tcPr>
            <w:tcW w:w="2551" w:type="dxa"/>
            <w:tcBorders>
              <w:top w:val="single" w:sz="8" w:space="0" w:color="auto"/>
              <w:bottom w:val="nil"/>
            </w:tcBorders>
          </w:tcPr>
          <w:p w:rsidR="002807DE" w:rsidRDefault="00BD35AB">
            <w:pPr>
              <w:pStyle w:val="nTable"/>
              <w:rPr>
                <w:b/>
                <w:sz w:val="19"/>
              </w:rPr>
            </w:pPr>
            <w:r>
              <w:rPr>
                <w:b/>
                <w:sz w:val="19"/>
              </w:rPr>
              <w:t>Commencement</w:t>
            </w:r>
          </w:p>
        </w:tc>
      </w:tr>
      <w:tr w:rsidR="002807DE">
        <w:tc>
          <w:tcPr>
            <w:tcW w:w="2268" w:type="dxa"/>
            <w:tcBorders>
              <w:top w:val="single" w:sz="8" w:space="0" w:color="auto"/>
              <w:bottom w:val="nil"/>
            </w:tcBorders>
          </w:tcPr>
          <w:p w:rsidR="002807DE" w:rsidRDefault="00BD35AB">
            <w:pPr>
              <w:pStyle w:val="nTable"/>
              <w:rPr>
                <w:sz w:val="19"/>
              </w:rPr>
            </w:pPr>
            <w:r>
              <w:rPr>
                <w:i/>
                <w:sz w:val="19"/>
              </w:rPr>
              <w:t>Iron Ore Processing (BHP Minerals) Agreement Act 1994</w:t>
            </w:r>
          </w:p>
        </w:tc>
        <w:tc>
          <w:tcPr>
            <w:tcW w:w="1134" w:type="dxa"/>
            <w:tcBorders>
              <w:top w:val="single" w:sz="8" w:space="0" w:color="auto"/>
              <w:bottom w:val="nil"/>
            </w:tcBorders>
          </w:tcPr>
          <w:p w:rsidR="002807DE" w:rsidRDefault="00BD35AB">
            <w:pPr>
              <w:pStyle w:val="nTable"/>
              <w:rPr>
                <w:sz w:val="19"/>
              </w:rPr>
            </w:pPr>
            <w:r>
              <w:rPr>
                <w:sz w:val="19"/>
              </w:rPr>
              <w:t>30 of 1994</w:t>
            </w:r>
          </w:p>
        </w:tc>
        <w:tc>
          <w:tcPr>
            <w:tcW w:w="1134" w:type="dxa"/>
            <w:tcBorders>
              <w:top w:val="single" w:sz="8" w:space="0" w:color="auto"/>
              <w:bottom w:val="nil"/>
            </w:tcBorders>
          </w:tcPr>
          <w:p w:rsidR="002807DE" w:rsidRDefault="00BD35AB">
            <w:pPr>
              <w:pStyle w:val="nTable"/>
              <w:rPr>
                <w:sz w:val="19"/>
              </w:rPr>
            </w:pPr>
            <w:r>
              <w:rPr>
                <w:sz w:val="19"/>
              </w:rPr>
              <w:t>8 Jul 1994</w:t>
            </w:r>
          </w:p>
        </w:tc>
        <w:tc>
          <w:tcPr>
            <w:tcW w:w="2551" w:type="dxa"/>
            <w:tcBorders>
              <w:top w:val="single" w:sz="8" w:space="0" w:color="auto"/>
              <w:bottom w:val="nil"/>
            </w:tcBorders>
          </w:tcPr>
          <w:p w:rsidR="002807DE" w:rsidRDefault="00BD35AB">
            <w:pPr>
              <w:pStyle w:val="nTable"/>
              <w:rPr>
                <w:sz w:val="19"/>
              </w:rPr>
            </w:pPr>
            <w:r>
              <w:rPr>
                <w:sz w:val="19"/>
              </w:rPr>
              <w:t>8 Jul 1994 (see s. 2)</w:t>
            </w:r>
          </w:p>
        </w:tc>
      </w:tr>
      <w:tr w:rsidR="002807DE">
        <w:trPr>
          <w:cantSplit/>
        </w:trPr>
        <w:tc>
          <w:tcPr>
            <w:tcW w:w="7087" w:type="dxa"/>
            <w:gridSpan w:val="4"/>
            <w:tcBorders>
              <w:top w:val="nil"/>
            </w:tcBorders>
          </w:tcPr>
          <w:p w:rsidR="002807DE" w:rsidRDefault="00BD35AB">
            <w:pPr>
              <w:pStyle w:val="nTable"/>
              <w:rPr>
                <w:b/>
                <w:sz w:val="19"/>
              </w:rPr>
            </w:pPr>
            <w:r>
              <w:rPr>
                <w:b/>
                <w:sz w:val="19"/>
              </w:rPr>
              <w:t>Reprint 1:  The</w:t>
            </w:r>
            <w:r>
              <w:rPr>
                <w:b/>
                <w:i/>
                <w:sz w:val="19"/>
              </w:rPr>
              <w:t xml:space="preserve"> Iron Ore Processing (BHP Minerals) Agreement Act 1994 </w:t>
            </w:r>
            <w:r>
              <w:rPr>
                <w:b/>
                <w:sz w:val="19"/>
              </w:rPr>
              <w:t>as at 5 Mar 2004</w:t>
            </w:r>
          </w:p>
        </w:tc>
      </w:tr>
    </w:tbl>
    <w:p w:rsidR="002807DE" w:rsidRDefault="002807DE"/>
    <w:p w:rsidR="002807DE" w:rsidRDefault="00BD35A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807DE" w:rsidRDefault="00BD35AB">
      <w:pPr>
        <w:pStyle w:val="nHeading3"/>
      </w:pPr>
      <w:bookmarkStart w:id="20" w:name="_Toc7405065"/>
      <w:r>
        <w:t>Provisions that have not come into operation</w:t>
      </w:r>
      <w:bookmarkEnd w:id="2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807DE">
        <w:tc>
          <w:tcPr>
            <w:tcW w:w="2266" w:type="dxa"/>
          </w:tcPr>
          <w:p w:rsidR="002807DE" w:rsidRDefault="00BD35AB">
            <w:pPr>
              <w:pStyle w:val="nTable"/>
              <w:spacing w:after="40"/>
              <w:rPr>
                <w:b/>
                <w:snapToGrid w:val="0"/>
                <w:sz w:val="19"/>
                <w:lang w:val="en-US"/>
              </w:rPr>
            </w:pPr>
            <w:r>
              <w:rPr>
                <w:b/>
                <w:snapToGrid w:val="0"/>
                <w:sz w:val="19"/>
                <w:lang w:val="en-US"/>
              </w:rPr>
              <w:t>Short title</w:t>
            </w:r>
          </w:p>
        </w:tc>
        <w:tc>
          <w:tcPr>
            <w:tcW w:w="1120" w:type="dxa"/>
          </w:tcPr>
          <w:p w:rsidR="002807DE" w:rsidRDefault="00BD35AB">
            <w:pPr>
              <w:pStyle w:val="nTable"/>
              <w:spacing w:after="40"/>
              <w:rPr>
                <w:b/>
                <w:snapToGrid w:val="0"/>
                <w:sz w:val="19"/>
                <w:lang w:val="en-US"/>
              </w:rPr>
            </w:pPr>
            <w:r>
              <w:rPr>
                <w:b/>
                <w:snapToGrid w:val="0"/>
                <w:sz w:val="19"/>
                <w:lang w:val="en-US"/>
              </w:rPr>
              <w:t>Number and year</w:t>
            </w:r>
          </w:p>
        </w:tc>
        <w:tc>
          <w:tcPr>
            <w:tcW w:w="1135" w:type="dxa"/>
          </w:tcPr>
          <w:p w:rsidR="002807DE" w:rsidRDefault="00BD35AB">
            <w:pPr>
              <w:pStyle w:val="nTable"/>
              <w:spacing w:after="40"/>
              <w:rPr>
                <w:b/>
                <w:snapToGrid w:val="0"/>
                <w:sz w:val="19"/>
                <w:lang w:val="en-US"/>
              </w:rPr>
            </w:pPr>
            <w:r>
              <w:rPr>
                <w:b/>
                <w:snapToGrid w:val="0"/>
                <w:sz w:val="19"/>
                <w:lang w:val="en-US"/>
              </w:rPr>
              <w:t>Assent</w:t>
            </w:r>
          </w:p>
        </w:tc>
        <w:tc>
          <w:tcPr>
            <w:tcW w:w="2534" w:type="dxa"/>
          </w:tcPr>
          <w:p w:rsidR="002807DE" w:rsidRDefault="00BD35AB">
            <w:pPr>
              <w:pStyle w:val="nTable"/>
              <w:spacing w:after="40"/>
              <w:rPr>
                <w:b/>
                <w:snapToGrid w:val="0"/>
                <w:sz w:val="19"/>
                <w:lang w:val="en-US"/>
              </w:rPr>
            </w:pPr>
            <w:r>
              <w:rPr>
                <w:b/>
                <w:snapToGrid w:val="0"/>
                <w:sz w:val="19"/>
                <w:lang w:val="en-US"/>
              </w:rPr>
              <w:t>Commencement</w:t>
            </w:r>
          </w:p>
        </w:tc>
      </w:tr>
      <w:tr w:rsidR="002807DE">
        <w:tblPrEx>
          <w:tblCellMar>
            <w:left w:w="56" w:type="dxa"/>
            <w:right w:w="56" w:type="dxa"/>
          </w:tblCellMar>
        </w:tblPrEx>
        <w:trPr>
          <w:cantSplit/>
        </w:trPr>
        <w:tc>
          <w:tcPr>
            <w:tcW w:w="2266" w:type="dxa"/>
          </w:tcPr>
          <w:p w:rsidR="002807DE" w:rsidRDefault="00BD35AB">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rsidR="002807DE" w:rsidRDefault="00BD35AB">
            <w:pPr>
              <w:pStyle w:val="nTable"/>
              <w:spacing w:after="40"/>
              <w:rPr>
                <w:snapToGrid w:val="0"/>
                <w:sz w:val="19"/>
                <w:lang w:val="en-US"/>
              </w:rPr>
            </w:pPr>
            <w:r>
              <w:rPr>
                <w:snapToGrid w:val="0"/>
                <w:sz w:val="19"/>
                <w:lang w:val="en-US"/>
              </w:rPr>
              <w:t>19 of 2010</w:t>
            </w:r>
          </w:p>
        </w:tc>
        <w:tc>
          <w:tcPr>
            <w:tcW w:w="1135" w:type="dxa"/>
          </w:tcPr>
          <w:p w:rsidR="002807DE" w:rsidRDefault="00BD35AB">
            <w:pPr>
              <w:pStyle w:val="nTable"/>
              <w:spacing w:after="40"/>
              <w:rPr>
                <w:snapToGrid w:val="0"/>
                <w:sz w:val="19"/>
                <w:lang w:val="en-US"/>
              </w:rPr>
            </w:pPr>
            <w:r>
              <w:rPr>
                <w:snapToGrid w:val="0"/>
                <w:sz w:val="19"/>
                <w:lang w:val="en-US"/>
              </w:rPr>
              <w:t>28 Jun 2010</w:t>
            </w:r>
          </w:p>
        </w:tc>
        <w:tc>
          <w:tcPr>
            <w:tcW w:w="2534" w:type="dxa"/>
          </w:tcPr>
          <w:p w:rsidR="002807DE" w:rsidRDefault="00BD35AB">
            <w:pPr>
              <w:pStyle w:val="nTable"/>
              <w:spacing w:after="40"/>
              <w:rPr>
                <w:snapToGrid w:val="0"/>
                <w:sz w:val="19"/>
                <w:lang w:val="en-US"/>
              </w:rPr>
            </w:pPr>
            <w:r>
              <w:rPr>
                <w:snapToGrid w:val="0"/>
                <w:sz w:val="19"/>
                <w:lang w:val="en-US"/>
              </w:rPr>
              <w:t>To be proclaimed (see s. 2(b))</w:t>
            </w:r>
          </w:p>
        </w:tc>
      </w:tr>
    </w:tbl>
    <w:p w:rsidR="002807DE" w:rsidRDefault="00BD35AB">
      <w:pPr>
        <w:pStyle w:val="nSubsection"/>
        <w:tabs>
          <w:tab w:val="clear" w:pos="454"/>
          <w:tab w:val="left" w:pos="567"/>
        </w:tabs>
        <w:spacing w:before="120"/>
        <w:ind w:left="567" w:hanging="567"/>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2807DE" w:rsidRDefault="002807DE">
      <w:pPr>
        <w:pStyle w:val="BlankOpen"/>
      </w:pPr>
    </w:p>
    <w:p w:rsidR="002807DE" w:rsidRDefault="00BD35AB">
      <w:pPr>
        <w:pStyle w:val="nzHeading5"/>
        <w:rPr>
          <w:rFonts w:eastAsia="MS Mincho"/>
        </w:rPr>
      </w:pPr>
      <w:bookmarkStart w:id="21" w:name="_Toc233107675"/>
      <w:bookmarkStart w:id="22" w:name="_Toc255473698"/>
      <w:bookmarkStart w:id="23" w:name="_Toc265583753"/>
      <w:r>
        <w:rPr>
          <w:rStyle w:val="CharSectno"/>
          <w:rFonts w:eastAsia="MS Mincho"/>
        </w:rPr>
        <w:t>4</w:t>
      </w:r>
      <w:r>
        <w:rPr>
          <w:rFonts w:eastAsia="MS Mincho"/>
        </w:rPr>
        <w:t>.</w:t>
      </w:r>
      <w:r>
        <w:rPr>
          <w:rFonts w:eastAsia="MS Mincho"/>
        </w:rPr>
        <w:tab/>
        <w:t>Schedule headings reformatted</w:t>
      </w:r>
      <w:bookmarkEnd w:id="21"/>
      <w:bookmarkEnd w:id="22"/>
      <w:bookmarkEnd w:id="23"/>
    </w:p>
    <w:p w:rsidR="002807DE" w:rsidRDefault="00BD35AB">
      <w:pPr>
        <w:pStyle w:val="nzSubsection"/>
        <w:rPr>
          <w:rFonts w:eastAsia="MS Mincho"/>
        </w:rPr>
      </w:pPr>
      <w:r>
        <w:rPr>
          <w:rFonts w:eastAsia="MS Mincho"/>
        </w:rPr>
        <w:tab/>
        <w:t>(1)</w:t>
      </w:r>
      <w:r>
        <w:rPr>
          <w:rFonts w:eastAsia="MS Mincho"/>
        </w:rPr>
        <w:tab/>
        <w:t>This section amends the Acts listed in the Table.</w:t>
      </w:r>
    </w:p>
    <w:p w:rsidR="002807DE" w:rsidRDefault="00BD35AB">
      <w:pPr>
        <w:pStyle w:val="nzSubsection"/>
      </w:pPr>
      <w:r>
        <w:rPr>
          <w:rFonts w:eastAsia="MS Mincho"/>
        </w:rPr>
        <w:tab/>
        <w:t>(2)</w:t>
      </w:r>
      <w:r>
        <w:rPr>
          <w:rFonts w:eastAsia="MS Mincho"/>
        </w:rPr>
        <w:tab/>
        <w:t>In each Schedule listed in the Table:</w:t>
      </w:r>
    </w:p>
    <w:p w:rsidR="002807DE" w:rsidRDefault="00BD35AB">
      <w:pPr>
        <w:pStyle w:val="nzIndenta"/>
      </w:pPr>
      <w:r>
        <w:tab/>
        <w:t>(a)</w:t>
      </w:r>
      <w:r>
        <w:tab/>
        <w:t>if there is a title set out in the Table for the Schedule — after the identifier for the Schedule insert that title;</w:t>
      </w:r>
    </w:p>
    <w:p w:rsidR="002807DE" w:rsidRDefault="00BD35AB">
      <w:pPr>
        <w:pStyle w:val="nzIndenta"/>
      </w:pPr>
      <w:r>
        <w:tab/>
        <w:t>(b)</w:t>
      </w:r>
      <w:r>
        <w:tab/>
        <w:t>if there is a shoulder note set out in the Table for the Schedule — at the end of the heading to the Schedule insert that shoulder note;</w:t>
      </w:r>
    </w:p>
    <w:p w:rsidR="002807DE" w:rsidRDefault="00BD35AB">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2807DE">
        <w:trPr>
          <w:tblHeader/>
        </w:trPr>
        <w:tc>
          <w:tcPr>
            <w:tcW w:w="2126"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2807DE" w:rsidRDefault="00BD35AB">
            <w:pPr>
              <w:pStyle w:val="TableAm"/>
              <w:spacing w:before="0"/>
              <w:jc w:val="center"/>
              <w:rPr>
                <w:b/>
                <w:bCs/>
                <w:sz w:val="18"/>
              </w:rPr>
            </w:pPr>
            <w:r>
              <w:rPr>
                <w:b/>
                <w:bCs/>
                <w:sz w:val="18"/>
              </w:rPr>
              <w:t>Shoulder note</w:t>
            </w:r>
          </w:p>
        </w:tc>
      </w:tr>
      <w:tr w:rsidR="002807DE">
        <w:tc>
          <w:tcPr>
            <w:tcW w:w="2126"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rPr>
                <w:i/>
                <w:iCs/>
                <w:sz w:val="18"/>
              </w:rPr>
            </w:pPr>
            <w:r>
              <w:rPr>
                <w:rFonts w:eastAsia="MS Mincho"/>
                <w:i/>
                <w:iCs/>
                <w:sz w:val="18"/>
              </w:rPr>
              <w:t>Iron Ore Processing (BHP Minerals) Agreement Act 1994</w:t>
            </w:r>
          </w:p>
        </w:tc>
        <w:tc>
          <w:tcPr>
            <w:tcW w:w="1276"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2807DE" w:rsidRDefault="00BD35AB">
            <w:pPr>
              <w:pStyle w:val="TableAm"/>
              <w:spacing w:before="0"/>
              <w:rPr>
                <w:sz w:val="18"/>
              </w:rPr>
            </w:pPr>
            <w:r>
              <w:rPr>
                <w:rFonts w:eastAsia="MS Mincho"/>
                <w:sz w:val="18"/>
              </w:rPr>
              <w:t>Iron Ore Processing (BHP Minerals)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2807DE" w:rsidRDefault="002807DE">
            <w:pPr>
              <w:pStyle w:val="TableAm"/>
              <w:spacing w:before="0"/>
              <w:rPr>
                <w:sz w:val="18"/>
              </w:rPr>
            </w:pPr>
          </w:p>
        </w:tc>
      </w:tr>
    </w:tbl>
    <w:p w:rsidR="002807DE" w:rsidRDefault="002807DE">
      <w:pPr>
        <w:pStyle w:val="BlankClose"/>
      </w:pPr>
    </w:p>
    <w:p w:rsidR="002807DE" w:rsidRDefault="002807DE"/>
    <w:p w:rsidR="002807DE" w:rsidRDefault="002807DE">
      <w:pPr>
        <w:sectPr w:rsidR="002807D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807DE" w:rsidRDefault="002807DE"/>
    <w:sectPr w:rsidR="002807DE">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7DE" w:rsidRDefault="00BD35AB">
      <w:r>
        <w:separator/>
      </w:r>
    </w:p>
  </w:endnote>
  <w:endnote w:type="continuationSeparator" w:id="0">
    <w:p w:rsidR="002807DE" w:rsidRDefault="00B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p>
  <w:p w:rsidR="002807DE" w:rsidRDefault="00BD35A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807DE" w:rsidRDefault="00BD35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807DE" w:rsidRDefault="00BD35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p>
  <w:p w:rsidR="002807DE" w:rsidRDefault="00BD35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xxix</w:t>
    </w:r>
    <w:r>
      <w:rPr>
        <w:rStyle w:val="PageNumber"/>
        <w:rFonts w:ascii="Arial" w:hAnsi="Arial" w:cs="Arial"/>
      </w:rPr>
      <w:fldChar w:fldCharType="end"/>
    </w:r>
  </w:p>
  <w:p w:rsidR="002807DE" w:rsidRDefault="00BD35A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82D30">
      <w:rPr>
        <w:rStyle w:val="PageNumber"/>
        <w:rFonts w:ascii="Arial" w:hAnsi="Arial" w:cs="Arial"/>
        <w:noProof/>
      </w:rPr>
      <w:t>i</w:t>
    </w:r>
    <w:r>
      <w:rPr>
        <w:rStyle w:val="PageNumber"/>
        <w:rFonts w:ascii="Arial" w:hAnsi="Arial" w:cs="Arial"/>
      </w:rPr>
      <w:fldChar w:fldCharType="end"/>
    </w:r>
  </w:p>
  <w:p w:rsidR="002807DE" w:rsidRDefault="00BD35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D30">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807DE" w:rsidRDefault="00BD35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D30">
      <w:rPr>
        <w:rStyle w:val="CharPageNo"/>
        <w:rFonts w:ascii="Arial" w:hAnsi="Arial"/>
        <w:noProof/>
      </w:rPr>
      <w:t>29</w:t>
    </w:r>
    <w:r>
      <w:rPr>
        <w:rStyle w:val="CharPageNo"/>
        <w:rFonts w:ascii="Arial" w:hAnsi="Arial"/>
      </w:rPr>
      <w:fldChar w:fldCharType="end"/>
    </w:r>
  </w:p>
  <w:p w:rsidR="002807DE" w:rsidRDefault="00BD35A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Footer"/>
      <w:tabs>
        <w:tab w:val="clear" w:pos="4153"/>
        <w:tab w:val="right" w:pos="7088"/>
      </w:tabs>
      <w:rPr>
        <w:rStyle w:val="PageNumber"/>
      </w:rPr>
    </w:pPr>
  </w:p>
  <w:p w:rsidR="002807DE" w:rsidRDefault="00BD35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82D30">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82D30">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82D30">
      <w:rPr>
        <w:rStyle w:val="CharPageNo"/>
        <w:rFonts w:ascii="Arial" w:hAnsi="Arial"/>
        <w:noProof/>
      </w:rPr>
      <w:t>1</w:t>
    </w:r>
    <w:r>
      <w:rPr>
        <w:rStyle w:val="CharPageNo"/>
        <w:rFonts w:ascii="Arial" w:hAnsi="Arial"/>
      </w:rPr>
      <w:fldChar w:fldCharType="end"/>
    </w:r>
  </w:p>
  <w:p w:rsidR="002807DE" w:rsidRDefault="00BD35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7DE" w:rsidRDefault="00BD35AB">
      <w:r>
        <w:separator/>
      </w:r>
    </w:p>
  </w:footnote>
  <w:footnote w:type="continuationSeparator" w:id="0">
    <w:p w:rsidR="002807DE" w:rsidRDefault="00BD3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BD35AB">
    <w:pPr>
      <w:pStyle w:val="headerpartodd"/>
      <w:ind w:left="0" w:firstLine="0"/>
      <w:rPr>
        <w:i/>
      </w:rPr>
    </w:pPr>
    <w:r>
      <w:rPr>
        <w:i/>
      </w:rPr>
      <w:fldChar w:fldCharType="begin"/>
    </w:r>
    <w:r>
      <w:rPr>
        <w:i/>
      </w:rPr>
      <w:instrText xml:space="preserve"> Styleref "Name of Act/Reg" </w:instrText>
    </w:r>
    <w:r>
      <w:rPr>
        <w:i/>
      </w:rPr>
      <w:fldChar w:fldCharType="separate"/>
    </w:r>
    <w:r w:rsidR="00C82D30">
      <w:rPr>
        <w:i/>
        <w:noProof/>
      </w:rPr>
      <w:t>Iron Ore Processing (BHP Minerals) Agreement Act 1994</w:t>
    </w:r>
    <w:r>
      <w:rPr>
        <w:i/>
      </w:rPr>
      <w:fldChar w:fldCharType="end"/>
    </w:r>
  </w:p>
  <w:p w:rsidR="002807DE" w:rsidRDefault="00BD35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807DE" w:rsidRDefault="00BD35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807DE" w:rsidRDefault="002807DE">
    <w:pPr>
      <w:pStyle w:val="headerpart"/>
    </w:pPr>
  </w:p>
  <w:p w:rsidR="002807DE" w:rsidRDefault="002807DE">
    <w:pPr>
      <w:pBdr>
        <w:bottom w:val="single" w:sz="6" w:space="1" w:color="auto"/>
      </w:pBdr>
      <w:rPr>
        <w:b/>
      </w:rPr>
    </w:pPr>
  </w:p>
  <w:p w:rsidR="002807DE" w:rsidRDefault="002807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07DE">
      <w:trPr>
        <w:cantSplit/>
      </w:trPr>
      <w:tc>
        <w:tcPr>
          <w:tcW w:w="7312" w:type="dxa"/>
          <w:gridSpan w:val="2"/>
        </w:tcPr>
        <w:p w:rsidR="002807DE" w:rsidRDefault="00BD35AB">
          <w:pPr>
            <w:pStyle w:val="HeaderActNameLeft"/>
          </w:pPr>
          <w:fldSimple w:instr=" Styleref &quot;Name of Act/Reg&quot; ">
            <w:r w:rsidR="00C82D30">
              <w:rPr>
                <w:noProof/>
              </w:rPr>
              <w:t>Iron Ore Processing (BHP Minerals) Agreement Act 1994</w:t>
            </w:r>
          </w:fldSimple>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rPr>
        <w:cantSplit/>
      </w:trPr>
      <w:tc>
        <w:tcPr>
          <w:tcW w:w="7312" w:type="dxa"/>
          <w:gridSpan w:val="2"/>
        </w:tcPr>
        <w:p w:rsidR="002807DE" w:rsidRDefault="00BD35AB">
          <w:pPr>
            <w:pStyle w:val="HeaderSectionLeft"/>
          </w:pPr>
          <w:r>
            <w:fldChar w:fldCharType="begin"/>
          </w:r>
          <w:r>
            <w:instrText xml:space="preserve"> styleref CharSchNo</w:instrText>
          </w:r>
          <w:r>
            <w:fldChar w:fldCharType="end"/>
          </w:r>
        </w:p>
      </w:tc>
    </w:tr>
  </w:tbl>
  <w:p w:rsidR="002807DE" w:rsidRDefault="002807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2807DE">
      <w:trPr>
        <w:gridAfter w:val="1"/>
        <w:wAfter w:w="36" w:type="dxa"/>
        <w:cantSplit/>
      </w:trPr>
      <w:tc>
        <w:tcPr>
          <w:tcW w:w="7312" w:type="dxa"/>
          <w:gridSpan w:val="3"/>
        </w:tcPr>
        <w:p w:rsidR="002807DE" w:rsidRDefault="00BD35AB">
          <w:pPr>
            <w:pStyle w:val="HeaderActNameRight"/>
          </w:pPr>
          <w:fldSimple w:instr=" Styleref &quot;Name of Act/Reg&quot; ">
            <w:r w:rsidR="00C82D30">
              <w:rPr>
                <w:noProof/>
              </w:rPr>
              <w:t>Iron Ore Processing (BHP Minerals) Agreement Act 1994</w:t>
            </w:r>
          </w:fldSimple>
        </w:p>
      </w:tc>
    </w:tr>
    <w:tr w:rsidR="002807DE">
      <w:tblPrEx>
        <w:tblCellMar>
          <w:left w:w="72" w:type="dxa"/>
          <w:right w:w="72" w:type="dxa"/>
        </w:tblCellMar>
      </w:tblPrEx>
      <w:trPr>
        <w:gridBefore w:val="1"/>
        <w:wBefore w:w="36" w:type="dxa"/>
      </w:trPr>
      <w:tc>
        <w:tcPr>
          <w:tcW w:w="5760" w:type="dxa"/>
        </w:tcPr>
        <w:p w:rsidR="002807DE" w:rsidRDefault="002807DE">
          <w:pPr>
            <w:pStyle w:val="HeaderTextRight"/>
          </w:pPr>
        </w:p>
      </w:tc>
      <w:tc>
        <w:tcPr>
          <w:tcW w:w="1552" w:type="dxa"/>
          <w:gridSpan w:val="2"/>
        </w:tcPr>
        <w:p w:rsidR="002807DE" w:rsidRDefault="002807DE">
          <w:pPr>
            <w:pStyle w:val="HeaderNumberRight"/>
          </w:pPr>
        </w:p>
      </w:tc>
    </w:tr>
    <w:tr w:rsidR="002807DE">
      <w:tblPrEx>
        <w:tblCellMar>
          <w:left w:w="72" w:type="dxa"/>
          <w:right w:w="72" w:type="dxa"/>
        </w:tblCellMar>
      </w:tblPrEx>
      <w:trPr>
        <w:gridBefore w:val="1"/>
        <w:wBefore w:w="36" w:type="dxa"/>
      </w:trPr>
      <w:tc>
        <w:tcPr>
          <w:tcW w:w="5760" w:type="dxa"/>
        </w:tcPr>
        <w:p w:rsidR="002807DE" w:rsidRDefault="002807DE">
          <w:pPr>
            <w:pStyle w:val="HeaderTextRight"/>
          </w:pPr>
        </w:p>
      </w:tc>
      <w:tc>
        <w:tcPr>
          <w:tcW w:w="1552" w:type="dxa"/>
          <w:gridSpan w:val="2"/>
        </w:tcPr>
        <w:p w:rsidR="002807DE" w:rsidRDefault="002807DE">
          <w:pPr>
            <w:pStyle w:val="HeaderNumberRight"/>
          </w:pPr>
        </w:p>
      </w:tc>
    </w:tr>
    <w:tr w:rsidR="002807DE">
      <w:trPr>
        <w:gridAfter w:val="1"/>
        <w:wAfter w:w="36" w:type="dxa"/>
        <w:cantSplit/>
      </w:trPr>
      <w:tc>
        <w:tcPr>
          <w:tcW w:w="7312" w:type="dxa"/>
          <w:gridSpan w:val="3"/>
        </w:tcPr>
        <w:p w:rsidR="002807DE" w:rsidRDefault="00BD35AB">
          <w:pPr>
            <w:pStyle w:val="HeaderSectionRight"/>
          </w:pPr>
          <w:r>
            <w:fldChar w:fldCharType="begin"/>
          </w:r>
          <w:r>
            <w:instrText xml:space="preserve"> styleref CharSchNo </w:instrText>
          </w:r>
          <w:r>
            <w:fldChar w:fldCharType="end"/>
          </w:r>
        </w:p>
      </w:tc>
    </w:tr>
  </w:tbl>
  <w:p w:rsidR="002807DE" w:rsidRDefault="002807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07DE">
      <w:trPr>
        <w:cantSplit/>
      </w:trPr>
      <w:tc>
        <w:tcPr>
          <w:tcW w:w="7312" w:type="dxa"/>
          <w:gridSpan w:val="2"/>
        </w:tcPr>
        <w:p w:rsidR="002807DE" w:rsidRDefault="00BD35AB">
          <w:pPr>
            <w:pStyle w:val="HeaderActNameLeft"/>
          </w:pPr>
          <w:fldSimple w:instr=" Styleref &quot;Name of Act/Reg&quot; ">
            <w:r w:rsidR="00C82D30">
              <w:rPr>
                <w:noProof/>
              </w:rPr>
              <w:t>Iron Ore Processing (BHP Minerals) Agreement Act 1994</w:t>
            </w:r>
          </w:fldSimple>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rPr>
        <w:cantSplit/>
      </w:trPr>
      <w:tc>
        <w:tcPr>
          <w:tcW w:w="7312" w:type="dxa"/>
          <w:gridSpan w:val="2"/>
        </w:tcPr>
        <w:p w:rsidR="002807DE" w:rsidRDefault="002807DE">
          <w:pPr>
            <w:pStyle w:val="HeaderSectionLeft"/>
          </w:pPr>
        </w:p>
      </w:tc>
    </w:tr>
  </w:tbl>
  <w:p w:rsidR="002807DE" w:rsidRDefault="002807D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07DE">
      <w:trPr>
        <w:cantSplit/>
      </w:trPr>
      <w:tc>
        <w:tcPr>
          <w:tcW w:w="7312" w:type="dxa"/>
          <w:gridSpan w:val="2"/>
        </w:tcPr>
        <w:p w:rsidR="002807DE" w:rsidRDefault="00BD35AB">
          <w:pPr>
            <w:pStyle w:val="HeaderActNameRight"/>
          </w:pPr>
          <w:fldSimple w:instr=" Styleref &quot;Name of Act/Reg&quot; ">
            <w:r w:rsidR="00C82D30">
              <w:rPr>
                <w:noProof/>
              </w:rPr>
              <w:t>Iron Ore Processing (BHP Minerals) Agreement Act 1994</w:t>
            </w:r>
          </w:fldSimple>
        </w:p>
      </w:tc>
    </w:tr>
    <w:tr w:rsidR="002807DE">
      <w:tc>
        <w:tcPr>
          <w:tcW w:w="5760" w:type="dxa"/>
        </w:tcPr>
        <w:p w:rsidR="002807DE" w:rsidRDefault="002807DE">
          <w:pPr>
            <w:pStyle w:val="HeaderTextRight"/>
          </w:pPr>
        </w:p>
      </w:tc>
      <w:tc>
        <w:tcPr>
          <w:tcW w:w="1552" w:type="dxa"/>
        </w:tcPr>
        <w:p w:rsidR="002807DE" w:rsidRDefault="002807DE">
          <w:pPr>
            <w:pStyle w:val="HeaderNumberRight"/>
          </w:pPr>
        </w:p>
      </w:tc>
    </w:tr>
    <w:tr w:rsidR="002807DE">
      <w:tc>
        <w:tcPr>
          <w:tcW w:w="5760" w:type="dxa"/>
        </w:tcPr>
        <w:p w:rsidR="002807DE" w:rsidRDefault="002807DE">
          <w:pPr>
            <w:pStyle w:val="HeaderTextRight"/>
          </w:pPr>
        </w:p>
      </w:tc>
      <w:tc>
        <w:tcPr>
          <w:tcW w:w="1552" w:type="dxa"/>
        </w:tcPr>
        <w:p w:rsidR="002807DE" w:rsidRDefault="002807DE">
          <w:pPr>
            <w:pStyle w:val="HeaderNumberRight"/>
          </w:pPr>
        </w:p>
      </w:tc>
    </w:tr>
    <w:tr w:rsidR="002807DE">
      <w:trPr>
        <w:cantSplit/>
      </w:trPr>
      <w:tc>
        <w:tcPr>
          <w:tcW w:w="7312" w:type="dxa"/>
          <w:gridSpan w:val="2"/>
        </w:tcPr>
        <w:p w:rsidR="002807DE" w:rsidRDefault="002807DE">
          <w:pPr>
            <w:pStyle w:val="HeaderSectionRight"/>
          </w:pPr>
        </w:p>
      </w:tc>
    </w:tr>
  </w:tbl>
  <w:p w:rsidR="002807DE" w:rsidRDefault="002807D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BD35AB">
    <w:pPr>
      <w:pStyle w:val="headerpartodd"/>
      <w:ind w:left="0" w:firstLine="0"/>
      <w:rPr>
        <w:i/>
      </w:rPr>
    </w:pPr>
    <w:r>
      <w:rPr>
        <w:i/>
      </w:rPr>
      <w:fldChar w:fldCharType="begin"/>
    </w:r>
    <w:r>
      <w:rPr>
        <w:i/>
      </w:rPr>
      <w:instrText xml:space="preserve"> Styleref "Name of Act/Reg" </w:instrText>
    </w:r>
    <w:r>
      <w:rPr>
        <w:i/>
      </w:rPr>
      <w:fldChar w:fldCharType="separate"/>
    </w:r>
    <w:r w:rsidR="00C82D30">
      <w:rPr>
        <w:i/>
        <w:noProof/>
      </w:rPr>
      <w:t>Iron Ore Processing (BHP Minerals) Agreement Act 1994</w:t>
    </w:r>
    <w:r>
      <w:rPr>
        <w:i/>
      </w:rPr>
      <w:fldChar w:fldCharType="end"/>
    </w:r>
  </w:p>
  <w:p w:rsidR="002807DE" w:rsidRDefault="002807DE">
    <w:pPr>
      <w:pStyle w:val="headerpartodd"/>
      <w:ind w:left="0" w:firstLine="0"/>
      <w:rPr>
        <w:b w:val="0"/>
        <w:i/>
      </w:rPr>
    </w:pPr>
  </w:p>
  <w:p w:rsidR="002807DE" w:rsidRDefault="002807DE">
    <w:pPr>
      <w:pStyle w:val="headerpart"/>
    </w:pPr>
  </w:p>
  <w:p w:rsidR="002807DE" w:rsidRDefault="002807DE">
    <w:pPr>
      <w:pStyle w:val="headerpart"/>
    </w:pPr>
  </w:p>
  <w:p w:rsidR="002807DE" w:rsidRDefault="002807DE">
    <w:pPr>
      <w:pBdr>
        <w:bottom w:val="single" w:sz="6" w:space="1" w:color="auto"/>
      </w:pBdr>
      <w:rPr>
        <w:b/>
      </w:rPr>
    </w:pPr>
  </w:p>
  <w:p w:rsidR="002807DE" w:rsidRDefault="002807D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BD35AB">
    <w:pPr>
      <w:pStyle w:val="headerpartodd"/>
      <w:ind w:left="0" w:firstLine="0"/>
      <w:jc w:val="right"/>
      <w:rPr>
        <w:i/>
      </w:rPr>
    </w:pPr>
    <w:r>
      <w:rPr>
        <w:i/>
      </w:rPr>
      <w:fldChar w:fldCharType="begin"/>
    </w:r>
    <w:r>
      <w:rPr>
        <w:i/>
      </w:rPr>
      <w:instrText xml:space="preserve"> Styleref "Name of Act/Reg" </w:instrText>
    </w:r>
    <w:r>
      <w:rPr>
        <w:i/>
      </w:rPr>
      <w:fldChar w:fldCharType="separate"/>
    </w:r>
    <w:r w:rsidR="00C82D30">
      <w:rPr>
        <w:i/>
        <w:noProof/>
      </w:rPr>
      <w:t>Iron Ore Processing (BHP Minerals) Agreement Act 1994</w:t>
    </w:r>
    <w:r>
      <w:rPr>
        <w:i/>
      </w:rPr>
      <w:fldChar w:fldCharType="end"/>
    </w:r>
  </w:p>
  <w:p w:rsidR="002807DE" w:rsidRDefault="002807DE">
    <w:pPr>
      <w:pStyle w:val="headerpartodd"/>
      <w:ind w:left="0" w:firstLine="0"/>
      <w:jc w:val="right"/>
      <w:rPr>
        <w:b w:val="0"/>
        <w:i/>
      </w:rPr>
    </w:pPr>
  </w:p>
  <w:p w:rsidR="002807DE" w:rsidRDefault="002807DE">
    <w:pPr>
      <w:pStyle w:val="headerpart"/>
      <w:jc w:val="right"/>
    </w:pPr>
  </w:p>
  <w:p w:rsidR="002807DE" w:rsidRDefault="002807DE">
    <w:pPr>
      <w:pStyle w:val="headerpart"/>
      <w:jc w:val="right"/>
    </w:pPr>
  </w:p>
  <w:p w:rsidR="002807DE" w:rsidRDefault="002807DE">
    <w:pPr>
      <w:pBdr>
        <w:bottom w:val="single" w:sz="6" w:space="1" w:color="auto"/>
      </w:pBdr>
      <w:jc w:val="right"/>
      <w:rPr>
        <w:b/>
      </w:rPr>
    </w:pPr>
  </w:p>
  <w:p w:rsidR="002807DE" w:rsidRDefault="002807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807DE">
      <w:trPr>
        <w:cantSplit/>
      </w:trPr>
      <w:tc>
        <w:tcPr>
          <w:tcW w:w="7312" w:type="dxa"/>
          <w:gridSpan w:val="2"/>
        </w:tcPr>
        <w:p w:rsidR="002807DE" w:rsidRDefault="00BD35AB">
          <w:pPr>
            <w:pStyle w:val="HeaderActNameLeft"/>
          </w:pPr>
          <w:r>
            <w:rPr>
              <w:i w:val="0"/>
            </w:rPr>
            <w:fldChar w:fldCharType="begin"/>
          </w:r>
          <w:r>
            <w:rPr>
              <w:i w:val="0"/>
            </w:rPr>
            <w:instrText xml:space="preserve"> Styleref "Name of Act/Reg" </w:instrText>
          </w:r>
          <w:r>
            <w:rPr>
              <w:i w:val="0"/>
            </w:rPr>
            <w:fldChar w:fldCharType="separate"/>
          </w:r>
          <w:r w:rsidR="00C82D30">
            <w:rPr>
              <w:i w:val="0"/>
              <w:noProof/>
            </w:rPr>
            <w:t>Iron Ore Processing (BHP Minerals) Agreement Act 1994</w:t>
          </w:r>
          <w:r>
            <w:rPr>
              <w:i w:val="0"/>
            </w:rPr>
            <w:fldChar w:fldCharType="end"/>
          </w:r>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c>
        <w:tcPr>
          <w:tcW w:w="1548" w:type="dxa"/>
        </w:tcPr>
        <w:p w:rsidR="002807DE" w:rsidRDefault="002807DE">
          <w:pPr>
            <w:pStyle w:val="HeaderNumberLeft"/>
          </w:pPr>
        </w:p>
      </w:tc>
      <w:tc>
        <w:tcPr>
          <w:tcW w:w="5764" w:type="dxa"/>
        </w:tcPr>
        <w:p w:rsidR="002807DE" w:rsidRDefault="002807DE">
          <w:pPr>
            <w:pStyle w:val="HeaderTextLeft"/>
          </w:pPr>
        </w:p>
      </w:tc>
    </w:tr>
    <w:tr w:rsidR="002807DE">
      <w:trPr>
        <w:cantSplit/>
      </w:trPr>
      <w:tc>
        <w:tcPr>
          <w:tcW w:w="7312" w:type="dxa"/>
          <w:gridSpan w:val="2"/>
        </w:tcPr>
        <w:p w:rsidR="002807DE" w:rsidRDefault="002807DE">
          <w:pPr>
            <w:pStyle w:val="HeaderSectionLeft"/>
          </w:pPr>
        </w:p>
      </w:tc>
    </w:tr>
  </w:tbl>
  <w:p w:rsidR="002807DE" w:rsidRDefault="002807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807DE">
      <w:trPr>
        <w:cantSplit/>
      </w:trPr>
      <w:tc>
        <w:tcPr>
          <w:tcW w:w="7312" w:type="dxa"/>
          <w:gridSpan w:val="2"/>
        </w:tcPr>
        <w:p w:rsidR="002807DE" w:rsidRDefault="00BD35AB">
          <w:pPr>
            <w:pStyle w:val="HeaderActNameRight"/>
          </w:pPr>
          <w:fldSimple w:instr=" Styleref &quot;Name of Act/Reg&quot; ">
            <w:r w:rsidR="00C82D30">
              <w:rPr>
                <w:noProof/>
              </w:rPr>
              <w:t>Iron Ore Processing (BHP Minerals) Agreement Act 1994</w:t>
            </w:r>
          </w:fldSimple>
        </w:p>
      </w:tc>
    </w:tr>
    <w:tr w:rsidR="002807DE">
      <w:tc>
        <w:tcPr>
          <w:tcW w:w="5760" w:type="dxa"/>
        </w:tcPr>
        <w:p w:rsidR="002807DE" w:rsidRDefault="002807DE">
          <w:pPr>
            <w:pStyle w:val="HeaderTextRight"/>
          </w:pPr>
        </w:p>
      </w:tc>
      <w:tc>
        <w:tcPr>
          <w:tcW w:w="1552" w:type="dxa"/>
        </w:tcPr>
        <w:p w:rsidR="002807DE" w:rsidRDefault="002807DE">
          <w:pPr>
            <w:pStyle w:val="HeaderNumberRight"/>
          </w:pPr>
        </w:p>
      </w:tc>
    </w:tr>
    <w:tr w:rsidR="002807DE">
      <w:tc>
        <w:tcPr>
          <w:tcW w:w="5760" w:type="dxa"/>
        </w:tcPr>
        <w:p w:rsidR="002807DE" w:rsidRDefault="002807DE">
          <w:pPr>
            <w:pStyle w:val="HeaderTextRight"/>
          </w:pPr>
        </w:p>
      </w:tc>
      <w:tc>
        <w:tcPr>
          <w:tcW w:w="1552" w:type="dxa"/>
        </w:tcPr>
        <w:p w:rsidR="002807DE" w:rsidRDefault="002807DE">
          <w:pPr>
            <w:pStyle w:val="HeaderNumberRight"/>
          </w:pPr>
        </w:p>
      </w:tc>
    </w:tr>
    <w:tr w:rsidR="002807DE">
      <w:trPr>
        <w:cantSplit/>
      </w:trPr>
      <w:tc>
        <w:tcPr>
          <w:tcW w:w="7312" w:type="dxa"/>
          <w:gridSpan w:val="2"/>
        </w:tcPr>
        <w:p w:rsidR="002807DE" w:rsidRDefault="002807DE">
          <w:pPr>
            <w:pStyle w:val="HeaderSectionRight"/>
          </w:pPr>
        </w:p>
      </w:tc>
    </w:tr>
  </w:tbl>
  <w:p w:rsidR="002807DE" w:rsidRDefault="002807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2807DE">
      <w:trPr>
        <w:cantSplit/>
      </w:trPr>
      <w:tc>
        <w:tcPr>
          <w:tcW w:w="7312" w:type="dxa"/>
          <w:gridSpan w:val="2"/>
        </w:tcPr>
        <w:p w:rsidR="002807DE" w:rsidRDefault="00BD35AB">
          <w:pPr>
            <w:pStyle w:val="HeaderActNameLeft"/>
          </w:pPr>
          <w:fldSimple w:instr=" Styleref &quot;Name of Act/Reg&quot; ">
            <w:r w:rsidR="00C82D30">
              <w:rPr>
                <w:noProof/>
              </w:rPr>
              <w:t>Iron Ore Processing (BHP Minerals) Agreement Act 1994</w:t>
            </w:r>
          </w:fldSimple>
        </w:p>
      </w:tc>
    </w:tr>
    <w:tr w:rsidR="002807DE">
      <w:tc>
        <w:tcPr>
          <w:tcW w:w="1305" w:type="dxa"/>
        </w:tcPr>
        <w:p w:rsidR="002807DE" w:rsidRDefault="00BD35AB">
          <w:pPr>
            <w:pStyle w:val="HeaderNumberLeft"/>
          </w:pPr>
          <w:r>
            <w:fldChar w:fldCharType="begin"/>
          </w:r>
          <w:r>
            <w:instrText xml:space="preserve"> styleref CharPartNo </w:instrText>
          </w:r>
          <w:r>
            <w:fldChar w:fldCharType="end"/>
          </w:r>
        </w:p>
      </w:tc>
      <w:tc>
        <w:tcPr>
          <w:tcW w:w="6007" w:type="dxa"/>
        </w:tcPr>
        <w:p w:rsidR="002807DE" w:rsidRDefault="00BD35AB">
          <w:pPr>
            <w:pStyle w:val="HeaderTextLeft"/>
          </w:pPr>
          <w:r>
            <w:fldChar w:fldCharType="begin"/>
          </w:r>
          <w:r>
            <w:instrText xml:space="preserve"> styleref CharPartText </w:instrText>
          </w:r>
          <w:r>
            <w:fldChar w:fldCharType="end"/>
          </w:r>
        </w:p>
      </w:tc>
    </w:tr>
    <w:tr w:rsidR="002807DE">
      <w:tc>
        <w:tcPr>
          <w:tcW w:w="1305" w:type="dxa"/>
        </w:tcPr>
        <w:p w:rsidR="002807DE" w:rsidRDefault="00BD35AB">
          <w:pPr>
            <w:pStyle w:val="HeaderNumberLeft"/>
          </w:pPr>
          <w:r>
            <w:fldChar w:fldCharType="begin"/>
          </w:r>
          <w:r>
            <w:instrText xml:space="preserve"> styleref CharDivNo </w:instrText>
          </w:r>
          <w:r>
            <w:fldChar w:fldCharType="end"/>
          </w:r>
        </w:p>
      </w:tc>
      <w:tc>
        <w:tcPr>
          <w:tcW w:w="6007" w:type="dxa"/>
        </w:tcPr>
        <w:p w:rsidR="002807DE" w:rsidRDefault="00BD35AB">
          <w:pPr>
            <w:pStyle w:val="HeaderTextLeft"/>
          </w:pPr>
          <w:r>
            <w:fldChar w:fldCharType="begin"/>
          </w:r>
          <w:r>
            <w:instrText xml:space="preserve"> styleref CharDivText </w:instrText>
          </w:r>
          <w:r>
            <w:fldChar w:fldCharType="end"/>
          </w:r>
        </w:p>
      </w:tc>
    </w:tr>
    <w:tr w:rsidR="002807DE">
      <w:trPr>
        <w:cantSplit/>
      </w:trPr>
      <w:tc>
        <w:tcPr>
          <w:tcW w:w="7312" w:type="dxa"/>
          <w:gridSpan w:val="2"/>
        </w:tcPr>
        <w:p w:rsidR="002807DE" w:rsidRDefault="00BD35AB">
          <w:pPr>
            <w:pStyle w:val="HeaderSectionLeft"/>
          </w:pPr>
          <w:r>
            <w:t xml:space="preserve">s. </w:t>
          </w:r>
          <w:fldSimple w:instr=" styleref CharSectno ">
            <w:r w:rsidR="00C82D30">
              <w:rPr>
                <w:noProof/>
              </w:rPr>
              <w:t>1</w:t>
            </w:r>
          </w:fldSimple>
        </w:p>
      </w:tc>
    </w:tr>
  </w:tbl>
  <w:p w:rsidR="002807DE" w:rsidRDefault="002807D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807DE">
      <w:trPr>
        <w:cantSplit/>
      </w:trPr>
      <w:tc>
        <w:tcPr>
          <w:tcW w:w="7312" w:type="dxa"/>
          <w:gridSpan w:val="2"/>
        </w:tcPr>
        <w:p w:rsidR="002807DE" w:rsidRDefault="00BD35AB">
          <w:pPr>
            <w:pStyle w:val="HeaderActNameRight"/>
          </w:pPr>
          <w:fldSimple w:instr=" Styleref &quot;Name of Act/Reg&quot; ">
            <w:r w:rsidR="00C82D30">
              <w:rPr>
                <w:noProof/>
              </w:rPr>
              <w:t>Iron Ore Processing (BHP Minerals) Agreement Act 1994</w:t>
            </w:r>
          </w:fldSimple>
        </w:p>
      </w:tc>
    </w:tr>
    <w:tr w:rsidR="002807DE">
      <w:tc>
        <w:tcPr>
          <w:tcW w:w="5985" w:type="dxa"/>
        </w:tcPr>
        <w:p w:rsidR="002807DE" w:rsidRDefault="00BD35AB">
          <w:pPr>
            <w:pStyle w:val="HeaderTextRight"/>
          </w:pPr>
          <w:r>
            <w:fldChar w:fldCharType="begin"/>
          </w:r>
          <w:r>
            <w:instrText xml:space="preserve"> styleref CharPartText </w:instrText>
          </w:r>
          <w:r>
            <w:fldChar w:fldCharType="end"/>
          </w:r>
        </w:p>
      </w:tc>
      <w:tc>
        <w:tcPr>
          <w:tcW w:w="1327" w:type="dxa"/>
        </w:tcPr>
        <w:p w:rsidR="002807DE" w:rsidRDefault="00BD35AB">
          <w:pPr>
            <w:pStyle w:val="HeaderNumberRight"/>
          </w:pPr>
          <w:r>
            <w:fldChar w:fldCharType="begin"/>
          </w:r>
          <w:r>
            <w:instrText xml:space="preserve"> styleref CharPartNo </w:instrText>
          </w:r>
          <w:r>
            <w:fldChar w:fldCharType="end"/>
          </w:r>
        </w:p>
      </w:tc>
    </w:tr>
    <w:tr w:rsidR="002807DE">
      <w:tc>
        <w:tcPr>
          <w:tcW w:w="5985" w:type="dxa"/>
        </w:tcPr>
        <w:p w:rsidR="002807DE" w:rsidRDefault="00BD35AB">
          <w:pPr>
            <w:pStyle w:val="HeaderTextRight"/>
          </w:pPr>
          <w:r>
            <w:fldChar w:fldCharType="begin"/>
          </w:r>
          <w:r>
            <w:instrText xml:space="preserve"> styleref CharDivText </w:instrText>
          </w:r>
          <w:r>
            <w:fldChar w:fldCharType="end"/>
          </w:r>
        </w:p>
      </w:tc>
      <w:tc>
        <w:tcPr>
          <w:tcW w:w="1327" w:type="dxa"/>
        </w:tcPr>
        <w:p w:rsidR="002807DE" w:rsidRDefault="00BD35AB">
          <w:pPr>
            <w:pStyle w:val="HeaderNumberRight"/>
          </w:pPr>
          <w:r>
            <w:fldChar w:fldCharType="begin"/>
          </w:r>
          <w:r>
            <w:instrText xml:space="preserve"> styleref CharDivNo </w:instrText>
          </w:r>
          <w:r>
            <w:fldChar w:fldCharType="end"/>
          </w:r>
        </w:p>
      </w:tc>
    </w:tr>
    <w:tr w:rsidR="002807DE">
      <w:trPr>
        <w:cantSplit/>
      </w:trPr>
      <w:tc>
        <w:tcPr>
          <w:tcW w:w="7312" w:type="dxa"/>
          <w:gridSpan w:val="2"/>
        </w:tcPr>
        <w:p w:rsidR="002807DE" w:rsidRDefault="00BD35AB">
          <w:pPr>
            <w:pStyle w:val="HeaderSectionRight"/>
          </w:pPr>
          <w:r>
            <w:t xml:space="preserve">s. </w:t>
          </w:r>
          <w:fldSimple w:instr=" styleref CharSectno ">
            <w:r w:rsidR="00C82D30">
              <w:rPr>
                <w:noProof/>
              </w:rPr>
              <w:t>1</w:t>
            </w:r>
          </w:fldSimple>
        </w:p>
      </w:tc>
    </w:tr>
  </w:tbl>
  <w:p w:rsidR="002807DE" w:rsidRDefault="002807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7DE" w:rsidRDefault="00280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AD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8D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03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8F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888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5A43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64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189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68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79C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DCED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84DC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AB"/>
    <w:rsid w:val="002807DE"/>
    <w:rsid w:val="00BD35AB"/>
    <w:rsid w:val="00C82D30"/>
    <w:rsid w:val="00E16115"/>
    <w:rsid w:val="00F37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9348</Words>
  <Characters>47024</Characters>
  <Application>Microsoft Office Word</Application>
  <DocSecurity>0</DocSecurity>
  <Lines>1093</Lines>
  <Paragraphs>366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1994 - 01-b0-01</dc:title>
  <dc:subject/>
  <dc:creator>harroldd</dc:creator>
  <cp:keywords/>
  <cp:lastModifiedBy>svcMRProcess</cp:lastModifiedBy>
  <cp:revision>4</cp:revision>
  <cp:lastPrinted>2004-02-13T08:26:00Z</cp:lastPrinted>
  <dcterms:created xsi:type="dcterms:W3CDTF">2013-02-17T09:25:00Z</dcterms:created>
  <dcterms:modified xsi:type="dcterms:W3CDTF">2013-02-17T09:25:00Z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399</vt:i4>
  </property>
  <property fmtid="{D5CDD505-2E9C-101B-9397-08002B2CF9AE}" pid="6" name="AsAtDate">
    <vt:lpwstr>28 Jun 2010</vt:lpwstr>
  </property>
  <property fmtid="{D5CDD505-2E9C-101B-9397-08002B2CF9AE}" pid="7" name="Suffix">
    <vt:lpwstr>01-b0-01</vt:lpwstr>
  </property>
</Properties>
</file>