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Retail Trading Hours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Retail Trading Hours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_Toc166668568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_Toc166668569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_Toc166668570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_Toc166668571 \h </w:instrText>
      </w:r>
      <w:r>
        <w:fldChar w:fldCharType="separate"/>
      </w:r>
      <w:r>
        <w:t>5</w:t>
      </w:r>
      <w:r>
        <w:fldChar w:fldCharType="end"/>
      </w:r>
    </w:p>
    <w:p>
      <w:pPr>
        <w:pStyle w:val="TOC8"/>
        <w:rPr>
          <w:sz w:val="24"/>
          <w:szCs w:val="24"/>
        </w:rPr>
      </w:pPr>
      <w:r>
        <w:rPr>
          <w:szCs w:val="24"/>
        </w:rPr>
        <w:t>5.</w:t>
      </w:r>
      <w:r>
        <w:rPr>
          <w:szCs w:val="24"/>
        </w:rPr>
        <w:tab/>
        <w:t>Interpretation Act applies to orders</w:t>
      </w:r>
      <w:r>
        <w:tab/>
      </w:r>
      <w:r>
        <w:fldChar w:fldCharType="begin"/>
      </w:r>
      <w:r>
        <w:instrText xml:space="preserve"> PAGEREF _Toc166668572 \h </w:instrText>
      </w:r>
      <w:r>
        <w:fldChar w:fldCharType="separate"/>
      </w:r>
      <w:r>
        <w:t>5</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Officers</w:t>
      </w:r>
      <w:r>
        <w:tab/>
      </w:r>
      <w:r>
        <w:fldChar w:fldCharType="begin"/>
      </w:r>
      <w:r>
        <w:instrText xml:space="preserve"> PAGEREF _Toc166668574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Inspectors</w:t>
      </w:r>
      <w:r>
        <w:tab/>
      </w:r>
      <w:r>
        <w:fldChar w:fldCharType="begin"/>
      </w:r>
      <w:r>
        <w:instrText xml:space="preserve"> PAGEREF _Toc166668575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Certificate of identity</w:t>
      </w:r>
      <w:r>
        <w:tab/>
      </w:r>
      <w:r>
        <w:fldChar w:fldCharType="begin"/>
      </w:r>
      <w:r>
        <w:instrText xml:space="preserve"> PAGEREF _Toc166668576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Inspector subject to chief executive officer</w:t>
      </w:r>
      <w:r>
        <w:tab/>
      </w:r>
      <w:r>
        <w:fldChar w:fldCharType="begin"/>
      </w:r>
      <w:r>
        <w:instrText xml:space="preserve"> PAGEREF _Toc166668577 \h </w:instrText>
      </w:r>
      <w:r>
        <w:fldChar w:fldCharType="separate"/>
      </w:r>
      <w:r>
        <w:t>6</w:t>
      </w:r>
      <w:r>
        <w:fldChar w:fldCharType="end"/>
      </w:r>
    </w:p>
    <w:p>
      <w:pPr>
        <w:pStyle w:val="TOC2"/>
        <w:tabs>
          <w:tab w:val="right" w:leader="dot" w:pos="7086"/>
        </w:tabs>
        <w:rPr>
          <w:b w:val="0"/>
          <w:sz w:val="24"/>
          <w:szCs w:val="24"/>
        </w:rPr>
      </w:pPr>
      <w:r>
        <w:rPr>
          <w:szCs w:val="30"/>
        </w:rPr>
        <w:t>Part III — Retail trading hours</w:t>
      </w:r>
    </w:p>
    <w:p>
      <w:pPr>
        <w:pStyle w:val="TOC8"/>
        <w:rPr>
          <w:sz w:val="24"/>
          <w:szCs w:val="24"/>
        </w:rPr>
      </w:pPr>
      <w:r>
        <w:rPr>
          <w:szCs w:val="24"/>
        </w:rPr>
        <w:t>10</w:t>
      </w:r>
      <w:r>
        <w:rPr>
          <w:snapToGrid w:val="0"/>
          <w:szCs w:val="24"/>
        </w:rPr>
        <w:t>.</w:t>
      </w:r>
      <w:r>
        <w:rPr>
          <w:snapToGrid w:val="0"/>
          <w:szCs w:val="24"/>
        </w:rPr>
        <w:tab/>
        <w:t>Categories of retail shops</w:t>
      </w:r>
      <w:r>
        <w:tab/>
      </w:r>
      <w:r>
        <w:fldChar w:fldCharType="begin"/>
      </w:r>
      <w:r>
        <w:instrText xml:space="preserve"> PAGEREF _Toc166668579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Issue and cancellation of certificates for small retail shops and special retail shops</w:t>
      </w:r>
      <w:r>
        <w:tab/>
      </w:r>
      <w:r>
        <w:fldChar w:fldCharType="begin"/>
      </w:r>
      <w:r>
        <w:instrText xml:space="preserve"> PAGEREF _Toc166668580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Trading hours for retail shops</w:t>
      </w:r>
      <w:r>
        <w:tab/>
      </w:r>
      <w:r>
        <w:fldChar w:fldCharType="begin"/>
      </w:r>
      <w:r>
        <w:instrText xml:space="preserve"> PAGEREF _Toc166668581 \h </w:instrText>
      </w:r>
      <w:r>
        <w:fldChar w:fldCharType="separate"/>
      </w:r>
      <w:r>
        <w:t>13</w:t>
      </w:r>
      <w:r>
        <w:fldChar w:fldCharType="end"/>
      </w:r>
    </w:p>
    <w:p>
      <w:pPr>
        <w:pStyle w:val="TOC8"/>
        <w:rPr>
          <w:sz w:val="24"/>
          <w:szCs w:val="24"/>
        </w:rPr>
      </w:pPr>
      <w:r>
        <w:rPr>
          <w:szCs w:val="24"/>
        </w:rPr>
        <w:t>12A.</w:t>
      </w:r>
      <w:r>
        <w:rPr>
          <w:szCs w:val="24"/>
        </w:rPr>
        <w:tab/>
        <w:t>Trading hours for general retail shops in tourism precincts and holiday resorts</w:t>
      </w:r>
      <w:r>
        <w:tab/>
      </w:r>
      <w:r>
        <w:fldChar w:fldCharType="begin"/>
      </w:r>
      <w:r>
        <w:instrText xml:space="preserve"> PAGEREF _Toc166668582 \h </w:instrText>
      </w:r>
      <w:r>
        <w:fldChar w:fldCharType="separate"/>
      </w:r>
      <w:r>
        <w:t>14</w:t>
      </w:r>
      <w:r>
        <w:fldChar w:fldCharType="end"/>
      </w:r>
    </w:p>
    <w:p>
      <w:pPr>
        <w:pStyle w:val="TOC8"/>
        <w:rPr>
          <w:sz w:val="24"/>
          <w:szCs w:val="24"/>
        </w:rPr>
      </w:pPr>
      <w:r>
        <w:rPr>
          <w:szCs w:val="24"/>
        </w:rPr>
        <w:t>12B.</w:t>
      </w:r>
      <w:r>
        <w:rPr>
          <w:szCs w:val="24"/>
        </w:rPr>
        <w:tab/>
        <w:t>Trading hours for motor vehicle shops</w:t>
      </w:r>
      <w:r>
        <w:tab/>
      </w:r>
      <w:r>
        <w:fldChar w:fldCharType="begin"/>
      </w:r>
      <w:r>
        <w:instrText xml:space="preserve"> PAGEREF _Toc166668583 \h </w:instrText>
      </w:r>
      <w:r>
        <w:fldChar w:fldCharType="separate"/>
      </w:r>
      <w:r>
        <w:t>15</w:t>
      </w:r>
      <w:r>
        <w:fldChar w:fldCharType="end"/>
      </w:r>
    </w:p>
    <w:p>
      <w:pPr>
        <w:pStyle w:val="TOC8"/>
        <w:rPr>
          <w:sz w:val="24"/>
          <w:szCs w:val="24"/>
        </w:rPr>
      </w:pPr>
      <w:r>
        <w:rPr>
          <w:szCs w:val="24"/>
        </w:rPr>
        <w:t>12C.</w:t>
      </w:r>
      <w:r>
        <w:rPr>
          <w:szCs w:val="24"/>
        </w:rPr>
        <w:tab/>
        <w:t>No restriction on trading hours for small retail shops</w:t>
      </w:r>
      <w:r>
        <w:tab/>
      </w:r>
      <w:r>
        <w:fldChar w:fldCharType="begin"/>
      </w:r>
      <w:r>
        <w:instrText xml:space="preserve"> PAGEREF _Toc166668584 \h </w:instrText>
      </w:r>
      <w:r>
        <w:fldChar w:fldCharType="separate"/>
      </w:r>
      <w:r>
        <w:t>15</w:t>
      </w:r>
      <w:r>
        <w:fldChar w:fldCharType="end"/>
      </w:r>
    </w:p>
    <w:p>
      <w:pPr>
        <w:pStyle w:val="TOC8"/>
        <w:rPr>
          <w:sz w:val="24"/>
          <w:szCs w:val="24"/>
        </w:rPr>
      </w:pPr>
      <w:r>
        <w:rPr>
          <w:szCs w:val="24"/>
        </w:rPr>
        <w:t>12D.</w:t>
      </w:r>
      <w:r>
        <w:rPr>
          <w:szCs w:val="24"/>
        </w:rPr>
        <w:tab/>
        <w:t>Trading hours for special retail shops</w:t>
      </w:r>
      <w:r>
        <w:tab/>
      </w:r>
      <w:r>
        <w:fldChar w:fldCharType="begin"/>
      </w:r>
      <w:r>
        <w:instrText xml:space="preserve"> PAGEREF _Toc166668585 \h </w:instrText>
      </w:r>
      <w:r>
        <w:fldChar w:fldCharType="separate"/>
      </w:r>
      <w:r>
        <w:t>15</w:t>
      </w:r>
      <w:r>
        <w:fldChar w:fldCharType="end"/>
      </w:r>
    </w:p>
    <w:p>
      <w:pPr>
        <w:pStyle w:val="TOC8"/>
        <w:rPr>
          <w:sz w:val="24"/>
          <w:szCs w:val="24"/>
        </w:rPr>
      </w:pPr>
      <w:r>
        <w:rPr>
          <w:szCs w:val="24"/>
        </w:rPr>
        <w:t>12E.</w:t>
      </w:r>
      <w:r>
        <w:rPr>
          <w:szCs w:val="24"/>
        </w:rPr>
        <w:tab/>
        <w:t>Variation of trading hours</w:t>
      </w:r>
      <w:r>
        <w:tab/>
      </w:r>
      <w:r>
        <w:fldChar w:fldCharType="begin"/>
      </w:r>
      <w:r>
        <w:instrText xml:space="preserve"> PAGEREF _Toc166668586 \h </w:instrText>
      </w:r>
      <w:r>
        <w:fldChar w:fldCharType="separate"/>
      </w:r>
      <w:r>
        <w:t>16</w:t>
      </w:r>
      <w:r>
        <w:fldChar w:fldCharType="end"/>
      </w:r>
    </w:p>
    <w:p>
      <w:pPr>
        <w:pStyle w:val="TOC8"/>
        <w:rPr>
          <w:sz w:val="24"/>
          <w:szCs w:val="24"/>
        </w:rPr>
      </w:pPr>
      <w:r>
        <w:rPr>
          <w:szCs w:val="24"/>
        </w:rPr>
        <w:t>14.</w:t>
      </w:r>
      <w:r>
        <w:rPr>
          <w:szCs w:val="24"/>
        </w:rPr>
        <w:tab/>
        <w:t>No restriction on trading hours for filling stations</w:t>
      </w:r>
      <w:r>
        <w:tab/>
      </w:r>
      <w:r>
        <w:fldChar w:fldCharType="begin"/>
      </w:r>
      <w:r>
        <w:instrText xml:space="preserve"> PAGEREF _Toc166668587 \h </w:instrText>
      </w:r>
      <w:r>
        <w:fldChar w:fldCharType="separate"/>
      </w:r>
      <w:r>
        <w:t>17</w:t>
      </w:r>
      <w:r>
        <w:fldChar w:fldCharType="end"/>
      </w:r>
    </w:p>
    <w:p>
      <w:pPr>
        <w:pStyle w:val="TOC8"/>
        <w:rPr>
          <w:sz w:val="24"/>
          <w:szCs w:val="24"/>
        </w:rPr>
      </w:pPr>
      <w:r>
        <w:rPr>
          <w:szCs w:val="24"/>
        </w:rPr>
        <w:t>14A.</w:t>
      </w:r>
      <w:r>
        <w:rPr>
          <w:szCs w:val="24"/>
        </w:rPr>
        <w:tab/>
        <w:t>Sale of goods at filling stations</w:t>
      </w:r>
      <w:r>
        <w:tab/>
      </w:r>
      <w:r>
        <w:fldChar w:fldCharType="begin"/>
      </w:r>
      <w:r>
        <w:instrText xml:space="preserve"> PAGEREF _Toc166668588 \h </w:instrText>
      </w:r>
      <w:r>
        <w:fldChar w:fldCharType="separate"/>
      </w:r>
      <w:r>
        <w:t>18</w:t>
      </w:r>
      <w:r>
        <w:fldChar w:fldCharType="end"/>
      </w:r>
    </w:p>
    <w:p>
      <w:pPr>
        <w:pStyle w:val="TOC8"/>
        <w:rPr>
          <w:sz w:val="24"/>
          <w:szCs w:val="24"/>
        </w:rPr>
      </w:pPr>
      <w:r>
        <w:rPr>
          <w:szCs w:val="24"/>
        </w:rPr>
        <w:lastRenderedPageBreak/>
        <w:t>14B.</w:t>
      </w:r>
      <w:r>
        <w:rPr>
          <w:szCs w:val="24"/>
        </w:rPr>
        <w:tab/>
        <w:t>Small filling stations</w:t>
      </w:r>
      <w:r>
        <w:tab/>
      </w:r>
      <w:r>
        <w:fldChar w:fldCharType="begin"/>
      </w:r>
      <w:r>
        <w:instrText xml:space="preserve"> PAGEREF _Toc166668589 \h </w:instrText>
      </w:r>
      <w:r>
        <w:fldChar w:fldCharType="separate"/>
      </w:r>
      <w:r>
        <w:t>18</w:t>
      </w:r>
      <w:r>
        <w:fldChar w:fldCharType="end"/>
      </w:r>
    </w:p>
    <w:p>
      <w:pPr>
        <w:pStyle w:val="TOC8"/>
        <w:rPr>
          <w:sz w:val="24"/>
          <w:szCs w:val="24"/>
        </w:rPr>
      </w:pPr>
      <w:r>
        <w:rPr>
          <w:szCs w:val="24"/>
        </w:rPr>
        <w:t>14C.</w:t>
      </w:r>
      <w:r>
        <w:rPr>
          <w:szCs w:val="24"/>
        </w:rPr>
        <w:tab/>
        <w:t>Issue and cancellation of certificates for small filling stations</w:t>
      </w:r>
      <w:r>
        <w:tab/>
      </w:r>
      <w:r>
        <w:fldChar w:fldCharType="begin"/>
      </w:r>
      <w:r>
        <w:instrText xml:space="preserve"> PAGEREF _Toc166668590 \h </w:instrText>
      </w:r>
      <w:r>
        <w:fldChar w:fldCharType="separate"/>
      </w:r>
      <w:r>
        <w:t>21</w:t>
      </w:r>
      <w:r>
        <w:fldChar w:fldCharType="end"/>
      </w:r>
    </w:p>
    <w:p>
      <w:pPr>
        <w:pStyle w:val="TOC8"/>
        <w:rPr>
          <w:sz w:val="24"/>
          <w:szCs w:val="24"/>
        </w:rPr>
      </w:pPr>
      <w:r>
        <w:rPr>
          <w:szCs w:val="24"/>
        </w:rPr>
        <w:t>15</w:t>
      </w:r>
      <w:r>
        <w:rPr>
          <w:snapToGrid w:val="0"/>
          <w:szCs w:val="24"/>
        </w:rPr>
        <w:t>.</w:t>
      </w:r>
      <w:r>
        <w:rPr>
          <w:snapToGrid w:val="0"/>
          <w:szCs w:val="24"/>
        </w:rPr>
        <w:tab/>
        <w:t>Permits</w:t>
      </w:r>
      <w:r>
        <w:tab/>
      </w:r>
      <w:r>
        <w:fldChar w:fldCharType="begin"/>
      </w:r>
      <w:r>
        <w:instrText xml:space="preserve"> PAGEREF _Toc166668591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Covenants relating to opening of retail shops</w:t>
      </w:r>
      <w:r>
        <w:tab/>
      </w:r>
      <w:r>
        <w:fldChar w:fldCharType="begin"/>
      </w:r>
      <w:r>
        <w:instrText xml:space="preserve"> PAGEREF _Toc166668592 \h </w:instrText>
      </w:r>
      <w:r>
        <w:fldChar w:fldCharType="separate"/>
      </w:r>
      <w:r>
        <w:t>23</w:t>
      </w:r>
      <w:r>
        <w:fldChar w:fldCharType="end"/>
      </w:r>
    </w:p>
    <w:p>
      <w:pPr>
        <w:pStyle w:val="TOC8"/>
        <w:rPr>
          <w:sz w:val="24"/>
          <w:szCs w:val="24"/>
        </w:rPr>
      </w:pPr>
      <w:r>
        <w:rPr>
          <w:szCs w:val="24"/>
        </w:rPr>
        <w:t>17</w:t>
      </w:r>
      <w:r>
        <w:rPr>
          <w:snapToGrid w:val="0"/>
          <w:szCs w:val="24"/>
        </w:rPr>
        <w:t>.</w:t>
      </w:r>
      <w:r>
        <w:rPr>
          <w:snapToGrid w:val="0"/>
          <w:szCs w:val="24"/>
        </w:rPr>
        <w:tab/>
        <w:t>Retail Shops Advisory Committee</w:t>
      </w:r>
      <w:r>
        <w:tab/>
      </w:r>
      <w:r>
        <w:fldChar w:fldCharType="begin"/>
      </w:r>
      <w:r>
        <w:instrText xml:space="preserve"> PAGEREF _Toc166668593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Temporary members</w:t>
      </w:r>
      <w:r>
        <w:tab/>
      </w:r>
      <w:r>
        <w:fldChar w:fldCharType="begin"/>
      </w:r>
      <w:r>
        <w:instrText xml:space="preserve"> PAGEREF _Toc166668594 \h </w:instrText>
      </w:r>
      <w:r>
        <w:fldChar w:fldCharType="separate"/>
      </w:r>
      <w:r>
        <w:t>25</w:t>
      </w:r>
      <w:r>
        <w:fldChar w:fldCharType="end"/>
      </w:r>
    </w:p>
    <w:p>
      <w:pPr>
        <w:pStyle w:val="TOC8"/>
        <w:rPr>
          <w:sz w:val="24"/>
          <w:szCs w:val="24"/>
        </w:rPr>
      </w:pPr>
      <w:r>
        <w:rPr>
          <w:szCs w:val="24"/>
        </w:rPr>
        <w:t>19</w:t>
      </w:r>
      <w:r>
        <w:rPr>
          <w:snapToGrid w:val="0"/>
          <w:szCs w:val="24"/>
        </w:rPr>
        <w:t>.</w:t>
      </w:r>
      <w:r>
        <w:rPr>
          <w:snapToGrid w:val="0"/>
          <w:szCs w:val="24"/>
        </w:rPr>
        <w:tab/>
        <w:t>Vacation of office of member</w:t>
      </w:r>
      <w:r>
        <w:tab/>
      </w:r>
      <w:r>
        <w:fldChar w:fldCharType="begin"/>
      </w:r>
      <w:r>
        <w:instrText xml:space="preserve"> PAGEREF _Toc166668595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Sub</w:t>
      </w:r>
      <w:r>
        <w:rPr>
          <w:snapToGrid w:val="0"/>
          <w:szCs w:val="24"/>
        </w:rPr>
        <w:noBreakHyphen/>
        <w:t>committees</w:t>
      </w:r>
      <w:r>
        <w:tab/>
      </w:r>
      <w:r>
        <w:fldChar w:fldCharType="begin"/>
      </w:r>
      <w:r>
        <w:instrText xml:space="preserve"> PAGEREF _Toc166668596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Functions of the Committee</w:t>
      </w:r>
      <w:r>
        <w:tab/>
      </w:r>
      <w:r>
        <w:fldChar w:fldCharType="begin"/>
      </w:r>
      <w:r>
        <w:instrText xml:space="preserve"> PAGEREF _Toc166668597 \h </w:instrText>
      </w:r>
      <w:r>
        <w:fldChar w:fldCharType="separate"/>
      </w:r>
      <w:r>
        <w:t>26</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22</w:t>
      </w:r>
      <w:r>
        <w:rPr>
          <w:snapToGrid w:val="0"/>
          <w:szCs w:val="24"/>
        </w:rPr>
        <w:t>.</w:t>
      </w:r>
      <w:r>
        <w:rPr>
          <w:snapToGrid w:val="0"/>
          <w:szCs w:val="24"/>
        </w:rPr>
        <w:tab/>
        <w:t>Covenants contrary to this Act negated</w:t>
      </w:r>
      <w:r>
        <w:tab/>
      </w:r>
      <w:r>
        <w:fldChar w:fldCharType="begin"/>
      </w:r>
      <w:r>
        <w:instrText xml:space="preserve"> PAGEREF _Toc166668599 \h </w:instrText>
      </w:r>
      <w:r>
        <w:fldChar w:fldCharType="separate"/>
      </w:r>
      <w:r>
        <w:t>28</w:t>
      </w:r>
      <w:r>
        <w:fldChar w:fldCharType="end"/>
      </w:r>
    </w:p>
    <w:p>
      <w:pPr>
        <w:pStyle w:val="TOC8"/>
        <w:rPr>
          <w:sz w:val="24"/>
          <w:szCs w:val="24"/>
        </w:rPr>
      </w:pPr>
      <w:r>
        <w:rPr>
          <w:szCs w:val="24"/>
        </w:rPr>
        <w:t>23</w:t>
      </w:r>
      <w:r>
        <w:rPr>
          <w:snapToGrid w:val="0"/>
          <w:szCs w:val="24"/>
        </w:rPr>
        <w:t>.</w:t>
      </w:r>
      <w:r>
        <w:rPr>
          <w:snapToGrid w:val="0"/>
          <w:szCs w:val="24"/>
        </w:rPr>
        <w:tab/>
        <w:t>Auctions of domestic furniture at a dwelling house</w:t>
      </w:r>
      <w:r>
        <w:tab/>
      </w:r>
      <w:r>
        <w:fldChar w:fldCharType="begin"/>
      </w:r>
      <w:r>
        <w:instrText xml:space="preserve"> PAGEREF _Toc166668600 \h </w:instrText>
      </w:r>
      <w:r>
        <w:fldChar w:fldCharType="separate"/>
      </w:r>
      <w:r>
        <w:t>28</w:t>
      </w:r>
      <w:r>
        <w:fldChar w:fldCharType="end"/>
      </w:r>
    </w:p>
    <w:p>
      <w:pPr>
        <w:pStyle w:val="TOC8"/>
        <w:rPr>
          <w:sz w:val="24"/>
          <w:szCs w:val="24"/>
        </w:rPr>
      </w:pPr>
      <w:r>
        <w:rPr>
          <w:szCs w:val="24"/>
        </w:rPr>
        <w:t>24</w:t>
      </w:r>
      <w:r>
        <w:rPr>
          <w:snapToGrid w:val="0"/>
          <w:szCs w:val="24"/>
        </w:rPr>
        <w:t>.</w:t>
      </w:r>
      <w:r>
        <w:rPr>
          <w:snapToGrid w:val="0"/>
          <w:szCs w:val="24"/>
        </w:rPr>
        <w:tab/>
        <w:t>Retail shop deemed not to be closed</w:t>
      </w:r>
      <w:r>
        <w:tab/>
      </w:r>
      <w:r>
        <w:fldChar w:fldCharType="begin"/>
      </w:r>
      <w:r>
        <w:instrText xml:space="preserve"> PAGEREF _Toc166668601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Offence</w:t>
      </w:r>
      <w:r>
        <w:tab/>
      </w:r>
      <w:r>
        <w:fldChar w:fldCharType="begin"/>
      </w:r>
      <w:r>
        <w:instrText xml:space="preserve"> PAGEREF _Toc166668602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Control of advertising of retail shopping hours</w:t>
      </w:r>
      <w:r>
        <w:tab/>
      </w:r>
      <w:r>
        <w:fldChar w:fldCharType="begin"/>
      </w:r>
      <w:r>
        <w:instrText xml:space="preserve"> PAGEREF _Toc166668603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Powers of chief executive officer</w:t>
      </w:r>
      <w:r>
        <w:tab/>
      </w:r>
      <w:r>
        <w:fldChar w:fldCharType="begin"/>
      </w:r>
      <w:r>
        <w:instrText xml:space="preserve"> PAGEREF _Toc166668604 \h </w:instrText>
      </w:r>
      <w:r>
        <w:fldChar w:fldCharType="separate"/>
      </w:r>
      <w:r>
        <w:t>30</w:t>
      </w:r>
      <w:r>
        <w:fldChar w:fldCharType="end"/>
      </w:r>
    </w:p>
    <w:p>
      <w:pPr>
        <w:pStyle w:val="TOC8"/>
        <w:rPr>
          <w:sz w:val="24"/>
          <w:szCs w:val="24"/>
        </w:rPr>
      </w:pPr>
      <w:r>
        <w:rPr>
          <w:szCs w:val="24"/>
        </w:rPr>
        <w:t>27A</w:t>
      </w:r>
      <w:r>
        <w:rPr>
          <w:snapToGrid w:val="0"/>
          <w:szCs w:val="24"/>
        </w:rPr>
        <w:t>.</w:t>
      </w:r>
      <w:r>
        <w:rPr>
          <w:snapToGrid w:val="0"/>
          <w:szCs w:val="24"/>
        </w:rPr>
        <w:tab/>
        <w:t>Delegation</w:t>
      </w:r>
      <w:r>
        <w:tab/>
      </w:r>
      <w:r>
        <w:fldChar w:fldCharType="begin"/>
      </w:r>
      <w:r>
        <w:instrText xml:space="preserve"> PAGEREF _Toc166668605 \h </w:instrText>
      </w:r>
      <w:r>
        <w:fldChar w:fldCharType="separate"/>
      </w:r>
      <w:r>
        <w:t>31</w:t>
      </w:r>
      <w:r>
        <w:fldChar w:fldCharType="end"/>
      </w:r>
    </w:p>
    <w:p>
      <w:pPr>
        <w:pStyle w:val="TOC8"/>
        <w:rPr>
          <w:sz w:val="24"/>
          <w:szCs w:val="24"/>
        </w:rPr>
      </w:pPr>
      <w:r>
        <w:rPr>
          <w:szCs w:val="24"/>
        </w:rPr>
        <w:t>28</w:t>
      </w:r>
      <w:r>
        <w:rPr>
          <w:snapToGrid w:val="0"/>
          <w:szCs w:val="24"/>
        </w:rPr>
        <w:t>.</w:t>
      </w:r>
      <w:r>
        <w:rPr>
          <w:snapToGrid w:val="0"/>
          <w:szCs w:val="24"/>
        </w:rPr>
        <w:tab/>
        <w:t>Access to books, etc.</w:t>
      </w:r>
      <w:r>
        <w:tab/>
      </w:r>
      <w:r>
        <w:fldChar w:fldCharType="begin"/>
      </w:r>
      <w:r>
        <w:instrText xml:space="preserve"> PAGEREF _Toc166668606 \h </w:instrText>
      </w:r>
      <w:r>
        <w:fldChar w:fldCharType="separate"/>
      </w:r>
      <w:r>
        <w:t>31</w:t>
      </w:r>
      <w:r>
        <w:fldChar w:fldCharType="end"/>
      </w:r>
    </w:p>
    <w:p>
      <w:pPr>
        <w:pStyle w:val="TOC8"/>
        <w:rPr>
          <w:sz w:val="24"/>
          <w:szCs w:val="24"/>
        </w:rPr>
      </w:pPr>
      <w:r>
        <w:rPr>
          <w:szCs w:val="24"/>
        </w:rPr>
        <w:t>29</w:t>
      </w:r>
      <w:r>
        <w:rPr>
          <w:snapToGrid w:val="0"/>
          <w:szCs w:val="24"/>
        </w:rPr>
        <w:t>.</w:t>
      </w:r>
      <w:r>
        <w:rPr>
          <w:snapToGrid w:val="0"/>
          <w:szCs w:val="24"/>
        </w:rPr>
        <w:tab/>
        <w:t>Inspector may require information</w:t>
      </w:r>
      <w:r>
        <w:tab/>
      </w:r>
      <w:r>
        <w:fldChar w:fldCharType="begin"/>
      </w:r>
      <w:r>
        <w:instrText xml:space="preserve"> PAGEREF _Toc166668607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t>Obstructing an inspector, etc.</w:t>
      </w:r>
      <w:r>
        <w:tab/>
      </w:r>
      <w:r>
        <w:fldChar w:fldCharType="begin"/>
      </w:r>
      <w:r>
        <w:instrText xml:space="preserve"> PAGEREF _Toc166668608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Protection of person questioned</w:t>
      </w:r>
      <w:r>
        <w:tab/>
      </w:r>
      <w:r>
        <w:fldChar w:fldCharType="begin"/>
      </w:r>
      <w:r>
        <w:instrText xml:space="preserve"> PAGEREF _Toc166668609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Secrecy</w:t>
      </w:r>
      <w:r>
        <w:tab/>
      </w:r>
      <w:r>
        <w:fldChar w:fldCharType="begin"/>
      </w:r>
      <w:r>
        <w:instrText xml:space="preserve"> PAGEREF _Toc166668610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False information</w:t>
      </w:r>
      <w:r>
        <w:tab/>
      </w:r>
      <w:r>
        <w:fldChar w:fldCharType="begin"/>
      </w:r>
      <w:r>
        <w:instrText xml:space="preserve"> PAGEREF _Toc166668611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Vicarious liability</w:t>
      </w:r>
      <w:r>
        <w:tab/>
      </w:r>
      <w:r>
        <w:fldChar w:fldCharType="begin"/>
      </w:r>
      <w:r>
        <w:instrText xml:space="preserve"> PAGEREF _Toc166668612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Printing of forms and records</w:t>
      </w:r>
      <w:r>
        <w:tab/>
      </w:r>
      <w:r>
        <w:fldChar w:fldCharType="begin"/>
      </w:r>
      <w:r>
        <w:instrText xml:space="preserve"> PAGEREF _Toc166668613 \h </w:instrText>
      </w:r>
      <w:r>
        <w:fldChar w:fldCharType="separate"/>
      </w:r>
      <w:r>
        <w:t>35</w:t>
      </w:r>
      <w:r>
        <w:fldChar w:fldCharType="end"/>
      </w:r>
    </w:p>
    <w:p>
      <w:pPr>
        <w:pStyle w:val="TOC8"/>
        <w:rPr>
          <w:sz w:val="24"/>
          <w:szCs w:val="24"/>
        </w:rPr>
      </w:pPr>
      <w:r>
        <w:rPr>
          <w:szCs w:val="24"/>
        </w:rPr>
        <w:t>36</w:t>
      </w:r>
      <w:r>
        <w:rPr>
          <w:snapToGrid w:val="0"/>
          <w:szCs w:val="24"/>
        </w:rPr>
        <w:t>.</w:t>
      </w:r>
      <w:r>
        <w:rPr>
          <w:snapToGrid w:val="0"/>
          <w:szCs w:val="24"/>
        </w:rPr>
        <w:tab/>
        <w:t>English language to be used</w:t>
      </w:r>
      <w:r>
        <w:tab/>
      </w:r>
      <w:r>
        <w:fldChar w:fldCharType="begin"/>
      </w:r>
      <w:r>
        <w:instrText xml:space="preserve"> PAGEREF _Toc166668614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Consent of the chief executive officer</w:t>
      </w:r>
      <w:r>
        <w:tab/>
      </w:r>
      <w:r>
        <w:fldChar w:fldCharType="begin"/>
      </w:r>
      <w:r>
        <w:instrText xml:space="preserve"> PAGEREF _Toc166668615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Protection of officers, members and others</w:t>
      </w:r>
      <w:r>
        <w:tab/>
      </w:r>
      <w:r>
        <w:fldChar w:fldCharType="begin"/>
      </w:r>
      <w:r>
        <w:instrText xml:space="preserve"> PAGEREF _Toc166668616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Evidentiary</w:t>
      </w:r>
      <w:r>
        <w:tab/>
      </w:r>
      <w:r>
        <w:fldChar w:fldCharType="begin"/>
      </w:r>
      <w:r>
        <w:instrText xml:space="preserve"> PAGEREF _Toc166668617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_Toc166668618 \h </w:instrText>
      </w:r>
      <w:r>
        <w:fldChar w:fldCharType="separate"/>
      </w:r>
      <w:r>
        <w:t>37</w:t>
      </w:r>
      <w:r>
        <w:fldChar w:fldCharType="end"/>
      </w:r>
    </w:p>
    <w:p>
      <w:pPr>
        <w:pStyle w:val="TOC8"/>
        <w:rPr>
          <w:sz w:val="24"/>
          <w:szCs w:val="24"/>
        </w:rPr>
      </w:pPr>
      <w:r>
        <w:rPr>
          <w:szCs w:val="24"/>
        </w:rPr>
        <w:t>41.</w:t>
      </w:r>
      <w:r>
        <w:rPr>
          <w:szCs w:val="24"/>
        </w:rPr>
        <w:tab/>
        <w:t>Minister to review and report on Act</w:t>
      </w:r>
      <w:r>
        <w:tab/>
      </w:r>
      <w:r>
        <w:fldChar w:fldCharType="begin"/>
      </w:r>
      <w:r>
        <w:instrText xml:space="preserve"> PAGEREF _Toc166668619 \h </w:instrText>
      </w:r>
      <w:r>
        <w:fldChar w:fldCharType="separate"/>
      </w:r>
      <w:r>
        <w:t>38</w:t>
      </w:r>
      <w:r>
        <w:fldChar w:fldCharType="end"/>
      </w:r>
    </w:p>
    <w:p>
      <w:pPr>
        <w:pStyle w:val="TOC8"/>
        <w:rPr>
          <w:sz w:val="24"/>
          <w:szCs w:val="24"/>
        </w:rPr>
      </w:pPr>
      <w:r>
        <w:rPr>
          <w:szCs w:val="24"/>
        </w:rPr>
        <w:t>42</w:t>
      </w:r>
      <w:r>
        <w:rPr>
          <w:snapToGrid w:val="0"/>
          <w:szCs w:val="24"/>
        </w:rPr>
        <w:t>.</w:t>
      </w:r>
      <w:r>
        <w:rPr>
          <w:snapToGrid w:val="0"/>
          <w:szCs w:val="24"/>
        </w:rPr>
        <w:tab/>
        <w:t>Savings</w:t>
      </w:r>
      <w:r>
        <w:tab/>
      </w:r>
      <w:r>
        <w:fldChar w:fldCharType="begin"/>
      </w:r>
      <w:r>
        <w:instrText xml:space="preserve"> PAGEREF _Toc166668620 \h </w:instrText>
      </w:r>
      <w:r>
        <w:fldChar w:fldCharType="separate"/>
      </w:r>
      <w:r>
        <w:t>38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_Toc166668622 \h </w:instrText>
      </w:r>
      <w:r>
        <w:fldChar w:fldCharType="separate"/>
      </w:r>
      <w:r>
        <w:t>39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680"/>
      </w:pPr>
      <w:r>
        <w:t xml:space="preserve">Retail Trading Hours Act 1987 </w:t>
      </w:r>
    </w:p>
    <w:p>
      <w:pPr>
        <w:pStyle w:val="LongTitle"/>
        <w:rPr>
          <w:snapToGrid w:val="0"/>
        </w:rPr>
      </w:pPr>
      <w:r>
        <w:rPr>
          <w:snapToGrid w:val="0"/>
        </w:rPr>
        <w:t xml:space="preserve">An Act relating to the hours of trading for retail shops and for other and incidental purposes. </w:t>
      </w:r>
    </w:p>
    <w:p>
      <w:pPr>
        <w:pStyle w:val="Heading2"/>
      </w:pPr>
      <w:bookmarkStart w:id="1" w:name="_Toc90440057"/>
      <w:bookmarkStart w:id="2" w:name="_Toc96939327"/>
      <w:bookmarkStart w:id="3" w:name="_Toc102961885"/>
      <w:bookmarkStart w:id="4" w:name="_Toc147910156"/>
      <w:bookmarkStart w:id="5" w:name="_Toc147912244"/>
      <w:bookmarkStart w:id="6" w:name="_Toc166298005"/>
      <w:bookmarkStart w:id="7" w:name="_Toc16666856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11743907"/>
      <w:bookmarkStart w:id="9" w:name="_Toc535828834"/>
      <w:bookmarkStart w:id="10" w:name="_Toc536343664"/>
      <w:bookmarkStart w:id="11" w:name="_Toc102961886"/>
      <w:bookmarkStart w:id="12" w:name="_Toc166668568"/>
      <w:r>
        <w:rPr>
          <w:rStyle w:val="CharSectno"/>
        </w:rPr>
        <w:t>1</w:t>
      </w:r>
      <w:r>
        <w:rPr>
          <w:snapToGrid w:val="0"/>
        </w:rPr>
        <w:t>.</w:t>
      </w:r>
      <w:r>
        <w:rPr>
          <w:snapToGrid w:val="0"/>
        </w:rPr>
        <w:tab/>
        <w:t>Short title</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13" w:name="_Toc411743908"/>
      <w:bookmarkStart w:id="14" w:name="_Toc535828835"/>
      <w:bookmarkStart w:id="15" w:name="_Toc536343665"/>
      <w:bookmarkStart w:id="16" w:name="_Toc102961887"/>
      <w:bookmarkStart w:id="17" w:name="_Toc166668569"/>
      <w:r>
        <w:rPr>
          <w:rStyle w:val="CharSectno"/>
        </w:rPr>
        <w:t>2</w:t>
      </w:r>
      <w:r>
        <w:rPr>
          <w:snapToGrid w:val="0"/>
        </w:rPr>
        <w:t>.</w:t>
      </w:r>
      <w:r>
        <w:rPr>
          <w:snapToGrid w:val="0"/>
        </w:rPr>
        <w:tab/>
        <w:t>Commencement</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8" w:name="_Toc411743909"/>
      <w:bookmarkStart w:id="19" w:name="_Toc535828836"/>
      <w:bookmarkStart w:id="20" w:name="_Toc536343666"/>
      <w:bookmarkStart w:id="21" w:name="_Toc102961888"/>
      <w:bookmarkStart w:id="22" w:name="_Toc166668570"/>
      <w:r>
        <w:rPr>
          <w:rStyle w:val="CharSectno"/>
        </w:rPr>
        <w:t>3</w:t>
      </w:r>
      <w:r>
        <w:rPr>
          <w:snapToGrid w:val="0"/>
        </w:rPr>
        <w:t>.</w:t>
      </w:r>
      <w:r>
        <w:rPr>
          <w:snapToGrid w:val="0"/>
        </w:rPr>
        <w:tab/>
        <w:t>Interpretation</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agreement</w:t>
      </w:r>
      <w:r>
        <w:rPr>
          <w:b/>
        </w:rPr>
        <w: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w:t>
      </w:r>
    </w:p>
    <w:p>
      <w:pPr>
        <w:pStyle w:val="Defpara"/>
      </w:pPr>
      <w:r>
        <w:tab/>
        <w:t>(b)</w:t>
      </w:r>
      <w:r>
        <w:tab/>
        <w:t>a person grants a right to, or otherwise authorises or permits, a person operating a retail shop to possess, occupy or use the retail shop in connection with the sale of any goods or the provision of any services;</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t>“</w:t>
      </w:r>
      <w:r>
        <w:rPr>
          <w:rStyle w:val="CharDefText"/>
        </w:rPr>
        <w:t>authorised person</w:t>
      </w:r>
      <w:r>
        <w:rPr>
          <w:b/>
        </w:rPr>
        <w:t>”</w:t>
      </w:r>
      <w:r>
        <w:t xml:space="preserve"> means a person authorised in writing by the chief executive officer;</w:t>
      </w:r>
    </w:p>
    <w:p>
      <w:pPr>
        <w:pStyle w:val="Defstart"/>
      </w:pPr>
      <w:r>
        <w:rPr>
          <w:b/>
        </w:rPr>
        <w:tab/>
        <w:t>“</w:t>
      </w:r>
      <w:r>
        <w:rPr>
          <w:rStyle w:val="CharDefText"/>
        </w:rPr>
        <w:t>chief executive officer</w:t>
      </w:r>
      <w:r>
        <w:rPr>
          <w:b/>
        </w:rPr>
        <w:t>”</w:t>
      </w:r>
      <w:r>
        <w:t xml:space="preserve"> means the chief executive officer of the department principally assisting the Minister in the administration of this Act;</w:t>
      </w:r>
    </w:p>
    <w:p>
      <w:pPr>
        <w:pStyle w:val="Defstart"/>
      </w:pPr>
      <w:r>
        <w:rPr>
          <w:b/>
        </w:rPr>
        <w:tab/>
        <w:t>“</w:t>
      </w:r>
      <w:r>
        <w:rPr>
          <w:rStyle w:val="CharDefText"/>
        </w:rPr>
        <w:t>Committee</w:t>
      </w:r>
      <w:r>
        <w:rPr>
          <w:b/>
        </w:rPr>
        <w:t>”</w:t>
      </w:r>
      <w:r>
        <w:t xml:space="preserve"> means the Retail Shops Advisory Committee established under section 17;</w:t>
      </w:r>
    </w:p>
    <w:p>
      <w:pPr>
        <w:pStyle w:val="Defstart"/>
      </w:pPr>
      <w:r>
        <w:rPr>
          <w:b/>
        </w:rPr>
        <w:tab/>
        <w:t>“</w:t>
      </w:r>
      <w:r>
        <w:rPr>
          <w:rStyle w:val="CharDefText"/>
        </w:rPr>
        <w:t>filling station</w:t>
      </w:r>
      <w:r>
        <w:rPr>
          <w:b/>
        </w:rPr>
        <w:t>”</w:t>
      </w:r>
      <w:r>
        <w:t xml:space="preserve"> means a retail shop referred to in section 10(5); </w:t>
      </w:r>
    </w:p>
    <w:p>
      <w:pPr>
        <w:pStyle w:val="Defstart"/>
      </w:pPr>
      <w:r>
        <w:rPr>
          <w:b/>
        </w:rPr>
        <w:tab/>
        <w:t>“</w:t>
      </w:r>
      <w:r>
        <w:rPr>
          <w:rStyle w:val="CharDefText"/>
        </w:rPr>
        <w:t>fuel</w:t>
      </w:r>
      <w:r>
        <w:rPr>
          <w:b/>
        </w:rPr>
        <w:t>”</w:t>
      </w:r>
      <w:r>
        <w:t xml:space="preserve"> means fuel for operating a motor vehicle;</w:t>
      </w:r>
    </w:p>
    <w:p>
      <w:pPr>
        <w:pStyle w:val="Defstart"/>
      </w:pPr>
      <w:r>
        <w:rPr>
          <w:b/>
        </w:rPr>
        <w:tab/>
        <w:t>“</w:t>
      </w:r>
      <w:r>
        <w:rPr>
          <w:rStyle w:val="CharDefText"/>
        </w:rPr>
        <w:t>inspector</w:t>
      </w:r>
      <w:r>
        <w:rPr>
          <w:b/>
        </w:rPr>
        <w:t>”</w:t>
      </w:r>
      <w:r>
        <w:t xml:space="preserve"> means a person designated as an inspector under section 7;</w:t>
      </w:r>
    </w:p>
    <w:p>
      <w:pPr>
        <w:pStyle w:val="Defstart"/>
      </w:pPr>
      <w:r>
        <w:rPr>
          <w:b/>
        </w:rPr>
        <w:tab/>
        <w:t>“</w:t>
      </w:r>
      <w:r>
        <w:rPr>
          <w:rStyle w:val="CharDefText"/>
        </w:rPr>
        <w:t>member</w:t>
      </w:r>
      <w:r>
        <w:rPr>
          <w:b/>
        </w:rPr>
        <w:t>”</w:t>
      </w:r>
      <w:r>
        <w:t xml:space="preserve"> means a member of the Committee;</w:t>
      </w:r>
    </w:p>
    <w:p>
      <w:pPr>
        <w:pStyle w:val="Defstart"/>
      </w:pPr>
      <w:r>
        <w:rPr>
          <w:b/>
        </w:rPr>
        <w:tab/>
        <w:t>“</w:t>
      </w:r>
      <w:r>
        <w:rPr>
          <w:rStyle w:val="CharDefText"/>
        </w:rPr>
        <w:t>motor vehicle</w:t>
      </w:r>
      <w:r>
        <w:rPr>
          <w:b/>
        </w:rPr>
        <w:t>”</w:t>
      </w:r>
      <w:r>
        <w:t xml:space="preserve"> has the meaning given to that term in the </w:t>
      </w:r>
      <w:r>
        <w:rPr>
          <w:i/>
        </w:rPr>
        <w:t>Road Traffic Act 1974</w:t>
      </w:r>
      <w:r>
        <w:t xml:space="preserve"> section 5(1);</w:t>
      </w:r>
    </w:p>
    <w:p>
      <w:pPr>
        <w:pStyle w:val="Defstart"/>
      </w:pPr>
      <w:r>
        <w:rPr>
          <w:b/>
        </w:rPr>
        <w:tab/>
        <w:t>“</w:t>
      </w:r>
      <w:r>
        <w:rPr>
          <w:rStyle w:val="CharDefText"/>
        </w:rPr>
        <w:t>motor vehicle shop</w:t>
      </w:r>
      <w:r>
        <w:rPr>
          <w:b/>
        </w:rPr>
        <w:t>”</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t>“</w:t>
      </w:r>
      <w:r>
        <w:rPr>
          <w:rStyle w:val="CharDefText"/>
        </w:rPr>
        <w:t>operate</w:t>
      </w:r>
      <w:r>
        <w:rPr>
          <w:b/>
        </w:rPr>
        <w:t>”</w:t>
      </w:r>
      <w:r>
        <w:t xml:space="preserve"> means, in relation to a retail shop, conducting or carrying on the business of a retail shop and includes causing, employing or engaging another person to carry on or conduct that business;</w:t>
      </w:r>
    </w:p>
    <w:p>
      <w:pPr>
        <w:pStyle w:val="Defstart"/>
      </w:pPr>
      <w:r>
        <w:rPr>
          <w:b/>
        </w:rPr>
        <w:tab/>
        <w:t>“</w:t>
      </w:r>
      <w:r>
        <w:rPr>
          <w:rStyle w:val="CharDefText"/>
        </w:rPr>
        <w:t>place</w:t>
      </w:r>
      <w:r>
        <w:rPr>
          <w:b/>
        </w:rPr>
        <w:t>”</w:t>
      </w:r>
      <w:r>
        <w:t xml:space="preserve"> includes a building, stall, tent, vehicle, boat or vessel;</w:t>
      </w:r>
    </w:p>
    <w:p>
      <w:pPr>
        <w:pStyle w:val="Defstart"/>
      </w:pPr>
      <w:r>
        <w:rPr>
          <w:b/>
        </w:rPr>
        <w:tab/>
        <w:t>“</w:t>
      </w:r>
      <w:r>
        <w:rPr>
          <w:rStyle w:val="CharDefText"/>
        </w:rPr>
        <w:t>prescribed services</w:t>
      </w:r>
      <w:r>
        <w:rPr>
          <w:b/>
        </w:rPr>
        <w:t>”</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t>“</w:t>
      </w:r>
      <w:r>
        <w:rPr>
          <w:rStyle w:val="CharDefText"/>
        </w:rPr>
        <w:t>retail sale</w:t>
      </w:r>
      <w:r>
        <w:rPr>
          <w:b/>
        </w:rPr>
        <w:t>”</w:t>
      </w:r>
      <w:r>
        <w:t xml:space="preserve"> means a sale of goods or services that is not for the purposes of their re</w:t>
      </w:r>
      <w:r>
        <w:noBreakHyphen/>
        <w:t>sale;</w:t>
      </w:r>
    </w:p>
    <w:p>
      <w:pPr>
        <w:pStyle w:val="Defstart"/>
      </w:pPr>
      <w:r>
        <w:rPr>
          <w:b/>
        </w:rPr>
        <w:tab/>
        <w:t>“</w:t>
      </w:r>
      <w:r>
        <w:rPr>
          <w:rStyle w:val="CharDefText"/>
        </w:rPr>
        <w:t>retail shop</w:t>
      </w:r>
      <w:r>
        <w:rPr>
          <w:b/>
        </w:rPr>
        <w:t>”</w:t>
      </w:r>
      <w:r>
        <w:t xml:space="preserve"> means any place at, in, on or from which — </w:t>
      </w:r>
    </w:p>
    <w:p>
      <w:pPr>
        <w:pStyle w:val="Defpara"/>
      </w:pPr>
      <w:r>
        <w:tab/>
        <w:t>(a)</w:t>
      </w:r>
      <w:r>
        <w:tab/>
        <w:t>goods are sold by way of retail sale;</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t>“</w:t>
      </w:r>
      <w:r>
        <w:rPr>
          <w:rStyle w:val="CharDefText"/>
        </w:rPr>
        <w:t>sell</w:t>
      </w:r>
      <w:r>
        <w:rPr>
          <w:b/>
        </w:rPr>
        <w:t>”</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pPr>
      <w:r>
        <w:tab/>
        <w:t>(1a)</w:t>
      </w:r>
      <w:r>
        <w:tab/>
        <w:t>A place that is otherwise a retail shop does not cease to be a retail shop by reason only that meals or refreshments or both are also sold at that place.</w:t>
      </w:r>
    </w:p>
    <w:p>
      <w:pPr>
        <w:pStyle w:val="Subsection"/>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w:t>
      </w:r>
    </w:p>
    <w:p>
      <w:pPr>
        <w:pStyle w:val="Heading5"/>
        <w:rPr>
          <w:snapToGrid w:val="0"/>
        </w:rPr>
      </w:pPr>
      <w:bookmarkStart w:id="23" w:name="_Toc411743910"/>
      <w:bookmarkStart w:id="24" w:name="_Toc535828837"/>
      <w:bookmarkStart w:id="25" w:name="_Toc536343667"/>
      <w:bookmarkStart w:id="26" w:name="_Toc102961889"/>
      <w:bookmarkStart w:id="27" w:name="_Toc166668571"/>
      <w:r>
        <w:rPr>
          <w:rStyle w:val="CharSectno"/>
        </w:rPr>
        <w:t>4</w:t>
      </w:r>
      <w:r>
        <w:rPr>
          <w:snapToGrid w:val="0"/>
        </w:rPr>
        <w:t>.</w:t>
      </w:r>
      <w:r>
        <w:rPr>
          <w:snapToGrid w:val="0"/>
        </w:rPr>
        <w:tab/>
        <w:t>Application</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28" w:name="_Toc166554182"/>
      <w:bookmarkStart w:id="29" w:name="_Toc166668572"/>
      <w:bookmarkStart w:id="30" w:name="_Toc90440063"/>
      <w:bookmarkStart w:id="31" w:name="_Toc96939333"/>
      <w:bookmarkStart w:id="32" w:name="_Toc102961891"/>
      <w:bookmarkStart w:id="33" w:name="_Toc147910162"/>
      <w:bookmarkStart w:id="34" w:name="_Toc147912250"/>
      <w:bookmarkStart w:id="35" w:name="_Toc166298011"/>
      <w:r>
        <w:rPr>
          <w:rStyle w:val="CharSectno"/>
        </w:rPr>
        <w:t>5</w:t>
      </w:r>
      <w:r>
        <w:t>.</w:t>
      </w:r>
      <w:r>
        <w:tab/>
        <w:t>Interpretation Act applies to orders</w:t>
      </w:r>
      <w:bookmarkEnd w:id="28"/>
      <w:bookmarkEnd w:id="29"/>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36" w:name="_Toc166668573"/>
      <w:r>
        <w:rPr>
          <w:rStyle w:val="CharPartNo"/>
        </w:rPr>
        <w:t>Part II</w:t>
      </w:r>
      <w:r>
        <w:rPr>
          <w:rStyle w:val="CharDivNo"/>
        </w:rPr>
        <w:t> </w:t>
      </w:r>
      <w:r>
        <w:t>—</w:t>
      </w:r>
      <w:r>
        <w:rPr>
          <w:rStyle w:val="CharDivText"/>
        </w:rPr>
        <w:t> </w:t>
      </w:r>
      <w:r>
        <w:rPr>
          <w:rStyle w:val="CharPartText"/>
        </w:rPr>
        <w:t>Administration</w:t>
      </w:r>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411743912"/>
      <w:bookmarkStart w:id="38" w:name="_Toc535828839"/>
      <w:bookmarkStart w:id="39" w:name="_Toc536343669"/>
      <w:bookmarkStart w:id="40" w:name="_Toc102961892"/>
      <w:bookmarkStart w:id="41" w:name="_Toc166668574"/>
      <w:r>
        <w:rPr>
          <w:rStyle w:val="CharSectno"/>
        </w:rPr>
        <w:t>6</w:t>
      </w:r>
      <w:r>
        <w:rPr>
          <w:snapToGrid w:val="0"/>
        </w:rPr>
        <w:t>.</w:t>
      </w:r>
      <w:r>
        <w:rPr>
          <w:snapToGrid w:val="0"/>
        </w:rPr>
        <w:tab/>
        <w:t>Officers</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42" w:name="_Toc411743913"/>
      <w:bookmarkStart w:id="43" w:name="_Toc535828840"/>
      <w:bookmarkStart w:id="44" w:name="_Toc536343670"/>
      <w:bookmarkStart w:id="45" w:name="_Toc102961893"/>
      <w:bookmarkStart w:id="46" w:name="_Toc166668575"/>
      <w:r>
        <w:rPr>
          <w:rStyle w:val="CharSectno"/>
        </w:rPr>
        <w:t>7</w:t>
      </w:r>
      <w:r>
        <w:rPr>
          <w:snapToGrid w:val="0"/>
        </w:rPr>
        <w:t>.</w:t>
      </w:r>
      <w:r>
        <w:rPr>
          <w:snapToGrid w:val="0"/>
        </w:rPr>
        <w:tab/>
        <w:t>Inspectors</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47" w:name="_Toc411743914"/>
      <w:bookmarkStart w:id="48" w:name="_Toc535828841"/>
      <w:bookmarkStart w:id="49" w:name="_Toc536343671"/>
      <w:bookmarkStart w:id="50" w:name="_Toc102961894"/>
      <w:bookmarkStart w:id="51" w:name="_Toc166668576"/>
      <w:r>
        <w:rPr>
          <w:rStyle w:val="CharSectno"/>
        </w:rPr>
        <w:t>8</w:t>
      </w:r>
      <w:r>
        <w:rPr>
          <w:snapToGrid w:val="0"/>
        </w:rPr>
        <w:t>.</w:t>
      </w:r>
      <w:r>
        <w:rPr>
          <w:snapToGrid w:val="0"/>
        </w:rPr>
        <w:tab/>
        <w:t>Certificate of identity</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52" w:name="_Toc411743915"/>
      <w:bookmarkStart w:id="53" w:name="_Toc535828842"/>
      <w:bookmarkStart w:id="54" w:name="_Toc536343672"/>
      <w:bookmarkStart w:id="55" w:name="_Toc102961895"/>
      <w:bookmarkStart w:id="56" w:name="_Toc166668577"/>
      <w:r>
        <w:rPr>
          <w:rStyle w:val="CharSectno"/>
        </w:rPr>
        <w:t>9</w:t>
      </w:r>
      <w:r>
        <w:rPr>
          <w:snapToGrid w:val="0"/>
        </w:rPr>
        <w:t>.</w:t>
      </w:r>
      <w:r>
        <w:rPr>
          <w:snapToGrid w:val="0"/>
        </w:rPr>
        <w:tab/>
        <w:t>Inspector subject to chief executive officer</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57" w:name="_Toc90440068"/>
      <w:bookmarkStart w:id="58" w:name="_Toc96939338"/>
      <w:bookmarkStart w:id="59" w:name="_Toc102961896"/>
      <w:bookmarkStart w:id="60" w:name="_Toc147910167"/>
      <w:bookmarkStart w:id="61" w:name="_Toc147912255"/>
      <w:bookmarkStart w:id="62" w:name="_Toc166298016"/>
      <w:bookmarkStart w:id="63" w:name="_Toc166668578"/>
      <w:r>
        <w:rPr>
          <w:rStyle w:val="CharPartNo"/>
        </w:rPr>
        <w:t>Part III</w:t>
      </w:r>
      <w:r>
        <w:rPr>
          <w:rStyle w:val="CharDivNo"/>
        </w:rPr>
        <w:t> </w:t>
      </w:r>
      <w:r>
        <w:t>—</w:t>
      </w:r>
      <w:r>
        <w:rPr>
          <w:rStyle w:val="CharDivText"/>
        </w:rPr>
        <w:t> </w:t>
      </w:r>
      <w:r>
        <w:rPr>
          <w:rStyle w:val="CharPartText"/>
        </w:rPr>
        <w:t>Retail trading hours</w:t>
      </w:r>
      <w:bookmarkEnd w:id="57"/>
      <w:bookmarkEnd w:id="58"/>
      <w:bookmarkEnd w:id="59"/>
      <w:bookmarkEnd w:id="60"/>
      <w:bookmarkEnd w:id="61"/>
      <w:bookmarkEnd w:id="62"/>
      <w:bookmarkEnd w:id="63"/>
      <w:r>
        <w:rPr>
          <w:rStyle w:val="CharPartText"/>
        </w:rPr>
        <w:t xml:space="preserve"> </w:t>
      </w:r>
    </w:p>
    <w:p>
      <w:pPr>
        <w:pStyle w:val="Heading5"/>
        <w:rPr>
          <w:snapToGrid w:val="0"/>
        </w:rPr>
      </w:pPr>
      <w:bookmarkStart w:id="64" w:name="_Toc411743916"/>
      <w:bookmarkStart w:id="65" w:name="_Toc535828843"/>
      <w:bookmarkStart w:id="66" w:name="_Toc536343673"/>
      <w:bookmarkStart w:id="67" w:name="_Toc102961897"/>
      <w:bookmarkStart w:id="68" w:name="_Toc166668579"/>
      <w:r>
        <w:rPr>
          <w:rStyle w:val="CharSectno"/>
        </w:rPr>
        <w:t>10</w:t>
      </w:r>
      <w:r>
        <w:rPr>
          <w:snapToGrid w:val="0"/>
        </w:rPr>
        <w:t>.</w:t>
      </w:r>
      <w:r>
        <w:rPr>
          <w:snapToGrid w:val="0"/>
        </w:rPr>
        <w:tab/>
        <w:t>Categories of retail shops</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w:t>
      </w:r>
    </w:p>
    <w:p>
      <w:pPr>
        <w:pStyle w:val="Indenta"/>
        <w:rPr>
          <w:snapToGrid w:val="0"/>
        </w:rPr>
      </w:pPr>
      <w:r>
        <w:rPr>
          <w:snapToGrid w:val="0"/>
        </w:rPr>
        <w:tab/>
        <w:t>(b)</w:t>
      </w:r>
      <w:r>
        <w:rPr>
          <w:snapToGrid w:val="0"/>
        </w:rPr>
        <w:tab/>
        <w:t>small retail shops;</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w:t>
      </w:r>
    </w:p>
    <w:p>
      <w:pPr>
        <w:pStyle w:val="Indenta"/>
        <w:rPr>
          <w:snapToGrid w:val="0"/>
        </w:rPr>
      </w:pPr>
      <w:r>
        <w:rPr>
          <w:snapToGrid w:val="0"/>
        </w:rPr>
        <w:tab/>
        <w:t>(ba)</w:t>
      </w:r>
      <w:r>
        <w:rPr>
          <w:snapToGrid w:val="0"/>
        </w:rPr>
        <w:tab/>
        <w:t>the retail shop is operated for the benefit of the eligible persons referred to in paragraph (b);</w:t>
      </w:r>
    </w:p>
    <w:p>
      <w:pPr>
        <w:pStyle w:val="Indenta"/>
        <w:rPr>
          <w:snapToGrid w:val="0"/>
        </w:rPr>
      </w:pPr>
      <w:r>
        <w:rPr>
          <w:snapToGrid w:val="0"/>
        </w:rPr>
        <w:tab/>
        <w:t>(bb)</w:t>
      </w:r>
      <w:r>
        <w:rPr>
          <w:snapToGrid w:val="0"/>
        </w:rPr>
        <w:tab/>
        <w:t>the eligible persons referred to in paragraph (b) are personally and actively engaged in the retail shop;</w:t>
      </w:r>
    </w:p>
    <w:p>
      <w:pPr>
        <w:pStyle w:val="Indenta"/>
        <w:rPr>
          <w:snapToGrid w:val="0"/>
        </w:rPr>
      </w:pPr>
      <w:r>
        <w:rPr>
          <w:snapToGrid w:val="0"/>
        </w:rPr>
        <w:tab/>
        <w:t>(bc)</w:t>
      </w:r>
      <w:r>
        <w:rPr>
          <w:snapToGrid w:val="0"/>
        </w:rPr>
        <w:tab/>
        <w:t xml:space="preserve">not more than </w:t>
      </w:r>
      <w:r>
        <w:t>13 persons</w:t>
      </w:r>
      <w:r>
        <w:rPr>
          <w:snapToGrid w:val="0"/>
        </w:rPr>
        <w:t xml:space="preserve"> (inclusive of the eligible persons who own and operate the retail shop</w:t>
      </w:r>
      <w:r>
        <w:t xml:space="preserve"> but excluding any person who is employed at the retail shop as an apprentice, as defined in the </w:t>
      </w:r>
      <w:r>
        <w:rPr>
          <w:i/>
          <w:iCs/>
        </w:rPr>
        <w:t>Industrial Training Act 1975</w:t>
      </w:r>
      <w:r>
        <w:t xml:space="preserve"> section 4(1)</w:t>
      </w:r>
      <w:r>
        <w:rPr>
          <w:snapToGrid w:val="0"/>
        </w:rPr>
        <w:t>) work in the retail shop at any one and the same time;</w:t>
      </w:r>
    </w:p>
    <w:p>
      <w:pPr>
        <w:pStyle w:val="Indenta"/>
        <w:rPr>
          <w:snapToGrid w:val="0"/>
        </w:rPr>
      </w:pPr>
      <w:r>
        <w:rPr>
          <w:snapToGrid w:val="0"/>
        </w:rPr>
        <w:tab/>
        <w:t>(bd)</w:t>
      </w:r>
      <w:r>
        <w:rPr>
          <w:snapToGrid w:val="0"/>
        </w:rPr>
        <w:tab/>
        <w:t>the retail shop is owned and operated in accordance with the directions given under subsection (3b);</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w:t>
      </w:r>
    </w:p>
    <w:p>
      <w:pPr>
        <w:pStyle w:val="Indenti"/>
        <w:rPr>
          <w:snapToGrid w:val="0"/>
        </w:rPr>
      </w:pPr>
      <w:r>
        <w:rPr>
          <w:snapToGrid w:val="0"/>
        </w:rPr>
        <w:tab/>
        <w:t>(ii)</w:t>
      </w:r>
      <w:r>
        <w:rPr>
          <w:snapToGrid w:val="0"/>
        </w:rPr>
        <w:tab/>
        <w:t>does not own or operate another retail shop together with a person who is outside that group of persons;</w:t>
      </w:r>
    </w:p>
    <w:p>
      <w:pPr>
        <w:pStyle w:val="Indenti"/>
      </w:pPr>
      <w:r>
        <w:tab/>
        <w:t>(iii)</w:t>
      </w:r>
      <w:r>
        <w:tab/>
        <w:t>does not himself or herself own or operate a retail shop alone if 2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2 or more retail shops that are not owned or operated together with the other persons in the group.</w:t>
      </w:r>
    </w:p>
    <w:p>
      <w:pPr>
        <w:pStyle w:val="Subsection"/>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w:t>
      </w:r>
    </w:p>
    <w:p>
      <w:pPr>
        <w:pStyle w:val="Indenti"/>
      </w:pPr>
      <w:r>
        <w:tab/>
        <w:t>(ii)</w:t>
      </w:r>
      <w:r>
        <w:tab/>
        <w:t>a child of the other owner or of the spouse or de facto partner of the other owner;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pPr>
      <w:r>
        <w:tab/>
        <w:t>(b)</w:t>
      </w:r>
      <w:r>
        <w:tab/>
        <w:t>whether one owner is a related body corporate in relation to the other owner;</w:t>
      </w:r>
    </w:p>
    <w:p>
      <w:pPr>
        <w:pStyle w:val="Indenta"/>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w:t>
      </w:r>
    </w:p>
    <w:p>
      <w:pPr>
        <w:pStyle w:val="Indenta"/>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pPr>
      <w:r>
        <w:tab/>
        <w:t>(3ab)</w:t>
      </w:r>
      <w:r>
        <w:tab/>
        <w:t xml:space="preserve">In subsection (3aa) — </w:t>
      </w:r>
    </w:p>
    <w:p>
      <w:pPr>
        <w:pStyle w:val="Defstart"/>
      </w:pPr>
      <w:r>
        <w:rPr>
          <w:b/>
        </w:rPr>
        <w:tab/>
        <w:t>“</w:t>
      </w:r>
      <w:r>
        <w:rPr>
          <w:rStyle w:val="CharDefText"/>
        </w:rPr>
        <w:t>corporation</w:t>
      </w:r>
      <w:r>
        <w:rPr>
          <w:b/>
        </w:rPr>
        <w:t>”</w:t>
      </w:r>
      <w:r>
        <w:t xml:space="preserve"> has the meaning given to that term in the Commonwealth </w:t>
      </w:r>
      <w:r>
        <w:rPr>
          <w:i/>
        </w:rPr>
        <w:t>Corporations Act 2001</w:t>
      </w:r>
      <w:r>
        <w:t xml:space="preserve"> section 57A;</w:t>
      </w:r>
    </w:p>
    <w:p>
      <w:pPr>
        <w:pStyle w:val="Defstart"/>
      </w:pPr>
      <w:r>
        <w:rPr>
          <w:b/>
        </w:rPr>
        <w:tab/>
        <w:t>“</w:t>
      </w:r>
      <w:r>
        <w:rPr>
          <w:rStyle w:val="CharDefText"/>
        </w:rPr>
        <w:t>officer</w:t>
      </w:r>
      <w:r>
        <w:rPr>
          <w:b/>
        </w:rPr>
        <w:t>”</w:t>
      </w:r>
      <w:r>
        <w:t xml:space="preserve"> has the meaning given to that term in the Commonwealth </w:t>
      </w:r>
      <w:r>
        <w:rPr>
          <w:i/>
        </w:rPr>
        <w:t>Corporations Act 2001</w:t>
      </w:r>
      <w:r>
        <w:t xml:space="preserve"> section 9;</w:t>
      </w:r>
    </w:p>
    <w:p>
      <w:pPr>
        <w:pStyle w:val="Defstart"/>
      </w:pPr>
      <w:r>
        <w:rPr>
          <w:b/>
        </w:rPr>
        <w:tab/>
        <w:t>“</w:t>
      </w:r>
      <w:r>
        <w:rPr>
          <w:rStyle w:val="CharDefText"/>
        </w:rPr>
        <w:t>related body corporate</w:t>
      </w:r>
      <w:r>
        <w:rPr>
          <w:b/>
        </w:rPr>
        <w:t>”</w:t>
      </w:r>
      <w:r>
        <w:t xml:space="preserve"> has the meaning given to that term in the Commonwealth </w:t>
      </w:r>
      <w:r>
        <w:rPr>
          <w:i/>
        </w:rPr>
        <w:t>Corporations Act 2001</w:t>
      </w:r>
      <w:r>
        <w:t xml:space="preserve"> section 9.</w:t>
      </w:r>
    </w:p>
    <w:p>
      <w:pPr>
        <w:pStyle w:val="Subsection"/>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keepNext/>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w:t>
      </w:r>
    </w:p>
    <w:p>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repealed]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keepNext/>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w:t>
      </w:r>
    </w:p>
    <w:p>
      <w:pPr>
        <w:pStyle w:val="Heading5"/>
        <w:rPr>
          <w:snapToGrid w:val="0"/>
        </w:rPr>
      </w:pPr>
      <w:bookmarkStart w:id="69" w:name="_Toc411743917"/>
      <w:bookmarkStart w:id="70" w:name="_Toc535828844"/>
      <w:bookmarkStart w:id="71" w:name="_Toc536343674"/>
      <w:bookmarkStart w:id="72" w:name="_Toc102961898"/>
      <w:bookmarkStart w:id="73" w:name="_Toc166668580"/>
      <w:r>
        <w:rPr>
          <w:rStyle w:val="CharSectno"/>
        </w:rPr>
        <w:t>11</w:t>
      </w:r>
      <w:r>
        <w:rPr>
          <w:snapToGrid w:val="0"/>
        </w:rPr>
        <w:t>.</w:t>
      </w:r>
      <w:r>
        <w:rPr>
          <w:snapToGrid w:val="0"/>
        </w:rPr>
        <w:tab/>
        <w:t>Issue and cancellation of certificates for small retail shops and special retail shops</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keepNext/>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pPr>
      <w:r>
        <w:tab/>
        <w:t>(i)</w:t>
      </w:r>
      <w:r>
        <w:tab/>
        <w:t>that any motor vehicle is, or any goods or service prescribed for the purposes of section 10(3)(a) are, sold or provided at that retail shop;</w:t>
      </w:r>
    </w:p>
    <w:p>
      <w:pPr>
        <w:pStyle w:val="Indenti"/>
        <w:rPr>
          <w:snapToGrid w:val="0"/>
        </w:rPr>
      </w:pPr>
      <w:r>
        <w:rPr>
          <w:snapToGrid w:val="0"/>
        </w:rPr>
        <w:tab/>
        <w:t>(ii)</w:t>
      </w:r>
      <w:r>
        <w:rPr>
          <w:snapToGrid w:val="0"/>
        </w:rPr>
        <w:tab/>
        <w:t>that the retail shop is not owned or operated in terms of section 10(3) and (3b); or</w:t>
      </w:r>
    </w:p>
    <w:p>
      <w:pPr>
        <w:pStyle w:val="Indenti"/>
      </w:pPr>
      <w:r>
        <w:tab/>
        <w:t>(iii)</w:t>
      </w:r>
      <w:r>
        <w:tab/>
        <w:t>that notification has not been given as required by section 10(3ac);</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spacing w:before="120"/>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spacing w:before="120"/>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pPr>
      <w:r>
        <w:tab/>
        <w:t xml:space="preserve">[Section 11 amended by No. 1 of 1991 s. 7 and 14; No. 47 of 2006 s. 7.] </w:t>
      </w:r>
    </w:p>
    <w:p>
      <w:pPr>
        <w:pStyle w:val="Heading5"/>
        <w:spacing w:before="240"/>
        <w:rPr>
          <w:snapToGrid w:val="0"/>
        </w:rPr>
      </w:pPr>
      <w:bookmarkStart w:id="74" w:name="_Toc411743918"/>
      <w:bookmarkStart w:id="75" w:name="_Toc535828845"/>
      <w:bookmarkStart w:id="76" w:name="_Toc536343675"/>
      <w:bookmarkStart w:id="77" w:name="_Toc102961899"/>
      <w:bookmarkStart w:id="78" w:name="_Toc166668581"/>
      <w:r>
        <w:rPr>
          <w:rStyle w:val="CharSectno"/>
        </w:rPr>
        <w:t>12</w:t>
      </w:r>
      <w:r>
        <w:rPr>
          <w:snapToGrid w:val="0"/>
        </w:rPr>
        <w:t>.</w:t>
      </w:r>
      <w:r>
        <w:rPr>
          <w:snapToGrid w:val="0"/>
        </w:rPr>
        <w:tab/>
        <w:t>Trading hours for retail shops</w:t>
      </w:r>
      <w:bookmarkEnd w:id="74"/>
      <w:bookmarkEnd w:id="75"/>
      <w:bookmarkEnd w:id="76"/>
      <w:bookmarkEnd w:id="77"/>
      <w:bookmarkEnd w:id="78"/>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 shall be closed — </w:t>
      </w:r>
    </w:p>
    <w:p>
      <w:pPr>
        <w:pStyle w:val="Indenta"/>
        <w:spacing w:before="120"/>
        <w:rPr>
          <w:snapToGrid w:val="0"/>
        </w:rPr>
      </w:pPr>
      <w:r>
        <w:rPr>
          <w:snapToGrid w:val="0"/>
        </w:rPr>
        <w:tab/>
        <w:t>(a)</w:t>
      </w:r>
      <w:r>
        <w:rPr>
          <w:snapToGrid w:val="0"/>
        </w:rPr>
        <w:tab/>
        <w:t>on Monday, Tuesday, Wednesday and Friday in each week until 8 a.m. and from and after 6 p.m.;</w:t>
      </w:r>
    </w:p>
    <w:p>
      <w:pPr>
        <w:pStyle w:val="Indenta"/>
        <w:spacing w:before="120"/>
        <w:rPr>
          <w:snapToGrid w:val="0"/>
        </w:rPr>
      </w:pPr>
      <w:r>
        <w:rPr>
          <w:snapToGrid w:val="0"/>
        </w:rPr>
        <w:tab/>
        <w:t>(b)</w:t>
      </w:r>
      <w:r>
        <w:rPr>
          <w:snapToGrid w:val="0"/>
        </w:rPr>
        <w:tab/>
        <w:t>on Thursday in each week, until 8 a.m. and from and after 9 p.m.;</w:t>
      </w:r>
    </w:p>
    <w:p>
      <w:pPr>
        <w:pStyle w:val="Indenta"/>
        <w:spacing w:before="120"/>
        <w:rPr>
          <w:snapToGrid w:val="0"/>
        </w:rPr>
      </w:pPr>
      <w:r>
        <w:rPr>
          <w:snapToGrid w:val="0"/>
        </w:rPr>
        <w:tab/>
        <w:t>(c)</w:t>
      </w:r>
      <w:r>
        <w:rPr>
          <w:snapToGrid w:val="0"/>
        </w:rPr>
        <w:tab/>
        <w:t>on Saturday in each week, until 8 a.m. and from and after 5 p.m.;</w:t>
      </w:r>
    </w:p>
    <w:p>
      <w:pPr>
        <w:pStyle w:val="Indenta"/>
        <w:spacing w:before="120"/>
        <w:rPr>
          <w:snapToGrid w:val="0"/>
        </w:rPr>
      </w:pPr>
      <w:r>
        <w:rPr>
          <w:snapToGrid w:val="0"/>
        </w:rPr>
        <w:tab/>
        <w:t>(d)</w:t>
      </w:r>
      <w:r>
        <w:rPr>
          <w:snapToGrid w:val="0"/>
        </w:rPr>
        <w:tab/>
        <w:t>on Sunday in each week; and</w:t>
      </w:r>
    </w:p>
    <w:p>
      <w:pPr>
        <w:pStyle w:val="Indenta"/>
        <w:spacing w:before="120"/>
        <w:rPr>
          <w:snapToGrid w:val="0"/>
        </w:rPr>
      </w:pPr>
      <w:r>
        <w:rPr>
          <w:snapToGrid w:val="0"/>
        </w:rPr>
        <w:tab/>
        <w:t>(e)</w:t>
      </w:r>
      <w:r>
        <w:rPr>
          <w:snapToGrid w:val="0"/>
        </w:rPr>
        <w:tab/>
        <w:t>on each public holiday and public half</w:t>
      </w:r>
      <w:r>
        <w:rPr>
          <w:snapToGrid w:val="0"/>
        </w:rPr>
        <w:noBreakHyphen/>
        <w:t>holiday.</w:t>
      </w:r>
    </w:p>
    <w:p>
      <w:pPr>
        <w:pStyle w:val="Ednotesubsection"/>
      </w:pPr>
      <w:r>
        <w:tab/>
        <w:t>[(1a), (1b)</w:t>
      </w:r>
      <w:r>
        <w:tab/>
        <w:t>repealed]</w:t>
      </w:r>
    </w:p>
    <w:p>
      <w:pPr>
        <w:pStyle w:val="Subsection"/>
      </w:pPr>
      <w:r>
        <w:tab/>
        <w:t>(2)</w:t>
      </w:r>
      <w:r>
        <w:tab/>
        <w:t xml:space="preserve">Subsection (1) does not apply to — </w:t>
      </w:r>
    </w:p>
    <w:p>
      <w:pPr>
        <w:pStyle w:val="Indenta"/>
      </w:pPr>
      <w:r>
        <w:tab/>
        <w:t>(a)</w:t>
      </w:r>
      <w:r>
        <w:tab/>
        <w:t>a general retail shop in a tourism precinct or holiday resort, as defined in section 12A(4);</w:t>
      </w:r>
    </w:p>
    <w:p>
      <w:pPr>
        <w:pStyle w:val="Indenta"/>
      </w:pPr>
      <w:r>
        <w:tab/>
        <w:t>(b)</w:t>
      </w:r>
      <w:r>
        <w:tab/>
        <w:t>a general retail shop to which an order under section 12A applies by the operation of subsection (3) of that section; or</w:t>
      </w:r>
    </w:p>
    <w:p>
      <w:pPr>
        <w:pStyle w:val="Indenta"/>
      </w:pPr>
      <w:r>
        <w:tab/>
        <w:t>(c)</w:t>
      </w:r>
      <w:r>
        <w:tab/>
        <w:t>a motor vehicle shop.</w:t>
      </w:r>
    </w:p>
    <w:p>
      <w:pPr>
        <w:pStyle w:val="Footnotesection"/>
      </w:pPr>
      <w:r>
        <w:tab/>
        <w:t xml:space="preserve">[Section 12 amended by No. 1 of 1991 s. 8; No. 47 of 2006 s. 8.] </w:t>
      </w:r>
    </w:p>
    <w:p>
      <w:pPr>
        <w:pStyle w:val="Heading5"/>
      </w:pPr>
      <w:bookmarkStart w:id="79" w:name="_Toc166554187"/>
      <w:bookmarkStart w:id="80" w:name="_Toc166668582"/>
      <w:bookmarkStart w:id="81" w:name="_Toc411743919"/>
      <w:bookmarkStart w:id="82" w:name="_Toc535828846"/>
      <w:bookmarkStart w:id="83" w:name="_Toc536343676"/>
      <w:bookmarkStart w:id="84" w:name="_Toc102961900"/>
      <w:r>
        <w:rPr>
          <w:rStyle w:val="CharSectno"/>
        </w:rPr>
        <w:t>12A</w:t>
      </w:r>
      <w:r>
        <w:t>.</w:t>
      </w:r>
      <w:r>
        <w:tab/>
        <w:t>Trading hours for general retail shops in tourism precincts and holiday resorts</w:t>
      </w:r>
      <w:bookmarkEnd w:id="79"/>
      <w:bookmarkEnd w:id="80"/>
    </w:p>
    <w:p>
      <w:pPr>
        <w:pStyle w:val="Subsection"/>
      </w:pPr>
      <w:r>
        <w:tab/>
        <w:t>(1)</w:t>
      </w:r>
      <w:r>
        <w:tab/>
        <w:t xml:space="preserve">The Minister may by order fix a time or times when general retail shops in a tourism precinct or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pPr>
      <w:r>
        <w:tab/>
        <w:t>(2)</w:t>
      </w:r>
      <w:r>
        <w:tab/>
        <w:t xml:space="preserve">An order may apply to — </w:t>
      </w:r>
    </w:p>
    <w:p>
      <w:pPr>
        <w:pStyle w:val="Indenta"/>
      </w:pPr>
      <w:r>
        <w:tab/>
        <w:t>(a)</w:t>
      </w:r>
      <w:r>
        <w:tab/>
        <w:t>all general retail shops in the tourism precinct or holiday resort;</w:t>
      </w:r>
    </w:p>
    <w:p>
      <w:pPr>
        <w:pStyle w:val="Indenta"/>
      </w:pPr>
      <w:r>
        <w:tab/>
        <w:t>(b)</w:t>
      </w:r>
      <w:r>
        <w:tab/>
        <w:t>general retail shops in the tourism precinct or holiday resort of a class specified in the order; or</w:t>
      </w:r>
    </w:p>
    <w:p>
      <w:pPr>
        <w:pStyle w:val="Indenta"/>
      </w:pPr>
      <w:r>
        <w:tab/>
        <w:t>(c)</w:t>
      </w:r>
      <w:r>
        <w:tab/>
        <w:t>general retail shops in the tourism precinct or holiday resort that are specified in the order.</w:t>
      </w:r>
    </w:p>
    <w:p>
      <w:pPr>
        <w:pStyle w:val="Subsection"/>
      </w:pPr>
      <w:r>
        <w:tab/>
        <w:t>(3)</w:t>
      </w:r>
      <w:r>
        <w:tab/>
        <w:t xml:space="preserve">An order that applies to general retail shops in a tourism precinct may also apply to general retail shops — </w:t>
      </w:r>
    </w:p>
    <w:p>
      <w:pPr>
        <w:pStyle w:val="Indenta"/>
      </w:pPr>
      <w:r>
        <w:tab/>
        <w:t>(a)</w:t>
      </w:r>
      <w:r>
        <w:tab/>
        <w:t>that are in the immediate vicinity of the tourism precinct; and</w:t>
      </w:r>
    </w:p>
    <w:p>
      <w:pPr>
        <w:pStyle w:val="Indenta"/>
      </w:pPr>
      <w:r>
        <w:tab/>
        <w:t>(b)</w:t>
      </w:r>
      <w:r>
        <w:tab/>
        <w:t>that are specified, or that are of a class specified, in the order.</w:t>
      </w:r>
    </w:p>
    <w:p>
      <w:pPr>
        <w:pStyle w:val="Subsection"/>
      </w:pPr>
      <w:r>
        <w:tab/>
        <w:t>(4)</w:t>
      </w:r>
      <w:r>
        <w:tab/>
        <w:t xml:space="preserve">In this section — </w:t>
      </w:r>
    </w:p>
    <w:p>
      <w:pPr>
        <w:pStyle w:val="Defstart"/>
      </w:pPr>
      <w:r>
        <w:rPr>
          <w:b/>
        </w:rPr>
        <w:tab/>
        <w:t>“</w:t>
      </w:r>
      <w:r>
        <w:rPr>
          <w:rStyle w:val="CharDefText"/>
        </w:rPr>
        <w:t>Fremantle tourism precinct</w:t>
      </w:r>
      <w:r>
        <w:rPr>
          <w:b/>
        </w:rPr>
        <w:t>”</w:t>
      </w:r>
      <w:r>
        <w:t xml:space="preserve"> means the area or areas prescribed for the purposes of this definition;</w:t>
      </w:r>
    </w:p>
    <w:p>
      <w:pPr>
        <w:pStyle w:val="Defstart"/>
      </w:pPr>
      <w:r>
        <w:rPr>
          <w:b/>
        </w:rPr>
        <w:tab/>
        <w:t>“</w:t>
      </w:r>
      <w:r>
        <w:rPr>
          <w:rStyle w:val="CharDefText"/>
        </w:rPr>
        <w:t>holiday resort</w:t>
      </w:r>
      <w:r>
        <w:rPr>
          <w:b/>
        </w:rPr>
        <w:t>”</w:t>
      </w:r>
      <w:r>
        <w:t xml:space="preserve"> means the Rockingham holiday resort, Rottnest Island holiday resort or Wanneroo holiday resort;</w:t>
      </w:r>
    </w:p>
    <w:p>
      <w:pPr>
        <w:pStyle w:val="Defstart"/>
      </w:pPr>
      <w:r>
        <w:rPr>
          <w:b/>
        </w:rPr>
        <w:tab/>
        <w:t>“</w:t>
      </w:r>
      <w:r>
        <w:rPr>
          <w:rStyle w:val="CharDefText"/>
        </w:rPr>
        <w:t>Perth tourism precinct</w:t>
      </w:r>
      <w:r>
        <w:rPr>
          <w:b/>
        </w:rPr>
        <w:t>”</w:t>
      </w:r>
      <w:r>
        <w:t xml:space="preserve"> means the area or areas prescribed for the purposes of this definition;</w:t>
      </w:r>
    </w:p>
    <w:p>
      <w:pPr>
        <w:pStyle w:val="Defstart"/>
      </w:pPr>
      <w:r>
        <w:rPr>
          <w:b/>
        </w:rPr>
        <w:tab/>
        <w:t>“</w:t>
      </w:r>
      <w:r>
        <w:rPr>
          <w:rStyle w:val="CharDefText"/>
        </w:rPr>
        <w:t>Rockingham holiday resort</w:t>
      </w:r>
      <w:r>
        <w:rPr>
          <w:b/>
        </w:rPr>
        <w:t>”</w:t>
      </w:r>
      <w:r>
        <w:t xml:space="preserve"> means the area or areas prescribed for the purposes of this definition;</w:t>
      </w:r>
    </w:p>
    <w:p>
      <w:pPr>
        <w:pStyle w:val="Defstart"/>
      </w:pPr>
      <w:r>
        <w:tab/>
      </w:r>
      <w:r>
        <w:rPr>
          <w:b/>
        </w:rPr>
        <w:t>“</w:t>
      </w:r>
      <w:r>
        <w:rPr>
          <w:rStyle w:val="CharDefText"/>
        </w:rPr>
        <w:t>Rottnest Island holiday resort</w:t>
      </w:r>
      <w:r>
        <w:rPr>
          <w:b/>
        </w:rPr>
        <w:t>”</w:t>
      </w:r>
      <w:r>
        <w:t xml:space="preserve"> means the area or areas prescribed for the purposes of this definition;</w:t>
      </w:r>
    </w:p>
    <w:p>
      <w:pPr>
        <w:pStyle w:val="Defstart"/>
      </w:pPr>
      <w:r>
        <w:rPr>
          <w:b/>
        </w:rPr>
        <w:tab/>
        <w:t>“</w:t>
      </w:r>
      <w:r>
        <w:rPr>
          <w:rStyle w:val="CharDefText"/>
        </w:rPr>
        <w:t>tourism precinct</w:t>
      </w:r>
      <w:r>
        <w:rPr>
          <w:b/>
        </w:rPr>
        <w:t>”</w:t>
      </w:r>
      <w:r>
        <w:t xml:space="preserve"> means the Perth tourism precinct or Fremantle tourism precinct;</w:t>
      </w:r>
    </w:p>
    <w:p>
      <w:pPr>
        <w:pStyle w:val="Defstart"/>
      </w:pPr>
      <w:r>
        <w:rPr>
          <w:b/>
        </w:rPr>
        <w:tab/>
        <w:t>“</w:t>
      </w:r>
      <w:r>
        <w:rPr>
          <w:rStyle w:val="CharDefText"/>
        </w:rPr>
        <w:t>Wanneroo holiday resort</w:t>
      </w:r>
      <w:r>
        <w:rPr>
          <w:b/>
        </w:rPr>
        <w:t>”</w:t>
      </w:r>
      <w:r>
        <w:t xml:space="preserve"> means the area or areas prescribed for the purposes of this definition.</w:t>
      </w:r>
    </w:p>
    <w:p>
      <w:pPr>
        <w:pStyle w:val="Footnotesection"/>
      </w:pPr>
      <w:r>
        <w:tab/>
        <w:t>[Section 12A inserted by No. 47 of 2006 s. 9.]</w:t>
      </w:r>
    </w:p>
    <w:p>
      <w:pPr>
        <w:pStyle w:val="Heading5"/>
      </w:pPr>
      <w:bookmarkStart w:id="85" w:name="_Toc166554188"/>
      <w:bookmarkStart w:id="86" w:name="_Toc166668583"/>
      <w:r>
        <w:rPr>
          <w:rStyle w:val="CharSectno"/>
        </w:rPr>
        <w:t>12B</w:t>
      </w:r>
      <w:r>
        <w:t>.</w:t>
      </w:r>
      <w:r>
        <w:tab/>
        <w:t>Trading hours for motor vehicle shops</w:t>
      </w:r>
      <w:bookmarkEnd w:id="85"/>
      <w:bookmarkEnd w:id="86"/>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w:t>
      </w:r>
    </w:p>
    <w:p>
      <w:pPr>
        <w:pStyle w:val="Indenta"/>
      </w:pPr>
      <w:r>
        <w:tab/>
        <w:t>(b)</w:t>
      </w:r>
      <w:r>
        <w:tab/>
        <w:t>on Wednesday in each week — until 8 a.m. and from and after 9 p.m.;</w:t>
      </w:r>
    </w:p>
    <w:p>
      <w:pPr>
        <w:pStyle w:val="Indenta"/>
      </w:pPr>
      <w:r>
        <w:tab/>
        <w:t>(c)</w:t>
      </w:r>
      <w:r>
        <w:tab/>
        <w:t>on Saturday in each week — until 8 a.m. and from and after 1 p.m.;</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bookmarkStart w:id="87" w:name="_Toc166554189"/>
      <w:r>
        <w:tab/>
        <w:t>[Section 12B inserted by No. 47 of 2006 s. 9.]</w:t>
      </w:r>
    </w:p>
    <w:p>
      <w:pPr>
        <w:pStyle w:val="Heading5"/>
      </w:pPr>
      <w:bookmarkStart w:id="88" w:name="_Toc166668584"/>
      <w:r>
        <w:rPr>
          <w:rStyle w:val="CharSectno"/>
        </w:rPr>
        <w:t>12C</w:t>
      </w:r>
      <w:r>
        <w:t>.</w:t>
      </w:r>
      <w:r>
        <w:tab/>
        <w:t>No restriction on trading hours for small retail shops</w:t>
      </w:r>
      <w:bookmarkEnd w:id="87"/>
      <w:bookmarkEnd w:id="88"/>
    </w:p>
    <w:p>
      <w:pPr>
        <w:pStyle w:val="Subsection"/>
      </w:pPr>
      <w:r>
        <w:tab/>
      </w:r>
      <w:r>
        <w:tab/>
        <w:t>A small retail shop may be open at any time.</w:t>
      </w:r>
    </w:p>
    <w:p>
      <w:pPr>
        <w:pStyle w:val="Footnotesection"/>
      </w:pPr>
      <w:bookmarkStart w:id="89" w:name="_Toc166554190"/>
      <w:r>
        <w:tab/>
        <w:t>[Section 12C inserted by No. 47 of 2006 s. 9.]</w:t>
      </w:r>
    </w:p>
    <w:p>
      <w:pPr>
        <w:pStyle w:val="Heading5"/>
      </w:pPr>
      <w:bookmarkStart w:id="90" w:name="_Toc166668585"/>
      <w:r>
        <w:rPr>
          <w:rStyle w:val="CharSectno"/>
        </w:rPr>
        <w:t>12D</w:t>
      </w:r>
      <w:r>
        <w:t>.</w:t>
      </w:r>
      <w:r>
        <w:tab/>
        <w:t>Trading hours for special retail shops</w:t>
      </w:r>
      <w:bookmarkEnd w:id="89"/>
      <w:bookmarkEnd w:id="90"/>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bookmarkStart w:id="91" w:name="_Toc166554191"/>
      <w:r>
        <w:tab/>
        <w:t>[Section 12D inserted by No. 47 of 2006 s. 9.]</w:t>
      </w:r>
    </w:p>
    <w:p>
      <w:pPr>
        <w:pStyle w:val="Heading5"/>
      </w:pPr>
      <w:bookmarkStart w:id="92" w:name="_Toc166668586"/>
      <w:r>
        <w:rPr>
          <w:rStyle w:val="CharSectno"/>
        </w:rPr>
        <w:t>12E</w:t>
      </w:r>
      <w:r>
        <w:t>.</w:t>
      </w:r>
      <w:r>
        <w:tab/>
        <w:t>Variation of trading hours</w:t>
      </w:r>
      <w:bookmarkEnd w:id="91"/>
      <w:bookmarkEnd w:id="92"/>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An order varying the trading hours of general retail shops in the metropolitan area (other than an order under section 12A) can have effect only —</w:t>
      </w:r>
    </w:p>
    <w:p>
      <w:pPr>
        <w:pStyle w:val="Indenta"/>
      </w:pPr>
      <w:r>
        <w:rPr>
          <w:szCs w:val="22"/>
        </w:rPr>
        <w:tab/>
        <w:t>(a)</w:t>
      </w:r>
      <w:r>
        <w:rPr>
          <w:szCs w:val="22"/>
        </w:rPr>
        <w:tab/>
        <w:t>in relation to a day or days within the period of 28 days ending on 1 January; or</w:t>
      </w:r>
    </w:p>
    <w:p>
      <w:pPr>
        <w:pStyle w:val="Indenta"/>
      </w:pPr>
      <w:r>
        <w:tab/>
        <w:t>(b)</w:t>
      </w:r>
      <w:r>
        <w:tab/>
        <w:t>to extend the trading hours of general retail shops on a particular day to no later than 9 p.m. for the purpose of compensating for trading hours that are lost by general retail shops in the metropolitan area on a particular day in the same week between 6 p.m. and 9 p.m. because of a public holiday or public half</w:t>
      </w:r>
      <w:r>
        <w:noBreakHyphen/>
        <w:t>holiday.</w:t>
      </w:r>
    </w:p>
    <w:p>
      <w:pPr>
        <w:pStyle w:val="Subsection"/>
      </w:pPr>
      <w:r>
        <w:tab/>
        <w:t>(3)</w:t>
      </w:r>
      <w:r>
        <w:tab/>
        <w:t xml:space="preserve">Subject to subsection (2), an order varying the trading hours of general retail shops may apply to — </w:t>
      </w:r>
    </w:p>
    <w:p>
      <w:pPr>
        <w:pStyle w:val="Indenta"/>
      </w:pPr>
      <w:r>
        <w:tab/>
        <w:t>(a)</w:t>
      </w:r>
      <w:r>
        <w:tab/>
        <w:t>all general retail shops;</w:t>
      </w:r>
    </w:p>
    <w:p>
      <w:pPr>
        <w:pStyle w:val="Indenta"/>
      </w:pPr>
      <w:r>
        <w:tab/>
        <w:t>(b)</w:t>
      </w:r>
      <w:r>
        <w:tab/>
        <w:t>general retail shops of a specified class;</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w:t>
      </w:r>
    </w:p>
    <w:p>
      <w:pPr>
        <w:pStyle w:val="Indenta"/>
      </w:pPr>
      <w:r>
        <w:tab/>
        <w:t>(b)</w:t>
      </w:r>
      <w:r>
        <w:tab/>
        <w:t>motor vehicle shops of a specified class;</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w:t>
      </w:r>
    </w:p>
    <w:p>
      <w:pPr>
        <w:pStyle w:val="Indenta"/>
      </w:pPr>
      <w:r>
        <w:tab/>
        <w:t>(b)</w:t>
      </w:r>
      <w:r>
        <w:tab/>
        <w:t>special retail shops of a specified class;</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rPr>
          <w:b/>
        </w:rPr>
        <w:tab/>
        <w:t>“</w:t>
      </w:r>
      <w:r>
        <w:rPr>
          <w:rStyle w:val="CharDefText"/>
        </w:rPr>
        <w:t>specified</w:t>
      </w:r>
      <w:r>
        <w:rPr>
          <w:b/>
        </w:rPr>
        <w:t>”</w:t>
      </w:r>
      <w:r>
        <w:t>, in relation to an order, means specified in the order.</w:t>
      </w:r>
    </w:p>
    <w:p>
      <w:pPr>
        <w:pStyle w:val="Footnotesection"/>
      </w:pPr>
      <w:r>
        <w:tab/>
        <w:t>[Section 12E inserted by No. 47 of 2006 s. 9.]</w:t>
      </w:r>
    </w:p>
    <w:bookmarkEnd w:id="81"/>
    <w:bookmarkEnd w:id="82"/>
    <w:bookmarkEnd w:id="83"/>
    <w:bookmarkEnd w:id="84"/>
    <w:p>
      <w:pPr>
        <w:pStyle w:val="Ednotesection"/>
      </w:pPr>
      <w:r>
        <w:t>[</w:t>
      </w:r>
      <w:r>
        <w:rPr>
          <w:b/>
          <w:bCs/>
        </w:rPr>
        <w:t>13.</w:t>
      </w:r>
      <w:r>
        <w:tab/>
        <w:t>Repealed by No. 47 of 2006 s. 10.]</w:t>
      </w:r>
    </w:p>
    <w:p>
      <w:pPr>
        <w:pStyle w:val="Heading5"/>
      </w:pPr>
      <w:bookmarkStart w:id="93" w:name="_Toc166554194"/>
      <w:bookmarkStart w:id="94" w:name="_Toc166668587"/>
      <w:bookmarkStart w:id="95" w:name="_Toc411743921"/>
      <w:bookmarkStart w:id="96" w:name="_Toc535828848"/>
      <w:bookmarkStart w:id="97" w:name="_Toc536343678"/>
      <w:bookmarkStart w:id="98" w:name="_Toc102961902"/>
      <w:r>
        <w:rPr>
          <w:rStyle w:val="CharSectno"/>
        </w:rPr>
        <w:t>14</w:t>
      </w:r>
      <w:r>
        <w:t>.</w:t>
      </w:r>
      <w:r>
        <w:tab/>
        <w:t>No restriction on trading hours for filling stations</w:t>
      </w:r>
      <w:bookmarkEnd w:id="93"/>
      <w:bookmarkEnd w:id="94"/>
    </w:p>
    <w:p>
      <w:pPr>
        <w:pStyle w:val="Subsection"/>
      </w:pPr>
      <w:r>
        <w:tab/>
      </w:r>
      <w:r>
        <w:tab/>
        <w:t>A filling station may be open at any time.</w:t>
      </w:r>
    </w:p>
    <w:p>
      <w:pPr>
        <w:pStyle w:val="Footnotesection"/>
      </w:pPr>
      <w:bookmarkStart w:id="99" w:name="_Toc166554195"/>
      <w:r>
        <w:tab/>
        <w:t>[Section 14 inserted by No. 47 of 2006 s. 11.]</w:t>
      </w:r>
    </w:p>
    <w:p>
      <w:pPr>
        <w:pStyle w:val="Heading5"/>
      </w:pPr>
      <w:bookmarkStart w:id="100" w:name="_Toc166668588"/>
      <w:r>
        <w:rPr>
          <w:rStyle w:val="CharSectno"/>
        </w:rPr>
        <w:t>14A</w:t>
      </w:r>
      <w:r>
        <w:t>.</w:t>
      </w:r>
      <w:r>
        <w:tab/>
        <w:t>Sale of goods at filling stations</w:t>
      </w:r>
      <w:bookmarkEnd w:id="99"/>
      <w:bookmarkEnd w:id="100"/>
    </w:p>
    <w:p>
      <w:pPr>
        <w:pStyle w:val="Subsection"/>
      </w:pPr>
      <w:r>
        <w:tab/>
        <w:t>(1)</w:t>
      </w:r>
      <w:r>
        <w:tab/>
        <w:t xml:space="preserve">A person who operates a filling station is not, at any time outside the trading hours referred to in section 12(1), to sell or allow to be sold at the filling station any thing that is not — </w:t>
      </w:r>
    </w:p>
    <w:p>
      <w:pPr>
        <w:pStyle w:val="Indenta"/>
      </w:pPr>
      <w:r>
        <w:tab/>
        <w:t>(a)</w:t>
      </w:r>
      <w:r>
        <w:tab/>
        <w:t>fuel or an accessory;</w:t>
      </w:r>
    </w:p>
    <w:p>
      <w:pPr>
        <w:pStyle w:val="Indenta"/>
      </w:pPr>
      <w:r>
        <w:tab/>
        <w:t>(b)</w:t>
      </w:r>
      <w:r>
        <w:tab/>
        <w:t>one of the goods prescribed for the purposes of this paragraph;</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t>“</w:t>
      </w:r>
      <w:r>
        <w:rPr>
          <w:rStyle w:val="CharDefText"/>
        </w:rPr>
        <w:t>accessory</w:t>
      </w:r>
      <w:r>
        <w:rPr>
          <w:b/>
        </w:rPr>
        <w:t>”</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bookmarkStart w:id="101" w:name="_Toc166554196"/>
      <w:r>
        <w:tab/>
        <w:t>[Section 14A inserted by No. 47 of 2006 s. 11.]</w:t>
      </w:r>
    </w:p>
    <w:p>
      <w:pPr>
        <w:pStyle w:val="Heading5"/>
      </w:pPr>
      <w:bookmarkStart w:id="102" w:name="_Toc166668589"/>
      <w:r>
        <w:rPr>
          <w:rStyle w:val="CharSectno"/>
        </w:rPr>
        <w:t>14B</w:t>
      </w:r>
      <w:r>
        <w:t>.</w:t>
      </w:r>
      <w:r>
        <w:tab/>
        <w:t>Small filling stations</w:t>
      </w:r>
      <w:bookmarkEnd w:id="101"/>
      <w:bookmarkEnd w:id="102"/>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t>(b)</w:t>
      </w:r>
      <w:r>
        <w:tab/>
        <w:t>the filling station is operated for the benefit of the eligible persons referred to in paragraph (a);</w:t>
      </w:r>
    </w:p>
    <w:p>
      <w:pPr>
        <w:pStyle w:val="Indenta"/>
      </w:pPr>
      <w:r>
        <w:tab/>
        <w:t>(c)</w:t>
      </w:r>
      <w:r>
        <w:tab/>
        <w:t>the eligible persons referred to in paragraph (a) are personally and actively engaged in the filling station;</w:t>
      </w:r>
    </w:p>
    <w:p>
      <w:pPr>
        <w:pStyle w:val="Indenta"/>
      </w:pPr>
      <w:r>
        <w:tab/>
        <w:t>(d)</w:t>
      </w:r>
      <w:r>
        <w:tab/>
        <w:t>not more than 10 persons (including the eligible persons who own and operate the filling station) work in the filling station at any one and the same time;</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w:t>
      </w:r>
    </w:p>
    <w:p>
      <w:pPr>
        <w:pStyle w:val="Indenti"/>
      </w:pPr>
      <w:r>
        <w:tab/>
        <w:t>(ii)</w:t>
      </w:r>
      <w:r>
        <w:tab/>
        <w:t>does not own or operate another filling station together with a person who is outside that group of persons;</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bookmarkStart w:id="103" w:name="_Toc166554197"/>
      <w:r>
        <w:tab/>
        <w:t>[Section 14B inserted by No. 47 of 2006 s. 11.]</w:t>
      </w:r>
    </w:p>
    <w:p>
      <w:pPr>
        <w:pStyle w:val="Heading5"/>
      </w:pPr>
      <w:bookmarkStart w:id="104" w:name="_Toc166668590"/>
      <w:r>
        <w:rPr>
          <w:rStyle w:val="CharSectno"/>
        </w:rPr>
        <w:t>14C</w:t>
      </w:r>
      <w:r>
        <w:t>.</w:t>
      </w:r>
      <w:r>
        <w:tab/>
        <w:t>Issue and cancellation of certificates for small filling stations</w:t>
      </w:r>
      <w:bookmarkEnd w:id="103"/>
      <w:bookmarkEnd w:id="104"/>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 14C inserted by No. 47 of 2006 s. 11.]</w:t>
      </w:r>
    </w:p>
    <w:p>
      <w:pPr>
        <w:pStyle w:val="Heading5"/>
        <w:rPr>
          <w:snapToGrid w:val="0"/>
        </w:rPr>
      </w:pPr>
      <w:bookmarkStart w:id="105" w:name="_Toc166668591"/>
      <w:r>
        <w:rPr>
          <w:rStyle w:val="CharSectno"/>
        </w:rPr>
        <w:t>15</w:t>
      </w:r>
      <w:r>
        <w:rPr>
          <w:snapToGrid w:val="0"/>
        </w:rPr>
        <w:t>.</w:t>
      </w:r>
      <w:r>
        <w:rPr>
          <w:snapToGrid w:val="0"/>
        </w:rPr>
        <w:tab/>
        <w:t>Permits</w:t>
      </w:r>
      <w:bookmarkEnd w:id="95"/>
      <w:bookmarkEnd w:id="96"/>
      <w:bookmarkEnd w:id="97"/>
      <w:bookmarkEnd w:id="98"/>
      <w:bookmarkEnd w:id="105"/>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106" w:name="_Toc411743922"/>
      <w:bookmarkStart w:id="107" w:name="_Toc535828849"/>
      <w:bookmarkStart w:id="108" w:name="_Toc536343679"/>
      <w:bookmarkStart w:id="109" w:name="_Toc102961903"/>
      <w:bookmarkStart w:id="110" w:name="_Toc166668592"/>
      <w:r>
        <w:rPr>
          <w:rStyle w:val="CharSectno"/>
        </w:rPr>
        <w:t>16</w:t>
      </w:r>
      <w:r>
        <w:rPr>
          <w:snapToGrid w:val="0"/>
        </w:rPr>
        <w:t>.</w:t>
      </w:r>
      <w:r>
        <w:rPr>
          <w:snapToGrid w:val="0"/>
        </w:rPr>
        <w:tab/>
        <w:t>Covenants relating to opening of retail shops</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111" w:name="_Toc411743923"/>
      <w:bookmarkStart w:id="112" w:name="_Toc535828850"/>
      <w:bookmarkStart w:id="113" w:name="_Toc536343680"/>
      <w:bookmarkStart w:id="114" w:name="_Toc102961904"/>
      <w:bookmarkStart w:id="115" w:name="_Toc166668593"/>
      <w:r>
        <w:rPr>
          <w:rStyle w:val="CharSectno"/>
        </w:rPr>
        <w:t>17</w:t>
      </w:r>
      <w:r>
        <w:rPr>
          <w:snapToGrid w:val="0"/>
        </w:rPr>
        <w:t>.</w:t>
      </w:r>
      <w:r>
        <w:rPr>
          <w:snapToGrid w:val="0"/>
        </w:rPr>
        <w:tab/>
        <w:t>Retail Shops Advisory Committee</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rPr>
          <w:snapToGrid w:val="0"/>
        </w:rPr>
      </w:pPr>
      <w:r>
        <w:rPr>
          <w:snapToGrid w:val="0"/>
        </w:rPr>
        <w:tab/>
        <w:t>(4)</w:t>
      </w:r>
      <w:r>
        <w:rPr>
          <w:snapToGrid w:val="0"/>
        </w:rPr>
        <w:tab/>
        <w:t>A member appointed under subsection (2)(b) — </w:t>
      </w:r>
    </w:p>
    <w:p>
      <w:pPr>
        <w:pStyle w:val="Indenta"/>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 Minister for Public Sector Management </w:t>
      </w:r>
      <w:r>
        <w:rPr>
          <w:snapToGrid w:val="0"/>
          <w:vertAlign w:val="superscript"/>
        </w:rPr>
        <w:t>4</w:t>
      </w:r>
      <w:r>
        <w:rPr>
          <w:snapToGrid w:val="0"/>
        </w:rPr>
        <w:t>,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 xml:space="preserve">[Section 17 amended by No. 1 of 1991 s. 12 and 14.] </w:t>
      </w:r>
    </w:p>
    <w:p>
      <w:pPr>
        <w:pStyle w:val="Heading5"/>
        <w:rPr>
          <w:snapToGrid w:val="0"/>
        </w:rPr>
      </w:pPr>
      <w:bookmarkStart w:id="116" w:name="_Toc411743924"/>
      <w:bookmarkStart w:id="117" w:name="_Toc535828851"/>
      <w:bookmarkStart w:id="118" w:name="_Toc536343681"/>
      <w:bookmarkStart w:id="119" w:name="_Toc102961905"/>
      <w:bookmarkStart w:id="120" w:name="_Toc166668594"/>
      <w:r>
        <w:rPr>
          <w:rStyle w:val="CharSectno"/>
        </w:rPr>
        <w:t>18</w:t>
      </w:r>
      <w:r>
        <w:rPr>
          <w:snapToGrid w:val="0"/>
        </w:rPr>
        <w:t>.</w:t>
      </w:r>
      <w:r>
        <w:rPr>
          <w:snapToGrid w:val="0"/>
        </w:rPr>
        <w:tab/>
        <w:t>Temporary members</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121" w:name="_Toc411743925"/>
      <w:bookmarkStart w:id="122" w:name="_Toc535828852"/>
      <w:bookmarkStart w:id="123" w:name="_Toc536343682"/>
      <w:bookmarkStart w:id="124" w:name="_Toc102961906"/>
      <w:bookmarkStart w:id="125" w:name="_Toc166668595"/>
      <w:r>
        <w:rPr>
          <w:rStyle w:val="CharSectno"/>
        </w:rPr>
        <w:t>19</w:t>
      </w:r>
      <w:r>
        <w:rPr>
          <w:snapToGrid w:val="0"/>
        </w:rPr>
        <w:t>.</w:t>
      </w:r>
      <w:r>
        <w:rPr>
          <w:snapToGrid w:val="0"/>
        </w:rPr>
        <w:tab/>
        <w:t>Vacation of office of member</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Heading5"/>
        <w:rPr>
          <w:snapToGrid w:val="0"/>
        </w:rPr>
      </w:pPr>
      <w:bookmarkStart w:id="126" w:name="_Toc411743926"/>
      <w:bookmarkStart w:id="127" w:name="_Toc535828853"/>
      <w:bookmarkStart w:id="128" w:name="_Toc536343683"/>
      <w:bookmarkStart w:id="129" w:name="_Toc102961907"/>
      <w:bookmarkStart w:id="130" w:name="_Toc166668596"/>
      <w:r>
        <w:rPr>
          <w:rStyle w:val="CharSectno"/>
        </w:rPr>
        <w:t>20</w:t>
      </w:r>
      <w:r>
        <w:rPr>
          <w:snapToGrid w:val="0"/>
        </w:rPr>
        <w:t>.</w:t>
      </w:r>
      <w:r>
        <w:rPr>
          <w:snapToGrid w:val="0"/>
        </w:rPr>
        <w:tab/>
        <w:t>Sub</w:t>
      </w:r>
      <w:r>
        <w:rPr>
          <w:snapToGrid w:val="0"/>
        </w:rPr>
        <w:noBreakHyphen/>
        <w:t>committees</w:t>
      </w:r>
      <w:bookmarkEnd w:id="126"/>
      <w:bookmarkEnd w:id="127"/>
      <w:bookmarkEnd w:id="128"/>
      <w:bookmarkEnd w:id="129"/>
      <w:bookmarkEnd w:id="130"/>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131" w:name="_Toc411743927"/>
      <w:bookmarkStart w:id="132" w:name="_Toc535828854"/>
      <w:bookmarkStart w:id="133" w:name="_Toc536343684"/>
      <w:bookmarkStart w:id="134" w:name="_Toc102961908"/>
      <w:bookmarkStart w:id="135" w:name="_Toc166668597"/>
      <w:r>
        <w:rPr>
          <w:rStyle w:val="CharSectno"/>
        </w:rPr>
        <w:t>21</w:t>
      </w:r>
      <w:r>
        <w:rPr>
          <w:snapToGrid w:val="0"/>
        </w:rPr>
        <w:t>.</w:t>
      </w:r>
      <w:r>
        <w:rPr>
          <w:snapToGrid w:val="0"/>
        </w:rPr>
        <w:tab/>
        <w:t>Functions of the Committee</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w:t>
      </w:r>
    </w:p>
    <w:p>
      <w:pPr>
        <w:pStyle w:val="Indenta"/>
        <w:rPr>
          <w:snapToGrid w:val="0"/>
        </w:rPr>
      </w:pPr>
      <w:r>
        <w:rPr>
          <w:snapToGrid w:val="0"/>
        </w:rPr>
        <w:tab/>
        <w:t>(b)</w:t>
      </w:r>
      <w:r>
        <w:rPr>
          <w:snapToGrid w:val="0"/>
        </w:rPr>
        <w:tab/>
        <w:t>consult with any person or body with respect to the operation and administration of this Act;</w:t>
      </w:r>
    </w:p>
    <w:p>
      <w:pPr>
        <w:pStyle w:val="Indenta"/>
        <w:rPr>
          <w:snapToGrid w:val="0"/>
        </w:rPr>
      </w:pPr>
      <w:r>
        <w:rPr>
          <w:snapToGrid w:val="0"/>
        </w:rPr>
        <w:tab/>
        <w:t>(c)</w:t>
      </w:r>
      <w:r>
        <w:rPr>
          <w:snapToGrid w:val="0"/>
        </w:rPr>
        <w:tab/>
        <w:t>consider any submissions made by any person or body on the operation or administration of this Act;</w:t>
      </w:r>
    </w:p>
    <w:p>
      <w:pPr>
        <w:pStyle w:val="Indenta"/>
        <w:rPr>
          <w:snapToGrid w:val="0"/>
        </w:rPr>
      </w:pPr>
      <w:r>
        <w:rPr>
          <w:snapToGrid w:val="0"/>
        </w:rPr>
        <w:tab/>
        <w:t>(d)</w:t>
      </w:r>
      <w:r>
        <w:rPr>
          <w:snapToGrid w:val="0"/>
        </w:rPr>
        <w:tab/>
        <w:t>make recommendations to the chief executive officer on the issue of permits under section 15;</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136" w:name="_Toc90440081"/>
      <w:bookmarkStart w:id="137" w:name="_Toc96939351"/>
      <w:bookmarkStart w:id="138" w:name="_Toc102961909"/>
      <w:bookmarkStart w:id="139" w:name="_Toc147910180"/>
      <w:bookmarkStart w:id="140" w:name="_Toc147912268"/>
      <w:bookmarkStart w:id="141" w:name="_Toc166298029"/>
      <w:bookmarkStart w:id="142" w:name="_Toc166668598"/>
      <w:r>
        <w:rPr>
          <w:rStyle w:val="CharPartNo"/>
        </w:rPr>
        <w:t>Part IV</w:t>
      </w:r>
      <w:r>
        <w:rPr>
          <w:rStyle w:val="CharDivNo"/>
        </w:rPr>
        <w:t> </w:t>
      </w:r>
      <w:r>
        <w:t>—</w:t>
      </w:r>
      <w:r>
        <w:rPr>
          <w:rStyle w:val="CharDivText"/>
        </w:rPr>
        <w:t> </w:t>
      </w:r>
      <w:r>
        <w:rPr>
          <w:rStyle w:val="CharPartText"/>
        </w:rPr>
        <w:t>Miscellaneous</w:t>
      </w:r>
      <w:bookmarkEnd w:id="136"/>
      <w:bookmarkEnd w:id="137"/>
      <w:bookmarkEnd w:id="138"/>
      <w:bookmarkEnd w:id="139"/>
      <w:bookmarkEnd w:id="140"/>
      <w:bookmarkEnd w:id="141"/>
      <w:bookmarkEnd w:id="142"/>
      <w:r>
        <w:rPr>
          <w:rStyle w:val="CharPartText"/>
        </w:rPr>
        <w:t xml:space="preserve"> </w:t>
      </w:r>
    </w:p>
    <w:p>
      <w:pPr>
        <w:pStyle w:val="Heading5"/>
        <w:rPr>
          <w:snapToGrid w:val="0"/>
        </w:rPr>
      </w:pPr>
      <w:bookmarkStart w:id="143" w:name="_Toc411743928"/>
      <w:bookmarkStart w:id="144" w:name="_Toc535828855"/>
      <w:bookmarkStart w:id="145" w:name="_Toc536343685"/>
      <w:bookmarkStart w:id="146" w:name="_Toc102961910"/>
      <w:bookmarkStart w:id="147" w:name="_Toc166668599"/>
      <w:r>
        <w:rPr>
          <w:rStyle w:val="CharSectno"/>
        </w:rPr>
        <w:t>22</w:t>
      </w:r>
      <w:r>
        <w:rPr>
          <w:snapToGrid w:val="0"/>
        </w:rPr>
        <w:t>.</w:t>
      </w:r>
      <w:r>
        <w:rPr>
          <w:snapToGrid w:val="0"/>
        </w:rPr>
        <w:tab/>
        <w:t>Covenants contrary to this Act negated</w:t>
      </w:r>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148" w:name="_Toc411743929"/>
      <w:bookmarkStart w:id="149" w:name="_Toc535828856"/>
      <w:bookmarkStart w:id="150" w:name="_Toc536343686"/>
      <w:bookmarkStart w:id="151" w:name="_Toc102961911"/>
      <w:bookmarkStart w:id="152" w:name="_Toc166668600"/>
      <w:r>
        <w:rPr>
          <w:rStyle w:val="CharSectno"/>
        </w:rPr>
        <w:t>23</w:t>
      </w:r>
      <w:r>
        <w:rPr>
          <w:snapToGrid w:val="0"/>
        </w:rPr>
        <w:t>.</w:t>
      </w:r>
      <w:r>
        <w:rPr>
          <w:snapToGrid w:val="0"/>
        </w:rPr>
        <w:tab/>
        <w:t>Auctions of domestic furniture at a dwelling house</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153" w:name="_Toc411743930"/>
      <w:bookmarkStart w:id="154" w:name="_Toc535828857"/>
      <w:bookmarkStart w:id="155" w:name="_Toc536343687"/>
      <w:bookmarkStart w:id="156" w:name="_Toc102961912"/>
      <w:bookmarkStart w:id="157" w:name="_Toc166668601"/>
      <w:r>
        <w:rPr>
          <w:rStyle w:val="CharSectno"/>
        </w:rPr>
        <w:t>24</w:t>
      </w:r>
      <w:r>
        <w:rPr>
          <w:snapToGrid w:val="0"/>
        </w:rPr>
        <w:t>.</w:t>
      </w:r>
      <w:r>
        <w:rPr>
          <w:snapToGrid w:val="0"/>
        </w:rPr>
        <w:tab/>
        <w:t>Retail shop deemed not to be closed</w:t>
      </w:r>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158" w:name="_Toc411743931"/>
      <w:bookmarkStart w:id="159" w:name="_Toc535828858"/>
      <w:bookmarkStart w:id="160" w:name="_Toc536343688"/>
      <w:bookmarkStart w:id="161" w:name="_Toc102961913"/>
      <w:bookmarkStart w:id="162" w:name="_Toc166668602"/>
      <w:r>
        <w:rPr>
          <w:rStyle w:val="CharSectno"/>
        </w:rPr>
        <w:t>25</w:t>
      </w:r>
      <w:r>
        <w:rPr>
          <w:snapToGrid w:val="0"/>
        </w:rPr>
        <w:t>.</w:t>
      </w:r>
      <w:r>
        <w:rPr>
          <w:snapToGrid w:val="0"/>
        </w:rPr>
        <w:tab/>
        <w:t>Offence</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163" w:name="_Toc411743932"/>
      <w:bookmarkStart w:id="164" w:name="_Toc535828859"/>
      <w:bookmarkStart w:id="165" w:name="_Toc536343689"/>
      <w:bookmarkStart w:id="166" w:name="_Toc102961914"/>
      <w:bookmarkStart w:id="167" w:name="_Toc166668603"/>
      <w:r>
        <w:rPr>
          <w:rStyle w:val="CharSectno"/>
        </w:rPr>
        <w:t>26</w:t>
      </w:r>
      <w:r>
        <w:rPr>
          <w:snapToGrid w:val="0"/>
        </w:rPr>
        <w:t>.</w:t>
      </w:r>
      <w:r>
        <w:rPr>
          <w:snapToGrid w:val="0"/>
        </w:rPr>
        <w:tab/>
        <w:t>Control of advertising of retail shopping hours</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publish</w:t>
      </w:r>
      <w:r>
        <w:rPr>
          <w:b/>
          <w:snapToGrid w:val="0"/>
        </w:rPr>
        <w:t>”</w:t>
      </w:r>
      <w:r>
        <w:rPr>
          <w:snapToGrid w:val="0"/>
        </w:rPr>
        <w:t xml:space="preserve"> includes — </w:t>
      </w:r>
    </w:p>
    <w:p>
      <w:pPr>
        <w:pStyle w:val="Indenta"/>
        <w:rPr>
          <w:snapToGrid w:val="0"/>
        </w:rPr>
      </w:pPr>
      <w:r>
        <w:rPr>
          <w:snapToGrid w:val="0"/>
        </w:rPr>
        <w:tab/>
        <w:t>(a)</w:t>
      </w:r>
      <w:r>
        <w:rPr>
          <w:snapToGrid w:val="0"/>
        </w:rPr>
        <w:tab/>
        <w:t>insert in any newspaper or publication in the State;</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t>(c)</w:t>
      </w:r>
      <w:r>
        <w:rPr>
          <w:snapToGrid w:val="0"/>
        </w:rPr>
        <w:tab/>
        <w:t>contain in any document sent or delivered to any person or thrown or left upon any premises;</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168" w:name="_Toc411743933"/>
      <w:bookmarkStart w:id="169" w:name="_Toc535828860"/>
      <w:bookmarkStart w:id="170" w:name="_Toc536343690"/>
      <w:bookmarkStart w:id="171" w:name="_Toc102961915"/>
      <w:bookmarkStart w:id="172" w:name="_Toc166668604"/>
      <w:r>
        <w:rPr>
          <w:rStyle w:val="CharSectno"/>
        </w:rPr>
        <w:t>27</w:t>
      </w:r>
      <w:r>
        <w:rPr>
          <w:snapToGrid w:val="0"/>
        </w:rPr>
        <w:t>.</w:t>
      </w:r>
      <w:r>
        <w:rPr>
          <w:snapToGrid w:val="0"/>
        </w:rPr>
        <w:tab/>
        <w:t>Powers of chief executive officer</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173" w:name="_Toc411743934"/>
      <w:bookmarkStart w:id="174" w:name="_Toc535828861"/>
      <w:bookmarkStart w:id="175" w:name="_Toc536343691"/>
      <w:bookmarkStart w:id="176" w:name="_Toc102961916"/>
      <w:bookmarkStart w:id="177" w:name="_Toc166668605"/>
      <w:r>
        <w:rPr>
          <w:rStyle w:val="CharSectno"/>
        </w:rPr>
        <w:t>27A</w:t>
      </w:r>
      <w:r>
        <w:rPr>
          <w:snapToGrid w:val="0"/>
        </w:rPr>
        <w:t>.</w:t>
      </w:r>
      <w:r>
        <w:rPr>
          <w:snapToGrid w:val="0"/>
        </w:rPr>
        <w:tab/>
        <w:t>Delegation</w:t>
      </w:r>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178" w:name="_Toc411743935"/>
      <w:bookmarkStart w:id="179" w:name="_Toc535828862"/>
      <w:bookmarkStart w:id="180" w:name="_Toc536343692"/>
      <w:bookmarkStart w:id="181" w:name="_Toc102961917"/>
      <w:bookmarkStart w:id="182" w:name="_Toc166668606"/>
      <w:r>
        <w:rPr>
          <w:rStyle w:val="CharSectno"/>
        </w:rPr>
        <w:t>28</w:t>
      </w:r>
      <w:r>
        <w:rPr>
          <w:snapToGrid w:val="0"/>
        </w:rPr>
        <w:t>.</w:t>
      </w:r>
      <w:r>
        <w:rPr>
          <w:snapToGrid w:val="0"/>
        </w:rPr>
        <w:tab/>
        <w:t>Access to books, etc.</w:t>
      </w:r>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183" w:name="_Toc411743936"/>
      <w:bookmarkStart w:id="184" w:name="_Toc535828863"/>
      <w:bookmarkStart w:id="185" w:name="_Toc536343693"/>
      <w:bookmarkStart w:id="186" w:name="_Toc102961918"/>
      <w:bookmarkStart w:id="187" w:name="_Toc166668607"/>
      <w:r>
        <w:rPr>
          <w:rStyle w:val="CharSectno"/>
        </w:rPr>
        <w:t>29</w:t>
      </w:r>
      <w:r>
        <w:rPr>
          <w:snapToGrid w:val="0"/>
        </w:rPr>
        <w:t>.</w:t>
      </w:r>
      <w:r>
        <w:rPr>
          <w:snapToGrid w:val="0"/>
        </w:rPr>
        <w:tab/>
        <w:t>Inspector may require information</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188" w:name="_Toc411743937"/>
      <w:bookmarkStart w:id="189" w:name="_Toc535828864"/>
      <w:bookmarkStart w:id="190" w:name="_Toc536343694"/>
      <w:bookmarkStart w:id="191" w:name="_Toc102961919"/>
      <w:bookmarkStart w:id="192" w:name="_Toc166668608"/>
      <w:r>
        <w:rPr>
          <w:rStyle w:val="CharSectno"/>
        </w:rPr>
        <w:t>30</w:t>
      </w:r>
      <w:r>
        <w:rPr>
          <w:snapToGrid w:val="0"/>
        </w:rPr>
        <w:t>.</w:t>
      </w:r>
      <w:r>
        <w:rPr>
          <w:snapToGrid w:val="0"/>
        </w:rPr>
        <w:tab/>
        <w:t>Obstructing an inspector, etc.</w:t>
      </w:r>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w:t>
      </w:r>
    </w:p>
    <w:p>
      <w:pPr>
        <w:pStyle w:val="Indenta"/>
        <w:rPr>
          <w:snapToGrid w:val="0"/>
        </w:rPr>
      </w:pPr>
      <w:r>
        <w:rPr>
          <w:snapToGrid w:val="0"/>
        </w:rPr>
        <w:tab/>
        <w:t>(c)</w:t>
      </w:r>
      <w:r>
        <w:rPr>
          <w:snapToGrid w:val="0"/>
        </w:rPr>
        <w:tab/>
        <w:t>fail to comply in any respect with the lawful request, requirement, direction or order of an inspector or authorised person;</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rPr>
          <w:snapToGrid w:val="0"/>
        </w:rPr>
      </w:pPr>
      <w:bookmarkStart w:id="193" w:name="_Toc411743938"/>
      <w:bookmarkStart w:id="194" w:name="_Toc535828865"/>
      <w:bookmarkStart w:id="195" w:name="_Toc536343695"/>
      <w:bookmarkStart w:id="196" w:name="_Toc102961920"/>
      <w:bookmarkStart w:id="197" w:name="_Toc166668609"/>
      <w:r>
        <w:rPr>
          <w:rStyle w:val="CharSectno"/>
        </w:rPr>
        <w:t>31</w:t>
      </w:r>
      <w:r>
        <w:rPr>
          <w:snapToGrid w:val="0"/>
        </w:rPr>
        <w:t>.</w:t>
      </w:r>
      <w:r>
        <w:rPr>
          <w:snapToGrid w:val="0"/>
        </w:rPr>
        <w:tab/>
        <w:t>Protection of person questioned</w:t>
      </w:r>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rPr>
          <w:snapToGrid w:val="0"/>
        </w:rPr>
      </w:pPr>
      <w:bookmarkStart w:id="198" w:name="_Toc411743939"/>
      <w:bookmarkStart w:id="199" w:name="_Toc535828866"/>
      <w:bookmarkStart w:id="200" w:name="_Toc536343696"/>
      <w:bookmarkStart w:id="201" w:name="_Toc102961921"/>
      <w:bookmarkStart w:id="202" w:name="_Toc166668610"/>
      <w:r>
        <w:rPr>
          <w:rStyle w:val="CharSectno"/>
        </w:rPr>
        <w:t>32</w:t>
      </w:r>
      <w:r>
        <w:rPr>
          <w:snapToGrid w:val="0"/>
        </w:rPr>
        <w:t>.</w:t>
      </w:r>
      <w:r>
        <w:rPr>
          <w:snapToGrid w:val="0"/>
        </w:rPr>
        <w:tab/>
        <w:t>Secrecy</w:t>
      </w:r>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bookmarkStart w:id="203" w:name="_Toc411743940"/>
      <w:bookmarkStart w:id="204" w:name="_Toc535828867"/>
      <w:bookmarkStart w:id="205" w:name="_Toc536343697"/>
      <w:bookmarkStart w:id="206" w:name="_Toc102961922"/>
      <w:r>
        <w:tab/>
        <w:t>[Section 32 amended by No. 47 of 2006 s. 17.]</w:t>
      </w:r>
    </w:p>
    <w:p>
      <w:pPr>
        <w:pStyle w:val="Heading5"/>
        <w:rPr>
          <w:snapToGrid w:val="0"/>
        </w:rPr>
      </w:pPr>
      <w:bookmarkStart w:id="207" w:name="_Toc166668611"/>
      <w:r>
        <w:rPr>
          <w:rStyle w:val="CharSectno"/>
        </w:rPr>
        <w:t>33</w:t>
      </w:r>
      <w:r>
        <w:rPr>
          <w:snapToGrid w:val="0"/>
        </w:rPr>
        <w:t>.</w:t>
      </w:r>
      <w:r>
        <w:rPr>
          <w:snapToGrid w:val="0"/>
        </w:rPr>
        <w:tab/>
        <w:t>False information</w:t>
      </w:r>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bookmarkStart w:id="208" w:name="_Toc411743941"/>
      <w:bookmarkStart w:id="209" w:name="_Toc535828868"/>
      <w:bookmarkStart w:id="210" w:name="_Toc536343698"/>
      <w:bookmarkStart w:id="211" w:name="_Toc102961923"/>
      <w:r>
        <w:tab/>
        <w:t>[Section 33 amended by No. 47 of 2006 s. 17.]</w:t>
      </w:r>
    </w:p>
    <w:p>
      <w:pPr>
        <w:pStyle w:val="Heading5"/>
        <w:rPr>
          <w:snapToGrid w:val="0"/>
        </w:rPr>
      </w:pPr>
      <w:bookmarkStart w:id="212" w:name="_Toc166668612"/>
      <w:r>
        <w:rPr>
          <w:rStyle w:val="CharSectno"/>
        </w:rPr>
        <w:t>34</w:t>
      </w:r>
      <w:r>
        <w:rPr>
          <w:snapToGrid w:val="0"/>
        </w:rPr>
        <w:t>.</w:t>
      </w:r>
      <w:r>
        <w:rPr>
          <w:snapToGrid w:val="0"/>
        </w:rPr>
        <w:tab/>
        <w:t>Vicarious liability</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213" w:name="_Toc411743942"/>
      <w:bookmarkStart w:id="214" w:name="_Toc535828869"/>
      <w:bookmarkStart w:id="215" w:name="_Toc536343699"/>
      <w:bookmarkStart w:id="216" w:name="_Toc102961924"/>
      <w:bookmarkStart w:id="217" w:name="_Toc166668613"/>
      <w:r>
        <w:rPr>
          <w:rStyle w:val="CharSectno"/>
        </w:rPr>
        <w:t>35</w:t>
      </w:r>
      <w:r>
        <w:rPr>
          <w:snapToGrid w:val="0"/>
        </w:rPr>
        <w:t>.</w:t>
      </w:r>
      <w:r>
        <w:rPr>
          <w:snapToGrid w:val="0"/>
        </w:rPr>
        <w:tab/>
        <w:t>Printing of forms and records</w:t>
      </w:r>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218" w:name="_Toc411743943"/>
      <w:bookmarkStart w:id="219" w:name="_Toc535828870"/>
      <w:bookmarkStart w:id="220" w:name="_Toc536343700"/>
      <w:bookmarkStart w:id="221" w:name="_Toc102961925"/>
      <w:bookmarkStart w:id="222" w:name="_Toc166668614"/>
      <w:r>
        <w:rPr>
          <w:rStyle w:val="CharSectno"/>
        </w:rPr>
        <w:t>36</w:t>
      </w:r>
      <w:r>
        <w:rPr>
          <w:snapToGrid w:val="0"/>
        </w:rPr>
        <w:t>.</w:t>
      </w:r>
      <w:r>
        <w:rPr>
          <w:snapToGrid w:val="0"/>
        </w:rPr>
        <w:tab/>
        <w:t>English language to be used</w:t>
      </w:r>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rPr>
          <w:snapToGrid w:val="0"/>
        </w:rPr>
      </w:pPr>
      <w:bookmarkStart w:id="223" w:name="_Toc411743944"/>
      <w:bookmarkStart w:id="224" w:name="_Toc535828871"/>
      <w:bookmarkStart w:id="225" w:name="_Toc536343701"/>
      <w:bookmarkStart w:id="226" w:name="_Toc102961926"/>
      <w:bookmarkStart w:id="227" w:name="_Toc166668615"/>
      <w:r>
        <w:rPr>
          <w:rStyle w:val="CharSectno"/>
        </w:rPr>
        <w:t>37</w:t>
      </w:r>
      <w:r>
        <w:rPr>
          <w:snapToGrid w:val="0"/>
        </w:rPr>
        <w:t>.</w:t>
      </w:r>
      <w:r>
        <w:rPr>
          <w:snapToGrid w:val="0"/>
        </w:rPr>
        <w:tab/>
        <w:t>Consent of the chief executive officer</w:t>
      </w:r>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rPr>
          <w:snapToGrid w:val="0"/>
        </w:rPr>
      </w:pPr>
      <w:bookmarkStart w:id="228" w:name="_Toc411743945"/>
      <w:bookmarkStart w:id="229" w:name="_Toc535828872"/>
      <w:bookmarkStart w:id="230" w:name="_Toc536343702"/>
      <w:bookmarkStart w:id="231" w:name="_Toc102961927"/>
      <w:bookmarkStart w:id="232" w:name="_Toc166668616"/>
      <w:r>
        <w:rPr>
          <w:rStyle w:val="CharSectno"/>
        </w:rPr>
        <w:t>38</w:t>
      </w:r>
      <w:r>
        <w:rPr>
          <w:snapToGrid w:val="0"/>
        </w:rPr>
        <w:t>.</w:t>
      </w:r>
      <w:r>
        <w:rPr>
          <w:snapToGrid w:val="0"/>
        </w:rPr>
        <w:tab/>
        <w:t>Protection of officers, members and others</w:t>
      </w:r>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pPr>
      <w:r>
        <w:tab/>
        <w:t xml:space="preserve">[Section 38 amended by No. 1 of 1991 s. 14.] </w:t>
      </w:r>
    </w:p>
    <w:p>
      <w:pPr>
        <w:pStyle w:val="Heading5"/>
        <w:rPr>
          <w:snapToGrid w:val="0"/>
        </w:rPr>
      </w:pPr>
      <w:bookmarkStart w:id="233" w:name="_Toc411743946"/>
      <w:bookmarkStart w:id="234" w:name="_Toc535828873"/>
      <w:bookmarkStart w:id="235" w:name="_Toc536343703"/>
      <w:bookmarkStart w:id="236" w:name="_Toc102961928"/>
      <w:bookmarkStart w:id="237" w:name="_Toc166668617"/>
      <w:r>
        <w:rPr>
          <w:rStyle w:val="CharSectno"/>
        </w:rPr>
        <w:t>39</w:t>
      </w:r>
      <w:r>
        <w:rPr>
          <w:snapToGrid w:val="0"/>
        </w:rPr>
        <w:t>.</w:t>
      </w:r>
      <w:r>
        <w:rPr>
          <w:snapToGrid w:val="0"/>
        </w:rPr>
        <w:tab/>
        <w:t>Evidentiary</w:t>
      </w:r>
      <w:bookmarkEnd w:id="233"/>
      <w:bookmarkEnd w:id="234"/>
      <w:bookmarkEnd w:id="235"/>
      <w:bookmarkEnd w:id="236"/>
      <w:bookmarkEnd w:id="237"/>
      <w:r>
        <w:rPr>
          <w:snapToGrid w:val="0"/>
        </w:rPr>
        <w:t xml:space="preserve"> </w:t>
      </w:r>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w:t>
      </w:r>
    </w:p>
    <w:p>
      <w:pPr>
        <w:pStyle w:val="Indenta"/>
        <w:rPr>
          <w:snapToGrid w:val="0"/>
        </w:rPr>
      </w:pPr>
      <w:r>
        <w:rPr>
          <w:snapToGrid w:val="0"/>
        </w:rPr>
        <w:tab/>
        <w:t>(b)</w:t>
      </w:r>
      <w:r>
        <w:rPr>
          <w:snapToGrid w:val="0"/>
        </w:rPr>
        <w:tab/>
      </w:r>
      <w:r>
        <w:rPr>
          <w:snapToGrid w:val="0"/>
          <w:spacing w:val="-2"/>
        </w:rPr>
        <w:t>a signature purporting to be that of the Minister, the chief executive officer or any inspector or authorised person shall be taken to be the signature of the person whose signature it purports to be until the contrary is proved;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w:t>
      </w:r>
    </w:p>
    <w:p>
      <w:pPr>
        <w:pStyle w:val="Indenta"/>
        <w:rPr>
          <w:snapToGrid w:val="0"/>
        </w:rPr>
      </w:pPr>
      <w:r>
        <w:rPr>
          <w:snapToGrid w:val="0"/>
        </w:rPr>
        <w:tab/>
        <w:t>(e)</w:t>
      </w:r>
      <w:r>
        <w:rPr>
          <w:snapToGrid w:val="0"/>
        </w:rPr>
        <w:tab/>
        <w:t>evidence of a person being found in any shop is proof that the person was employed therein unless the contrary is proved;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rPr>
          <w:snapToGrid w:val="0"/>
        </w:rPr>
      </w:pPr>
      <w:bookmarkStart w:id="238" w:name="_Toc411743947"/>
      <w:bookmarkStart w:id="239" w:name="_Toc535828874"/>
      <w:bookmarkStart w:id="240" w:name="_Toc536343704"/>
      <w:bookmarkStart w:id="241" w:name="_Toc102961929"/>
      <w:bookmarkStart w:id="242" w:name="_Toc166668618"/>
      <w:r>
        <w:rPr>
          <w:rStyle w:val="CharSectno"/>
        </w:rPr>
        <w:t>40</w:t>
      </w:r>
      <w:r>
        <w:rPr>
          <w:snapToGrid w:val="0"/>
        </w:rPr>
        <w:t>.</w:t>
      </w:r>
      <w:r>
        <w:rPr>
          <w:snapToGrid w:val="0"/>
        </w:rPr>
        <w:tab/>
        <w:t>Regulations</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rPr>
          <w:snapToGrid w:val="0"/>
        </w:rPr>
      </w:pPr>
      <w:r>
        <w:rPr>
          <w:snapToGrid w:val="0"/>
        </w:rPr>
        <w:tab/>
        <w:t>(b)</w:t>
      </w:r>
      <w:r>
        <w:rPr>
          <w:snapToGrid w:val="0"/>
        </w:rPr>
        <w:tab/>
        <w:t>prescribe requirements relating to the giving, furnishing and keeping of information and forms under this Act;</w:t>
      </w:r>
    </w:p>
    <w:p>
      <w:pPr>
        <w:pStyle w:val="Indenta"/>
        <w:rPr>
          <w:snapToGrid w:val="0"/>
        </w:rPr>
      </w:pPr>
      <w:r>
        <w:rPr>
          <w:snapToGrid w:val="0"/>
        </w:rPr>
        <w:tab/>
        <w:t>(c)</w:t>
      </w:r>
      <w:r>
        <w:rPr>
          <w:snapToGrid w:val="0"/>
        </w:rPr>
        <w:tab/>
        <w:t>provide for and regulate applications for and the granting of permits, certificates or other authorities under this Act;</w:t>
      </w:r>
    </w:p>
    <w:p>
      <w:pPr>
        <w:pStyle w:val="Indenta"/>
        <w:rPr>
          <w:snapToGrid w:val="0"/>
        </w:rPr>
      </w:pPr>
      <w:r>
        <w:rPr>
          <w:snapToGrid w:val="0"/>
        </w:rPr>
        <w:tab/>
        <w:t>(d)</w:t>
      </w:r>
      <w:r>
        <w:rPr>
          <w:snapToGrid w:val="0"/>
        </w:rPr>
        <w:tab/>
        <w:t>prescribe fees payable under this Act;</w:t>
      </w:r>
    </w:p>
    <w:p>
      <w:pPr>
        <w:pStyle w:val="Indenta"/>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243" w:name="_Toc166554201"/>
      <w:bookmarkStart w:id="244" w:name="_Toc166668619"/>
      <w:bookmarkStart w:id="245" w:name="_Toc411743949"/>
      <w:bookmarkStart w:id="246" w:name="_Toc535828876"/>
      <w:bookmarkStart w:id="247" w:name="_Toc536343706"/>
      <w:bookmarkStart w:id="248" w:name="_Toc102961931"/>
      <w:r>
        <w:rPr>
          <w:rStyle w:val="CharSectno"/>
        </w:rPr>
        <w:t>41</w:t>
      </w:r>
      <w:r>
        <w:t>.</w:t>
      </w:r>
      <w:r>
        <w:tab/>
        <w:t>Minister to review and report on Act</w:t>
      </w:r>
      <w:bookmarkEnd w:id="243"/>
      <w:bookmarkEnd w:id="244"/>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249" w:name="_Toc166668620"/>
      <w:r>
        <w:rPr>
          <w:rStyle w:val="CharSectno"/>
        </w:rPr>
        <w:t>42</w:t>
      </w:r>
      <w:r>
        <w:rPr>
          <w:snapToGrid w:val="0"/>
        </w:rPr>
        <w:t>.</w:t>
      </w:r>
      <w:r>
        <w:rPr>
          <w:snapToGrid w:val="0"/>
        </w:rPr>
        <w:tab/>
        <w:t>Savings</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5</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commencement day</w:t>
      </w:r>
      <w:r>
        <w:rPr>
          <w:b/>
        </w:rPr>
        <w:t>”</w:t>
      </w:r>
      <w:r>
        <w:t xml:space="preserve"> means the day on which this Act comes into operation.</w:t>
      </w:r>
    </w:p>
    <w:p>
      <w:pPr>
        <w:pStyle w:val="Footnotesection"/>
      </w:pPr>
      <w:r>
        <w:tab/>
        <w:t xml:space="preserve">[Section 42 amended by No. 73 of 1994 s. 4.] </w:t>
      </w:r>
    </w:p>
    <w:p>
      <w:pPr>
        <w:pStyle w:val="Ednotesection"/>
      </w:pPr>
      <w:r>
        <w:t>[</w:t>
      </w:r>
      <w:r>
        <w:rPr>
          <w:b/>
          <w:bCs/>
        </w:rPr>
        <w:t>43.</w:t>
      </w:r>
      <w:r>
        <w:tab/>
        <w:t>Repealed by No. 47 of 2006 s. 15.]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nHeading2"/>
      </w:pPr>
      <w:bookmarkStart w:id="250" w:name="_Toc90440105"/>
      <w:bookmarkStart w:id="251" w:name="_Toc96939375"/>
      <w:bookmarkStart w:id="252" w:name="_Toc102961933"/>
      <w:bookmarkStart w:id="253" w:name="_Toc147910204"/>
      <w:bookmarkStart w:id="254" w:name="_Toc147912292"/>
      <w:bookmarkStart w:id="255" w:name="_Toc166298053"/>
      <w:bookmarkStart w:id="256" w:name="_Toc166668621"/>
      <w:r>
        <w:t>Notes</w:t>
      </w:r>
      <w:bookmarkEnd w:id="250"/>
      <w:bookmarkEnd w:id="251"/>
      <w:bookmarkEnd w:id="252"/>
      <w:bookmarkEnd w:id="253"/>
      <w:bookmarkEnd w:id="254"/>
      <w:bookmarkEnd w:id="255"/>
      <w:bookmarkEnd w:id="256"/>
    </w:p>
    <w:p>
      <w:pPr>
        <w:pStyle w:val="nSubsection"/>
        <w:rPr>
          <w:snapToGrid w:val="0"/>
        </w:rPr>
      </w:pPr>
      <w:r>
        <w:rPr>
          <w:snapToGrid w:val="0"/>
          <w:vertAlign w:val="superscript"/>
        </w:rPr>
        <w:t>1</w:t>
      </w:r>
      <w:r>
        <w:rPr>
          <w:snapToGrid w:val="0"/>
        </w:rPr>
        <w:tab/>
        <w:t xml:space="preserve">This is a compilation of the </w:t>
      </w:r>
      <w:r>
        <w:rPr>
          <w:i/>
          <w:snapToGrid w:val="0"/>
        </w:rPr>
        <w:t>Retail Trading Hours Act 1987</w:t>
      </w:r>
      <w:r>
        <w:rPr>
          <w:snapToGrid w:val="0"/>
        </w:rPr>
        <w:t xml:space="preserve"> and includes the amendments made by the other written laws referred to in the following table.  The table also contains information about any reprint.</w:t>
      </w:r>
    </w:p>
    <w:p>
      <w:pPr>
        <w:pStyle w:val="nHeading3"/>
      </w:pPr>
      <w:bookmarkStart w:id="257" w:name="_Toc536343707"/>
      <w:bookmarkStart w:id="258" w:name="_Toc102961934"/>
      <w:bookmarkStart w:id="259" w:name="_Toc166668622"/>
      <w:r>
        <w:t>Compilation table</w:t>
      </w:r>
      <w:bookmarkEnd w:id="257"/>
      <w:bookmarkEnd w:id="258"/>
      <w:bookmarkEnd w:id="2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Retail Trading Hours Act 1987</w:t>
            </w:r>
          </w:p>
        </w:tc>
        <w:tc>
          <w:tcPr>
            <w:tcW w:w="1134" w:type="dxa"/>
          </w:tcPr>
          <w:p>
            <w:pPr>
              <w:pStyle w:val="nTable"/>
              <w:spacing w:before="120"/>
              <w:rPr>
                <w:sz w:val="19"/>
              </w:rPr>
            </w:pPr>
            <w:r>
              <w:rPr>
                <w:sz w:val="19"/>
              </w:rPr>
              <w:t>123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 Sep 1988 (see s. 2 and </w:t>
            </w:r>
            <w:r>
              <w:rPr>
                <w:i/>
                <w:sz w:val="19"/>
              </w:rPr>
              <w:t>Gazette</w:t>
            </w:r>
            <w:r>
              <w:rPr>
                <w:sz w:val="19"/>
              </w:rPr>
              <w:t xml:space="preserve"> 12 Aug 1988 p. 2695)</w:t>
            </w:r>
          </w:p>
        </w:tc>
      </w:tr>
      <w:tr>
        <w:trPr>
          <w:cantSplit/>
        </w:trPr>
        <w:tc>
          <w:tcPr>
            <w:tcW w:w="2268" w:type="dxa"/>
          </w:tcPr>
          <w:p>
            <w:pPr>
              <w:pStyle w:val="nTable"/>
              <w:spacing w:before="120"/>
              <w:ind w:right="113"/>
              <w:rPr>
                <w:sz w:val="19"/>
              </w:rPr>
            </w:pPr>
            <w:r>
              <w:rPr>
                <w:i/>
                <w:sz w:val="19"/>
              </w:rPr>
              <w:t>Retail Trading Hours Amendment Act 1991</w:t>
            </w:r>
          </w:p>
        </w:tc>
        <w:tc>
          <w:tcPr>
            <w:tcW w:w="1134" w:type="dxa"/>
          </w:tcPr>
          <w:p>
            <w:pPr>
              <w:pStyle w:val="nTable"/>
              <w:spacing w:before="120"/>
              <w:rPr>
                <w:sz w:val="19"/>
              </w:rPr>
            </w:pPr>
            <w:r>
              <w:rPr>
                <w:sz w:val="19"/>
              </w:rPr>
              <w:t>1 of 1991</w:t>
            </w:r>
          </w:p>
        </w:tc>
        <w:tc>
          <w:tcPr>
            <w:tcW w:w="1134" w:type="dxa"/>
          </w:tcPr>
          <w:p>
            <w:pPr>
              <w:pStyle w:val="nTable"/>
              <w:spacing w:before="120"/>
              <w:rPr>
                <w:sz w:val="19"/>
              </w:rPr>
            </w:pPr>
            <w:r>
              <w:rPr>
                <w:sz w:val="19"/>
              </w:rPr>
              <w:t>17 May 1991</w:t>
            </w:r>
          </w:p>
        </w:tc>
        <w:tc>
          <w:tcPr>
            <w:tcW w:w="2552" w:type="dxa"/>
          </w:tcPr>
          <w:p>
            <w:pPr>
              <w:pStyle w:val="nTable"/>
              <w:spacing w:before="120"/>
              <w:rPr>
                <w:sz w:val="19"/>
              </w:rPr>
            </w:pPr>
            <w:r>
              <w:rPr>
                <w:sz w:val="19"/>
              </w:rPr>
              <w:t xml:space="preserve">Act other than s.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8" w:type="dxa"/>
          </w:tcPr>
          <w:p>
            <w:pPr>
              <w:pStyle w:val="nTable"/>
              <w:spacing w:before="120"/>
              <w:ind w:right="113"/>
              <w:rPr>
                <w:sz w:val="19"/>
              </w:rPr>
            </w:pPr>
            <w:r>
              <w:rPr>
                <w:i/>
                <w:sz w:val="19"/>
              </w:rPr>
              <w:t xml:space="preserve">Acts Amendment (Public Sector Management) Act 1994 </w:t>
            </w:r>
            <w:r>
              <w:rPr>
                <w:sz w:val="19"/>
              </w:rPr>
              <w:t>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 xml:space="preserve">Statutes (Repeals and Minor Amendments) Act 1994 </w:t>
            </w:r>
            <w:r>
              <w:rPr>
                <w:sz w:val="19"/>
              </w:rPr>
              <w:t xml:space="preserve">s. 4 </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2" w:type="dxa"/>
          </w:tcPr>
          <w:p>
            <w:pPr>
              <w:pStyle w:val="nTable"/>
              <w:spacing w:before="120"/>
              <w:rPr>
                <w:sz w:val="19"/>
              </w:rPr>
            </w:pPr>
            <w:r>
              <w:rPr>
                <w:sz w:val="19"/>
              </w:rPr>
              <w:t>9 Dec 1994 (see s. 2)</w:t>
            </w:r>
          </w:p>
        </w:tc>
      </w:tr>
      <w:tr>
        <w:trPr>
          <w:cantSplit/>
        </w:trPr>
        <w:tc>
          <w:tcPr>
            <w:tcW w:w="2268" w:type="dxa"/>
          </w:tcPr>
          <w:p>
            <w:pPr>
              <w:pStyle w:val="nTable"/>
              <w:spacing w:before="12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before="120"/>
              <w:rPr>
                <w:sz w:val="19"/>
              </w:rPr>
            </w:pPr>
            <w:r>
              <w:rPr>
                <w:sz w:val="19"/>
              </w:rPr>
              <w:t>88 of 1994</w:t>
            </w:r>
          </w:p>
        </w:tc>
        <w:tc>
          <w:tcPr>
            <w:tcW w:w="1134" w:type="dxa"/>
          </w:tcPr>
          <w:p>
            <w:pPr>
              <w:pStyle w:val="nTable"/>
              <w:spacing w:before="120"/>
              <w:rPr>
                <w:sz w:val="19"/>
              </w:rPr>
            </w:pPr>
            <w:r>
              <w:rPr>
                <w:sz w:val="19"/>
              </w:rPr>
              <w:t>5 Jan 1995</w:t>
            </w:r>
          </w:p>
        </w:tc>
        <w:tc>
          <w:tcPr>
            <w:tcW w:w="2552" w:type="dxa"/>
          </w:tcPr>
          <w:p>
            <w:pPr>
              <w:pStyle w:val="nTable"/>
              <w:spacing w:before="12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7088" w:type="dxa"/>
            <w:gridSpan w:val="4"/>
          </w:tcPr>
          <w:p>
            <w:pPr>
              <w:pStyle w:val="nTable"/>
              <w:spacing w:before="12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8" w:type="dxa"/>
          </w:tcPr>
          <w:p>
            <w:pPr>
              <w:pStyle w:val="nTable"/>
              <w:spacing w:before="120"/>
              <w:ind w:right="113"/>
              <w:rPr>
                <w:sz w:val="19"/>
              </w:rPr>
            </w:pPr>
            <w:r>
              <w:rPr>
                <w:i/>
                <w:sz w:val="19"/>
              </w:rPr>
              <w:t>Retail Trading Hours Amendment (Referendums) Act 2004</w:t>
            </w:r>
          </w:p>
        </w:tc>
        <w:tc>
          <w:tcPr>
            <w:tcW w:w="1134" w:type="dxa"/>
          </w:tcPr>
          <w:p>
            <w:pPr>
              <w:pStyle w:val="nTable"/>
              <w:spacing w:before="120"/>
              <w:rPr>
                <w:sz w:val="19"/>
              </w:rPr>
            </w:pPr>
            <w:r>
              <w:rPr>
                <w:sz w:val="19"/>
              </w:rPr>
              <w:t>78 of 2004</w:t>
            </w:r>
          </w:p>
        </w:tc>
        <w:tc>
          <w:tcPr>
            <w:tcW w:w="1134" w:type="dxa"/>
          </w:tcPr>
          <w:p>
            <w:pPr>
              <w:pStyle w:val="nTable"/>
              <w:spacing w:before="120"/>
              <w:rPr>
                <w:sz w:val="19"/>
              </w:rPr>
            </w:pPr>
            <w:r>
              <w:rPr>
                <w:sz w:val="19"/>
              </w:rPr>
              <w:t>8 Dec 2004</w:t>
            </w:r>
          </w:p>
        </w:tc>
        <w:tc>
          <w:tcPr>
            <w:tcW w:w="2552" w:type="dxa"/>
          </w:tcPr>
          <w:p>
            <w:pPr>
              <w:pStyle w:val="nTable"/>
              <w:spacing w:before="120"/>
              <w:rPr>
                <w:sz w:val="19"/>
              </w:rPr>
            </w:pPr>
            <w:r>
              <w:rPr>
                <w:sz w:val="19"/>
              </w:rPr>
              <w:t>8 Dec 2004 (see s. 2)</w:t>
            </w:r>
          </w:p>
        </w:tc>
      </w:tr>
      <w:tr>
        <w:trPr>
          <w:cantSplit/>
        </w:trPr>
        <w:tc>
          <w:tcPr>
            <w:tcW w:w="2268" w:type="dxa"/>
          </w:tcPr>
          <w:p>
            <w:pPr>
              <w:pStyle w:val="nTable"/>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rPr>
                <w:snapToGrid w:val="0"/>
                <w:sz w:val="19"/>
                <w:lang w:val="en-US"/>
              </w:rPr>
            </w:pPr>
            <w:r>
              <w:rPr>
                <w:snapToGrid w:val="0"/>
                <w:sz w:val="19"/>
                <w:lang w:val="en-US"/>
              </w:rPr>
              <w:t>84 of 2004</w:t>
            </w:r>
          </w:p>
        </w:tc>
        <w:tc>
          <w:tcPr>
            <w:tcW w:w="1134" w:type="dxa"/>
          </w:tcPr>
          <w:p>
            <w:pPr>
              <w:pStyle w:val="nTable"/>
            </w:pPr>
            <w:r>
              <w:rPr>
                <w:sz w:val="19"/>
              </w:rPr>
              <w:t>16 Dec 2004</w:t>
            </w:r>
          </w:p>
        </w:tc>
        <w:tc>
          <w:tcPr>
            <w:tcW w:w="2552" w:type="dxa"/>
          </w:tcPr>
          <w:p>
            <w:pPr>
              <w:pStyle w:val="nTable"/>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rPr>
                <w:i/>
                <w:iCs/>
                <w:snapToGrid w:val="0"/>
                <w:sz w:val="19"/>
                <w:vertAlign w:val="superscript"/>
                <w:lang w:val="en-US"/>
              </w:rPr>
            </w:pPr>
            <w:r>
              <w:rPr>
                <w:i/>
                <w:iCs/>
                <w:snapToGrid w:val="0"/>
                <w:sz w:val="19"/>
                <w:lang w:val="en-US"/>
              </w:rPr>
              <w:t>Retail Shops and Fair Trading Legislation Amendment Act 2006</w:t>
            </w:r>
            <w:r>
              <w:rPr>
                <w:snapToGrid w:val="0"/>
                <w:sz w:val="19"/>
                <w:lang w:val="en-US"/>
              </w:rPr>
              <w:t> Pt. 2 </w:t>
            </w:r>
            <w:r>
              <w:rPr>
                <w:snapToGrid w:val="0"/>
                <w:sz w:val="19"/>
                <w:vertAlign w:val="superscript"/>
                <w:lang w:val="en-US"/>
              </w:rPr>
              <w:t>6</w:t>
            </w:r>
          </w:p>
        </w:tc>
        <w:tc>
          <w:tcPr>
            <w:tcW w:w="1134" w:type="dxa"/>
          </w:tcPr>
          <w:p>
            <w:pPr>
              <w:pStyle w:val="nTable"/>
              <w:rPr>
                <w:snapToGrid w:val="0"/>
                <w:sz w:val="19"/>
                <w:lang w:val="en-US"/>
              </w:rPr>
            </w:pPr>
            <w:r>
              <w:rPr>
                <w:snapToGrid w:val="0"/>
                <w:sz w:val="19"/>
                <w:lang w:val="en-US"/>
              </w:rPr>
              <w:t>47 of 2006</w:t>
            </w:r>
          </w:p>
        </w:tc>
        <w:tc>
          <w:tcPr>
            <w:tcW w:w="1134" w:type="dxa"/>
          </w:tcPr>
          <w:p>
            <w:pPr>
              <w:pStyle w:val="nTable"/>
              <w:rPr>
                <w:sz w:val="19"/>
              </w:rPr>
            </w:pPr>
            <w:r>
              <w:rPr>
                <w:sz w:val="19"/>
              </w:rPr>
              <w:t>4 Oct 2006</w:t>
            </w:r>
          </w:p>
        </w:tc>
        <w:tc>
          <w:tcPr>
            <w:tcW w:w="2552" w:type="dxa"/>
          </w:tcPr>
          <w:p>
            <w:pPr>
              <w:pStyle w:val="nTable"/>
              <w:rPr>
                <w:snapToGrid w:val="0"/>
                <w:sz w:val="19"/>
                <w:lang w:val="en-US"/>
              </w:rPr>
            </w:pPr>
            <w:r>
              <w:rPr>
                <w:sz w:val="19"/>
              </w:rPr>
              <w:t xml:space="preserve">11 May 2007 (see s. 2 and </w:t>
            </w:r>
            <w:r>
              <w:rPr>
                <w:i/>
                <w:iCs/>
                <w:sz w:val="19"/>
              </w:rPr>
              <w:t>Gazette</w:t>
            </w:r>
            <w:r>
              <w:rPr>
                <w:sz w:val="19"/>
              </w:rPr>
              <w:t xml:space="preserve"> 11 May 2007 p. 2017)</w:t>
            </w:r>
          </w:p>
        </w:tc>
      </w:tr>
      <w:tr>
        <w:trPr>
          <w:cantSplit/>
        </w:trPr>
        <w:tc>
          <w:tcPr>
            <w:tcW w:w="2268" w:type="dxa"/>
            <w:tcBorders>
              <w:bottom w:val="single" w:sz="4" w:space="0" w:color="auto"/>
            </w:tcBorders>
          </w:tcPr>
          <w:p>
            <w:pPr>
              <w:pStyle w:val="nTable"/>
              <w:rPr>
                <w:i/>
                <w:iCs/>
                <w:snapToGrid w:val="0"/>
                <w:sz w:val="19"/>
                <w:lang w:val="en-US"/>
              </w:rPr>
            </w:pPr>
            <w:r>
              <w:rPr>
                <w:i/>
                <w:iCs/>
                <w:snapToGrid w:val="0"/>
                <w:sz w:val="19"/>
                <w:lang w:val="en-US"/>
              </w:rPr>
              <w:t xml:space="preserve">Liquor and Gaming Legislation Amendment Act 2006 </w:t>
            </w:r>
            <w:r>
              <w:rPr>
                <w:snapToGrid w:val="0"/>
                <w:sz w:val="19"/>
                <w:lang w:val="en-US"/>
              </w:rPr>
              <w:t>s. 115 </w:t>
            </w:r>
          </w:p>
        </w:tc>
        <w:tc>
          <w:tcPr>
            <w:tcW w:w="1134" w:type="dxa"/>
            <w:tcBorders>
              <w:bottom w:val="single" w:sz="4" w:space="0" w:color="auto"/>
            </w:tcBorders>
          </w:tcPr>
          <w:p>
            <w:pPr>
              <w:pStyle w:val="nTable"/>
              <w:rPr>
                <w:snapToGrid w:val="0"/>
                <w:sz w:val="19"/>
                <w:lang w:val="en-US"/>
              </w:rPr>
            </w:pPr>
            <w:r>
              <w:rPr>
                <w:snapToGrid w:val="0"/>
                <w:sz w:val="19"/>
                <w:lang w:val="en-US"/>
              </w:rPr>
              <w:t>73 of 2006</w:t>
            </w:r>
          </w:p>
        </w:tc>
        <w:tc>
          <w:tcPr>
            <w:tcW w:w="1134" w:type="dxa"/>
            <w:tcBorders>
              <w:bottom w:val="single" w:sz="4" w:space="0" w:color="auto"/>
            </w:tcBorders>
          </w:tcPr>
          <w:p>
            <w:pPr>
              <w:pStyle w:val="nTable"/>
              <w:rPr>
                <w:sz w:val="19"/>
              </w:rPr>
            </w:pPr>
            <w:r>
              <w:rPr>
                <w:snapToGrid w:val="0"/>
                <w:sz w:val="19"/>
                <w:lang w:val="en-US"/>
              </w:rPr>
              <w:t>13 Dec 2006</w:t>
            </w:r>
          </w:p>
        </w:tc>
        <w:tc>
          <w:tcPr>
            <w:tcW w:w="2552" w:type="dxa"/>
            <w:tcBorders>
              <w:bottom w:val="single" w:sz="4" w:space="0" w:color="auto"/>
            </w:tcBorders>
          </w:tcPr>
          <w:p>
            <w:pPr>
              <w:pStyle w:val="nTable"/>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bl>
    <w:p>
      <w:pPr>
        <w:pStyle w:val="nSubsection"/>
      </w:pPr>
      <w:r>
        <w:rPr>
          <w:vertAlign w:val="superscript"/>
        </w:rPr>
        <w:t>2</w:t>
      </w:r>
      <w:r>
        <w:tab/>
      </w:r>
      <w:r>
        <w:rPr>
          <w:snapToGrid w:val="0"/>
        </w:rPr>
        <w:t>Footnote no longer applicable.</w:t>
      </w:r>
    </w:p>
    <w:p>
      <w:pPr>
        <w:pStyle w:val="nSubsection"/>
      </w:pPr>
      <w:r>
        <w:rPr>
          <w:vertAlign w:val="superscript"/>
        </w:rPr>
        <w:t>3</w:t>
      </w:r>
      <w:r>
        <w:tab/>
        <w:t>Footnote no longer applicable.</w:t>
      </w:r>
    </w:p>
    <w:p>
      <w:pPr>
        <w:pStyle w:val="nSubsection"/>
      </w:pPr>
      <w:r>
        <w:rPr>
          <w:vertAlign w:val="superscript"/>
        </w:rPr>
        <w:t>4</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pPr>
      <w:r>
        <w:rPr>
          <w:vertAlign w:val="superscript"/>
        </w:rPr>
        <w:t>5</w:t>
      </w:r>
      <w:r>
        <w:tab/>
        <w:t xml:space="preserve">Repealed by the </w:t>
      </w:r>
      <w:r>
        <w:rPr>
          <w:i/>
        </w:rPr>
        <w:t>Industrial Relations Legislation Amendment and Repeal Act 1995</w:t>
      </w:r>
      <w:r>
        <w:t>.</w:t>
      </w:r>
    </w:p>
    <w:p>
      <w:pPr>
        <w:pStyle w:val="nSubsection"/>
        <w:rPr>
          <w:snapToGrid w:val="0"/>
        </w:rPr>
      </w:pPr>
      <w:r>
        <w:rPr>
          <w:snapToGrid w:val="0"/>
          <w:vertAlign w:val="superscript"/>
        </w:rPr>
        <w:t>6</w:t>
      </w:r>
      <w:r>
        <w:rPr>
          <w:snapToGrid w:val="0"/>
        </w:rPr>
        <w:tab/>
        <w:t xml:space="preserve">The </w:t>
      </w:r>
      <w:r>
        <w:rPr>
          <w:i/>
          <w:iCs/>
          <w:snapToGrid w:val="0"/>
          <w:lang w:val="en-US"/>
        </w:rPr>
        <w:t>Retail Shops and Fair Trading Legislation Amendment Act 2006</w:t>
      </w:r>
      <w:r>
        <w:rPr>
          <w:snapToGrid w:val="0"/>
        </w:rPr>
        <w:t xml:space="preserve"> s. 18 reads as follows:</w:t>
      </w:r>
    </w:p>
    <w:p>
      <w:pPr>
        <w:pStyle w:val="MiscOpen"/>
        <w:rPr>
          <w:snapToGrid w:val="0"/>
        </w:rPr>
      </w:pPr>
      <w:r>
        <w:rPr>
          <w:snapToGrid w:val="0"/>
        </w:rPr>
        <w:t>“</w:t>
      </w:r>
    </w:p>
    <w:p>
      <w:pPr>
        <w:pStyle w:val="nzHeading5"/>
      </w:pPr>
      <w:bookmarkStart w:id="260" w:name="_Toc114980038"/>
      <w:bookmarkStart w:id="261" w:name="_Toc147138232"/>
      <w:bookmarkStart w:id="262" w:name="_Toc147812549"/>
      <w:r>
        <w:rPr>
          <w:rStyle w:val="CharSectno"/>
        </w:rPr>
        <w:t>18</w:t>
      </w:r>
      <w:r>
        <w:t>.</w:t>
      </w:r>
      <w:r>
        <w:tab/>
        <w:t>Validation</w:t>
      </w:r>
      <w:bookmarkEnd w:id="260"/>
      <w:bookmarkEnd w:id="261"/>
      <w:bookmarkEnd w:id="262"/>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MiscClose"/>
      </w:pPr>
      <w:r>
        <w:t>”.</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bookmarkStart w:id="263" w:name="UpToHere"/>
      <w:bookmarkEnd w:id="263"/>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Retail Trading Hours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52A5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0860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FE80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8C5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D211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B8AF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346A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6C28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0D4670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F820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3560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D5CF5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426"/>
    <w:docVar w:name="WAFER_20151209114426" w:val="RemoveTrackChanges"/>
    <w:docVar w:name="WAFER_20151209114426_GUID" w:val="60628cfb-2f2d-40a8-b931-28825912ae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10706</Words>
  <Characters>49141</Characters>
  <Application>Microsoft Office Word</Application>
  <DocSecurity>0</DocSecurity>
  <Lines>1365</Lines>
  <Paragraphs>777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1987 - 01-f0-04</dc:title>
  <dc:subject/>
  <dc:creator/>
  <cp:keywords/>
  <dc:description/>
  <cp:lastModifiedBy>svcMRProcess</cp:lastModifiedBy>
  <cp:revision>4</cp:revision>
  <cp:lastPrinted>2002-01-22T06:25:00Z</cp:lastPrinted>
  <dcterms:created xsi:type="dcterms:W3CDTF">2015-12-15T05:51:00Z</dcterms:created>
  <dcterms:modified xsi:type="dcterms:W3CDTF">2015-12-15T05:51:00Z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20070511</vt:lpwstr>
  </property>
  <property fmtid="{D5CDD505-2E9C-101B-9397-08002B2CF9AE}" pid="4" name="DocumentType">
    <vt:lpwstr>Act</vt:lpwstr>
  </property>
  <property fmtid="{D5CDD505-2E9C-101B-9397-08002B2CF9AE}" pid="5" name="OwlsUID">
    <vt:i4>696</vt:i4>
  </property>
  <property fmtid="{D5CDD505-2E9C-101B-9397-08002B2CF9AE}" pid="6" name="AsAtDate">
    <vt:lpwstr>11 May 2007</vt:lpwstr>
  </property>
  <property fmtid="{D5CDD505-2E9C-101B-9397-08002B2CF9AE}" pid="7" name="Suffix">
    <vt:lpwstr>01-f0-04</vt:lpwstr>
  </property>
</Properties>
</file>