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Nickel (Agnew) Agreement Act 1974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Nickel (Agnew) Agreement Act 1974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_Toc266973199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_Toc266973200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_Toc266973201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Ratification of the Variation Agreement</w:t>
      </w:r>
      <w:r>
        <w:tab/>
      </w:r>
      <w:r>
        <w:fldChar w:fldCharType="begin"/>
      </w:r>
      <w:r>
        <w:instrText xml:space="preserve"> PAGEREF _Toc266973202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_Toc266973203 \h </w:instrText>
      </w:r>
      <w:r>
        <w:fldChar w:fldCharType="separate"/>
      </w:r>
      <w:r>
        <w:t>2</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_Toc266973208 \h </w:instrText>
      </w:r>
      <w:r>
        <w:fldChar w:fldCharType="separate"/>
      </w:r>
      <w:r>
        <w:t>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Nickel (Agnew) Agreement Act 1974 </w:t>
      </w:r>
    </w:p>
    <w:p>
      <w:pPr>
        <w:pStyle w:val="LongTitle"/>
        <w:spacing w:after="480"/>
        <w:rPr>
          <w:snapToGrid w:val="0"/>
        </w:rPr>
      </w:pPr>
      <w:r>
        <w:rPr>
          <w:snapToGrid w:val="0"/>
        </w:rPr>
        <w:t>An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2" w:name="_Toc459171442"/>
      <w:bookmarkStart w:id="3" w:name="_Toc55371361"/>
      <w:bookmarkStart w:id="4" w:name="_Toc26697319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vertAlign w:val="superscript"/>
        </w:rPr>
        <w:t> 1</w:t>
      </w:r>
      <w:r>
        <w:rPr>
          <w:snapToGrid w:val="0"/>
        </w:rPr>
        <w:t>.</w:t>
      </w:r>
    </w:p>
    <w:p>
      <w:pPr>
        <w:pStyle w:val="Heading5"/>
        <w:rPr>
          <w:snapToGrid w:val="0"/>
        </w:rPr>
      </w:pPr>
      <w:bookmarkStart w:id="5" w:name="_Toc459171443"/>
      <w:bookmarkStart w:id="6" w:name="_Toc55371362"/>
      <w:bookmarkStart w:id="7" w:name="_Toc26697320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 xml:space="preserve">[Section 2 amended by No. 98 of 1976 s. 2.] </w:t>
      </w:r>
    </w:p>
    <w:p>
      <w:pPr>
        <w:pStyle w:val="Heading5"/>
        <w:rPr>
          <w:snapToGrid w:val="0"/>
        </w:rPr>
      </w:pPr>
      <w:bookmarkStart w:id="8" w:name="_Toc459171444"/>
      <w:bookmarkStart w:id="9" w:name="_Toc55371363"/>
      <w:bookmarkStart w:id="10" w:name="_Toc266973201"/>
      <w:r>
        <w:rPr>
          <w:rStyle w:val="CharSectno"/>
        </w:rPr>
        <w:t>3</w:t>
      </w:r>
      <w:r>
        <w:rPr>
          <w:snapToGrid w:val="0"/>
        </w:rPr>
        <w:t>.</w:t>
      </w:r>
      <w:r>
        <w:rPr>
          <w:snapToGrid w:val="0"/>
        </w:rPr>
        <w:tab/>
        <w:t>Ratification of the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1" w:name="_Toc459171445"/>
      <w:bookmarkStart w:id="12" w:name="_Toc55371364"/>
      <w:bookmarkStart w:id="13" w:name="_Toc266973202"/>
      <w:r>
        <w:rPr>
          <w:rStyle w:val="CharSectno"/>
        </w:rPr>
        <w:t>3A</w:t>
      </w:r>
      <w:r>
        <w:rPr>
          <w:snapToGrid w:val="0"/>
        </w:rPr>
        <w:t>.</w:t>
      </w:r>
      <w:r>
        <w:rPr>
          <w:snapToGrid w:val="0"/>
        </w:rPr>
        <w:tab/>
        <w:t>Ratification of the Variation Agreement</w:t>
      </w:r>
      <w:bookmarkEnd w:id="11"/>
      <w:bookmarkEnd w:id="12"/>
      <w:bookmarkEnd w:id="13"/>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by No. 98 of 1976 s. 3.] </w:t>
      </w:r>
    </w:p>
    <w:p>
      <w:pPr>
        <w:pStyle w:val="Heading5"/>
        <w:rPr>
          <w:snapToGrid w:val="0"/>
        </w:rPr>
      </w:pPr>
      <w:bookmarkStart w:id="14" w:name="_Toc459171446"/>
      <w:bookmarkStart w:id="15" w:name="_Toc55371365"/>
      <w:bookmarkStart w:id="16" w:name="_Toc266973203"/>
      <w:r>
        <w:rPr>
          <w:rStyle w:val="CharSectno"/>
        </w:rPr>
        <w:t>4</w:t>
      </w:r>
      <w:r>
        <w:rPr>
          <w:snapToGrid w:val="0"/>
        </w:rPr>
        <w:t>.</w:t>
      </w:r>
      <w:r>
        <w:rPr>
          <w:snapToGrid w:val="0"/>
        </w:rPr>
        <w:tab/>
        <w:t>By</w:t>
      </w:r>
      <w:r>
        <w:rPr>
          <w:snapToGrid w:val="0"/>
        </w:rPr>
        <w:noBreakHyphen/>
        <w:t>laws</w:t>
      </w:r>
      <w:bookmarkEnd w:id="14"/>
      <w:bookmarkEnd w:id="15"/>
      <w:bookmarkEnd w:id="16"/>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 w:name="_Toc55371366"/>
      <w:bookmarkStart w:id="18" w:name="_Toc266973204"/>
      <w:r>
        <w:t>The Schedules</w:t>
      </w:r>
      <w:bookmarkEnd w:id="17"/>
      <w:bookmarkEnd w:id="18"/>
    </w:p>
    <w:p>
      <w:pPr>
        <w:pStyle w:val="yScheduleHeading"/>
        <w:pageBreakBefore w:val="0"/>
        <w:spacing w:before="160"/>
      </w:pPr>
      <w:bookmarkStart w:id="19" w:name="_Toc55371367"/>
      <w:bookmarkStart w:id="20" w:name="_Toc266973205"/>
      <w:r>
        <w:rPr>
          <w:rStyle w:val="CharSchNo"/>
        </w:rPr>
        <w:t>First Schedule</w:t>
      </w:r>
      <w:bookmarkEnd w:id="19"/>
      <w:bookmarkEnd w:id="20"/>
      <w:r>
        <w:rPr>
          <w:rStyle w:val="CharSchText"/>
        </w:rPr>
        <w:t xml:space="preserve"> </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3</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3</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3</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3</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3</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3</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3</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r>
        <w:rPr>
          <w:spacing w:val="-2"/>
          <w:vertAlign w:val="superscript"/>
        </w:rPr>
        <w:t>3</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3</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3</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r>
        <w:rPr>
          <w:spacing w:val="-2"/>
          <w:vertAlign w:val="superscript"/>
        </w:rPr>
        <w:t>3</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3</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r>
        <w:rPr>
          <w:spacing w:val="-2"/>
          <w:vertAlign w:val="superscript"/>
        </w:rPr>
        <w:t>3</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3</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r>
        <w:rPr>
          <w:spacing w:val="-2"/>
          <w:vertAlign w:val="superscript"/>
        </w:rPr>
        <w:t>3</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3</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3</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r>
        <w:rPr>
          <w:spacing w:val="-2"/>
          <w:vertAlign w:val="superscript"/>
        </w:rPr>
        <w:t>3</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3</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3</w:t>
      </w:r>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3</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spacing w:val="-2"/>
        </w:rPr>
      </w:pPr>
      <w:r>
        <w:rPr>
          <w:spacing w:val="-2"/>
          <w:position w:val="-68"/>
        </w:rPr>
        <w:object w:dxaOrig="7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73.5pt" o:ole="" fillcolor="window">
            <v:imagedata r:id="rId27" o:title=""/>
          </v:shape>
          <o:OLEObject Type="Embed" ProgID="Equation.3" ShapeID="_x0000_i1025" DrawAspect="Content" ObjectID="_1643460163" r:id="rId28"/>
        </w:object>
      </w:r>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3</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3</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3</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r>
        <w:rPr>
          <w:spacing w:val="-2"/>
          <w:vertAlign w:val="superscript"/>
        </w:rPr>
        <w:t>3</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19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r>
              <w:rPr>
                <w:noProof/>
                <w:lang w:eastAsia="en-AU"/>
              </w:rPr>
              <w:drawing>
                <wp:inline distT="0" distB="0" distL="0" distR="0">
                  <wp:extent cx="12192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r>
              <w:rPr>
                <w:noProof/>
                <w:lang w:eastAsia="en-AU"/>
              </w:rPr>
              <w:drawing>
                <wp:inline distT="0" distB="0" distL="0" distR="0">
                  <wp:extent cx="1219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7620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[First Schedule amended by No. 98 of 1976 s. 4.]</w:t>
      </w:r>
    </w:p>
    <w:p>
      <w:pPr>
        <w:pStyle w:val="yScheduleHeading"/>
      </w:pPr>
      <w:bookmarkStart w:id="21" w:name="_Toc55371368"/>
      <w:bookmarkStart w:id="22" w:name="_Toc266973206"/>
      <w:r>
        <w:rPr>
          <w:rStyle w:val="CharSchNo"/>
        </w:rPr>
        <w:t>Second Schedule</w:t>
      </w:r>
      <w:bookmarkEnd w:id="21"/>
      <w:bookmarkEnd w:id="22"/>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tabs>
          <w:tab w:val="left" w:pos="1418"/>
        </w:tabs>
        <w:rPr>
          <w:b/>
          <w:spacing w:val="-2"/>
        </w:rPr>
      </w:pPr>
      <w:r>
        <w:rPr>
          <w:b/>
          <w:spacing w:val="-2"/>
        </w:rPr>
        <w:tab/>
        <w:t>Public Roads to be constructed by the State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tabs>
          <w:tab w:val="left" w:pos="1418"/>
        </w:tabs>
        <w:rPr>
          <w:b/>
          <w:spacing w:val="-2"/>
        </w:rPr>
      </w:pPr>
      <w:r>
        <w:rPr>
          <w:b/>
          <w:spacing w:val="-2"/>
        </w:rPr>
        <w:tab/>
        <w:t>Substituted securities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r>
        <w:rPr>
          <w:spacing w:val="-2"/>
          <w:vertAlign w:val="superscript"/>
        </w:rPr>
        <w:t>3</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spacing w:val="-2"/>
        </w:rPr>
      </w:pPr>
      <w:r>
        <w:rPr>
          <w:spacing w:val="-2"/>
          <w:position w:val="-68"/>
        </w:rPr>
        <w:object w:dxaOrig="7180" w:dyaOrig="1480">
          <v:shape id="_x0000_i1026" type="#_x0000_t75" style="width:358.5pt;height:73.5pt" o:ole="" fillcolor="window">
            <v:imagedata r:id="rId30" o:title=""/>
          </v:shape>
          <o:OLEObject Type="Embed" ProgID="Equation.3" ShapeID="_x0000_i1026" DrawAspect="Content" ObjectID="_1643460164" r:id="rId31"/>
        </w:object>
      </w:r>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3</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3</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3</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1920" cy="586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r>
              <w:rPr>
                <w:noProof/>
                <w:lang w:eastAsia="en-AU"/>
              </w:rPr>
              <w:drawing>
                <wp:inline distT="0" distB="0" distL="0" distR="0">
                  <wp:extent cx="121920"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r>
              <w:rPr>
                <w:noProof/>
                <w:lang w:eastAsia="en-AU"/>
              </w:rPr>
              <w:drawing>
                <wp:inline distT="0" distB="0" distL="0" distR="0">
                  <wp:extent cx="121920" cy="105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05918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r>
              <w:rPr>
                <w:noProof/>
                <w:lang w:eastAsia="en-AU"/>
              </w:rPr>
              <w:drawing>
                <wp:inline distT="0" distB="0" distL="0" distR="0">
                  <wp:extent cx="121920" cy="586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[Second Schedule inserted by No. 98 of 1976 s. 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3" w:name="_Toc266973207"/>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Nickel (Agnew) Agreement Act 1974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 w:name="_Toc55371369"/>
      <w:bookmarkStart w:id="25" w:name="_Toc266973208"/>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(Agnew) Agreement Act 1974</w:t>
            </w:r>
          </w:p>
        </w:tc>
        <w:tc>
          <w:tcPr>
            <w:tcW w:w="1134" w:type="dxa"/>
          </w:tcPr>
          <w:p>
            <w:pPr>
              <w:pStyle w:val="nTable"/>
              <w:spacing w:after="40"/>
              <w:rPr>
                <w:sz w:val="19"/>
              </w:rPr>
            </w:pPr>
            <w:r>
              <w:rPr>
                <w:sz w:val="19"/>
              </w:rPr>
              <w:t>81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10 Dec 1974</w:t>
            </w:r>
          </w:p>
        </w:tc>
      </w:tr>
      <w:tr>
        <w:tc>
          <w:tcPr>
            <w:tcW w:w="2268" w:type="dxa"/>
          </w:tcPr>
          <w:p>
            <w:pPr>
              <w:pStyle w:val="nTable"/>
              <w:spacing w:after="40"/>
              <w:rPr>
                <w:sz w:val="19"/>
              </w:rPr>
            </w:pPr>
            <w:r>
              <w:rPr>
                <w:i/>
                <w:sz w:val="19"/>
              </w:rPr>
              <w:t>Nickel (Agnew) Agreement Act Amendment Act 1976</w:t>
            </w:r>
          </w:p>
        </w:tc>
        <w:tc>
          <w:tcPr>
            <w:tcW w:w="1134" w:type="dxa"/>
          </w:tcPr>
          <w:p>
            <w:pPr>
              <w:pStyle w:val="nTable"/>
              <w:spacing w:after="40"/>
              <w:rPr>
                <w:sz w:val="19"/>
              </w:rPr>
            </w:pPr>
            <w:r>
              <w:rPr>
                <w:sz w:val="19"/>
              </w:rPr>
              <w:t>98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Nickel (Agnew) Agreement Act 1974</w:t>
            </w:r>
            <w:r>
              <w:rPr>
                <w:b/>
                <w:sz w:val="19"/>
              </w:rPr>
              <w:t xml:space="preserve"> as at 3 Oct 2003</w:t>
            </w:r>
            <w:r>
              <w:rPr>
                <w:sz w:val="19"/>
              </w:rPr>
              <w:t xml:space="preserve"> (includes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 w:name="_Toc7405065"/>
      <w:r>
        <w:t>Provisions that have not come into operation</w:t>
      </w:r>
      <w:bookmarkEnd w:id="2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27" w:name="_Toc233107675"/>
      <w:bookmarkStart w:id="28" w:name="_Toc255473698"/>
      <w:bookmarkStart w:id="29" w:name="_Toc265583753"/>
      <w:bookmarkStart w:id="30" w:name="_Toc267907333"/>
      <w:r>
        <w:rPr>
          <w:rStyle w:val="CharSectno"/>
          <w:rFonts w:eastAsia="MS Mincho"/>
        </w:rPr>
        <w:t>4</w:t>
      </w:r>
      <w:r>
        <w:rPr>
          <w:rFonts w:eastAsia="MS Mincho"/>
        </w:rPr>
        <w:t>.</w:t>
      </w:r>
      <w:r>
        <w:rPr>
          <w:rFonts w:eastAsia="MS Mincho"/>
        </w:rPr>
        <w:tab/>
        <w:t>Schedule headings reformatted</w:t>
      </w:r>
      <w:bookmarkEnd w:id="27"/>
      <w:bookmarkEnd w:id="28"/>
      <w:bookmarkEnd w:id="29"/>
      <w:bookmarkEnd w:id="3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Nickel (Agnew) Agreement Act 1974</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Nickel (Agnew)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Nickel (Agnew) Agreement Act 1974</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Nickel (Agnew) Agreement Act 1974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2C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84D2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EA9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80C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264B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EAC3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A604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A52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4C3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CC8C9A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9C82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5B2B77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4.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25675</Words>
  <Characters>127864</Characters>
  <Application>Microsoft Office Word</Application>
  <DocSecurity>0</DocSecurity>
  <Lines>2720</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152636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1974 - 01-b0-01</dc:title>
  <dc:subject/>
  <dc:creator/>
  <cp:keywords/>
  <dc:description/>
  <cp:lastModifiedBy>svcMRProcess</cp:lastModifiedBy>
  <cp:revision>4</cp:revision>
  <cp:lastPrinted>2003-10-29T03:01:00Z</cp:lastPrinted>
  <dcterms:created xsi:type="dcterms:W3CDTF">2020-02-17T07:56:00Z</dcterms:created>
  <dcterms:modified xsi:type="dcterms:W3CDTF">2020-02-17T07:56:00Z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544</vt:i4>
  </property>
  <property fmtid="{D5CDD505-2E9C-101B-9397-08002B2CF9AE}" pid="6" name="AsAtDate">
    <vt:lpwstr>28 Jun 2010</vt:lpwstr>
  </property>
  <property fmtid="{D5CDD505-2E9C-101B-9397-08002B2CF9AE}" pid="7" name="Suffix">
    <vt:lpwstr>01-b0-01</vt:lpwstr>
  </property>
</Properties>
</file>