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_Toc268173667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_Toc268173668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_Toc268173669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_Toc268173670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_Toc268173671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_Toc268173672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_Toc268173673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_Toc268173674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_Toc268173675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5</w:t>
      </w:r>
      <w:r>
        <w:tab/>
      </w:r>
      <w:r>
        <w:fldChar w:fldCharType="begin"/>
      </w:r>
      <w:r>
        <w:instrText xml:space="preserve"> PAGEREF _Toc268173676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5</w:t>
      </w:r>
      <w:r>
        <w:tab/>
      </w:r>
      <w:r>
        <w:fldChar w:fldCharType="begin"/>
      </w:r>
      <w:r>
        <w:instrText xml:space="preserve"> PAGEREF _Toc268173677 \h </w:instrText>
      </w:r>
      <w:r>
        <w:fldChar w:fldCharType="separate"/>
      </w:r>
      <w:r>
        <w:t>11</w:t>
      </w:r>
      <w:r>
        <w:fldChar w:fldCharType="end"/>
      </w:r>
    </w:p>
    <w:p>
      <w:pPr>
        <w:pStyle w:val="TOC8"/>
        <w:rPr>
          <w:sz w:val="24"/>
          <w:szCs w:val="24"/>
        </w:rPr>
      </w:pPr>
      <w:r>
        <w:rPr>
          <w:szCs w:val="24"/>
        </w:rPr>
        <w:t>10.</w:t>
      </w:r>
      <w:r>
        <w:rPr>
          <w:szCs w:val="24"/>
        </w:rPr>
        <w:tab/>
        <w:t>Schedule 1 Division 2 item 6 or Division 2 item 7 fee</w:t>
      </w:r>
      <w:r>
        <w:tab/>
      </w:r>
      <w:r>
        <w:fldChar w:fldCharType="begin"/>
      </w:r>
      <w:r>
        <w:instrText xml:space="preserve"> PAGEREF _Toc268173678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_Toc268173679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 Division fees</w:t>
      </w:r>
    </w:p>
    <w:p>
      <w:pPr>
        <w:pStyle w:val="TOC4"/>
        <w:tabs>
          <w:tab w:val="right" w:leader="dot" w:pos="7086"/>
        </w:tabs>
        <w:rPr>
          <w:b w:val="0"/>
          <w:sz w:val="24"/>
          <w:szCs w:val="24"/>
        </w:rPr>
      </w:pPr>
      <w:r>
        <w:rPr>
          <w:szCs w:val="24"/>
        </w:rPr>
        <w:t>Division 2</w:t>
      </w:r>
      <w:r>
        <w:rPr>
          <w:b w:val="0"/>
          <w:szCs w:val="24"/>
        </w:rPr>
        <w:t> — </w:t>
      </w:r>
      <w:r>
        <w:rPr>
          <w:szCs w:val="24"/>
        </w:rPr>
        <w:t>Court of Appeal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_Toc268173687 \h </w:instrText>
      </w:r>
      <w:r>
        <w:fldChar w:fldCharType="separate"/>
      </w:r>
      <w:r>
        <w:t>39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268173667"/>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26817366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268173669"/>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268173670"/>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268173671"/>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w:t>
      </w:r>
    </w:p>
    <w:p>
      <w:pPr>
        <w:pStyle w:val="Heading5"/>
      </w:pPr>
      <w:bookmarkStart w:id="60" w:name="_Toc268173672"/>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268173673"/>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268173674"/>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268173675"/>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268173676"/>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268173677"/>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268173678"/>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268173679"/>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533218894"/>
      <w:bookmarkStart w:id="109" w:name="_Toc533480360"/>
      <w:bookmarkStart w:id="110" w:name="_Toc107626249"/>
      <w:bookmarkStart w:id="111" w:name="_Toc139175209"/>
      <w:bookmarkStart w:id="112" w:name="_Toc139365940"/>
      <w:bookmarkStart w:id="113" w:name="_Toc141847811"/>
      <w:bookmarkStart w:id="114" w:name="_Toc142382645"/>
      <w:bookmarkStart w:id="115" w:name="_Toc144009328"/>
      <w:bookmarkStart w:id="116" w:name="_Toc144009444"/>
      <w:bookmarkStart w:id="117" w:name="_Toc144010742"/>
      <w:bookmarkStart w:id="118" w:name="_Toc144616506"/>
      <w:bookmarkStart w:id="119" w:name="_Toc145814169"/>
      <w:bookmarkStart w:id="120" w:name="_Toc170790395"/>
      <w:bookmarkStart w:id="121" w:name="_Toc171051025"/>
      <w:bookmarkStart w:id="122" w:name="_Toc202265391"/>
      <w:bookmarkStart w:id="123" w:name="_Toc232310903"/>
      <w:bookmarkStart w:id="124" w:name="_Toc233086412"/>
      <w:bookmarkStart w:id="125" w:name="_Toc233519305"/>
      <w:bookmarkStart w:id="126" w:name="_Toc233526464"/>
      <w:bookmarkEnd w:id="102"/>
      <w:r>
        <w:rPr>
          <w:rStyle w:val="CharSchNo"/>
        </w:rPr>
        <w:t>Schedule 1</w:t>
      </w:r>
      <w:r>
        <w:t> — </w:t>
      </w:r>
      <w:r>
        <w:rPr>
          <w:rStyle w:val="CharSchText"/>
        </w:rPr>
        <w:t>Fees</w:t>
      </w:r>
      <w:bookmarkEnd w:id="103"/>
      <w:bookmarkEnd w:id="104"/>
      <w:bookmarkEnd w:id="105"/>
      <w:bookmarkEnd w:id="106"/>
      <w:bookmarkEnd w:id="107"/>
    </w:p>
    <w:p>
      <w:pPr>
        <w:pStyle w:val="yShoulderClause"/>
      </w:pPr>
      <w:r>
        <w:t>[r. 4]</w:t>
      </w:r>
    </w:p>
    <w:p>
      <w:pPr>
        <w:pStyle w:val="yFootnoteheading"/>
        <w:spacing w:before="100"/>
      </w:pPr>
      <w:r>
        <w:tab/>
        <w:t>[Heading inserted in Gazette 4 Sep 2009 p. 3462.]</w:t>
      </w:r>
    </w:p>
    <w:p>
      <w:pPr>
        <w:pStyle w:val="yHeading3"/>
      </w:pPr>
      <w:bookmarkStart w:id="127" w:name="_Toc239758529"/>
      <w:bookmarkStart w:id="128" w:name="_Toc239761853"/>
      <w:bookmarkStart w:id="129" w:name="_Toc244333852"/>
      <w:bookmarkStart w:id="130" w:name="_Toc245873244"/>
      <w:bookmarkStart w:id="131" w:name="_Toc268173681"/>
      <w:r>
        <w:rPr>
          <w:rStyle w:val="CharSDivNo"/>
        </w:rPr>
        <w:t>Division 1</w:t>
      </w:r>
      <w:r>
        <w:rPr>
          <w:b w:val="0"/>
        </w:rPr>
        <w:t> — </w:t>
      </w:r>
      <w:r>
        <w:rPr>
          <w:rStyle w:val="CharSDivText"/>
        </w:rPr>
        <w:t>General Division fees</w:t>
      </w:r>
      <w:bookmarkEnd w:id="127"/>
      <w:bookmarkEnd w:id="128"/>
      <w:bookmarkEnd w:id="129"/>
      <w:bookmarkEnd w:id="130"/>
      <w:bookmarkEnd w:id="131"/>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768.00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1 498.00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768.00</w:t>
            </w:r>
          </w:p>
          <w:p>
            <w:pPr>
              <w:pStyle w:val="yTableNAm"/>
              <w:tabs>
                <w:tab w:val="clear" w:pos="567"/>
              </w:tabs>
              <w:ind w:right="206"/>
              <w:jc w:val="right"/>
            </w:pPr>
            <w:r>
              <w:br/>
              <w:t>768.00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t>256.00</w:t>
            </w:r>
          </w:p>
          <w:p>
            <w:pPr>
              <w:pStyle w:val="yTableNAm"/>
              <w:tabs>
                <w:tab w:val="clear" w:pos="567"/>
              </w:tabs>
              <w:ind w:right="206"/>
              <w:jc w:val="right"/>
            </w:pPr>
            <w:r>
              <w:br/>
            </w:r>
            <w:r>
              <w:br/>
              <w:t>256.00</w:t>
            </w:r>
          </w:p>
        </w:tc>
        <w:tc>
          <w:tcPr>
            <w:tcW w:w="1239" w:type="dxa"/>
          </w:tcPr>
          <w:p>
            <w:pPr>
              <w:pStyle w:val="yTableNAm"/>
              <w:tabs>
                <w:tab w:val="clear" w:pos="567"/>
              </w:tabs>
              <w:ind w:right="203"/>
              <w:jc w:val="right"/>
            </w:pPr>
          </w:p>
          <w:p>
            <w:pPr>
              <w:pStyle w:val="yTableNAm"/>
              <w:tabs>
                <w:tab w:val="clear" w:pos="567"/>
              </w:tabs>
              <w:ind w:right="203"/>
              <w:jc w:val="right"/>
            </w:pPr>
            <w:r>
              <w:t>1 498.00</w:t>
            </w:r>
          </w:p>
          <w:p>
            <w:pPr>
              <w:pStyle w:val="yTableNAm"/>
              <w:tabs>
                <w:tab w:val="clear" w:pos="567"/>
              </w:tabs>
              <w:ind w:right="203"/>
              <w:jc w:val="right"/>
            </w:pPr>
            <w:r>
              <w:br/>
              <w:t>1 498.00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t>501.00</w:t>
            </w:r>
          </w:p>
          <w:p>
            <w:pPr>
              <w:pStyle w:val="yTableNAm"/>
              <w:tabs>
                <w:tab w:val="clear" w:pos="567"/>
              </w:tabs>
              <w:ind w:right="203"/>
              <w:jc w:val="right"/>
            </w:pPr>
            <w:r>
              <w:br/>
            </w:r>
            <w:r>
              <w:br/>
              <w:t>501.00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1 002.00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768.00</w:t>
            </w:r>
          </w:p>
        </w:tc>
        <w:tc>
          <w:tcPr>
            <w:tcW w:w="1239" w:type="dxa"/>
          </w:tcPr>
          <w:p>
            <w:pPr>
              <w:pStyle w:val="yTableNAm"/>
              <w:tabs>
                <w:tab w:val="clear" w:pos="567"/>
              </w:tabs>
              <w:ind w:right="203"/>
              <w:jc w:val="right"/>
            </w:pPr>
            <w:r>
              <w:br/>
            </w:r>
            <w:r>
              <w:br/>
              <w:t>1 498.00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514.00</w:t>
            </w:r>
          </w:p>
        </w:tc>
        <w:tc>
          <w:tcPr>
            <w:tcW w:w="1239" w:type="dxa"/>
          </w:tcPr>
          <w:p>
            <w:pPr>
              <w:pStyle w:val="yTableNAm"/>
              <w:tabs>
                <w:tab w:val="clear" w:pos="567"/>
              </w:tabs>
              <w:ind w:right="203"/>
              <w:jc w:val="right"/>
            </w:pPr>
            <w:r>
              <w:br/>
              <w:t>1 336.00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t>514.00</w:t>
            </w:r>
          </w:p>
        </w:tc>
        <w:tc>
          <w:tcPr>
            <w:tcW w:w="1239" w:type="dxa"/>
          </w:tcPr>
          <w:p>
            <w:pPr>
              <w:pStyle w:val="yTableNAm"/>
              <w:keepNext/>
              <w:tabs>
                <w:tab w:val="clear" w:pos="567"/>
              </w:tabs>
              <w:ind w:right="203"/>
              <w:jc w:val="right"/>
            </w:pPr>
            <w:r>
              <w:br/>
            </w:r>
            <w:r>
              <w:br/>
              <w:t>1 336.00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180.50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t>351.00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180.50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t>351.00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26.00</w:t>
            </w:r>
          </w:p>
        </w:tc>
        <w:tc>
          <w:tcPr>
            <w:tcW w:w="1239" w:type="dxa"/>
          </w:tcPr>
          <w:p>
            <w:pPr>
              <w:pStyle w:val="yTableNAm"/>
              <w:tabs>
                <w:tab w:val="clear" w:pos="567"/>
              </w:tabs>
              <w:spacing w:before="100"/>
              <w:ind w:right="204"/>
              <w:jc w:val="right"/>
            </w:pPr>
            <w:r>
              <w:br/>
            </w:r>
            <w:r>
              <w:br/>
              <w:t>26.00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c>
          <w:tcPr>
            <w:tcW w:w="1239" w:type="dxa"/>
          </w:tcPr>
          <w:p>
            <w:pPr>
              <w:pStyle w:val="yTableNAm"/>
              <w:tabs>
                <w:tab w:val="clear" w:pos="567"/>
              </w:tabs>
              <w:spacing w:before="100"/>
              <w:ind w:right="204"/>
              <w:jc w:val="right"/>
            </w:pPr>
            <w:r>
              <w:br/>
            </w:r>
            <w:r>
              <w:br/>
            </w:r>
            <w:r>
              <w:br/>
            </w:r>
            <w:r>
              <w:br/>
              <w:t>38.00</w:t>
            </w:r>
          </w:p>
          <w:p>
            <w:pPr>
              <w:pStyle w:val="yTableNAm"/>
              <w:tabs>
                <w:tab w:val="clear" w:pos="567"/>
              </w:tabs>
              <w:spacing w:before="60"/>
              <w:ind w:right="204"/>
              <w:jc w:val="right"/>
            </w:pPr>
            <w:r>
              <w:br/>
            </w:r>
            <w:r>
              <w:br/>
            </w:r>
            <w:r>
              <w:br/>
            </w:r>
            <w:r>
              <w:br/>
            </w:r>
            <w:r>
              <w:br/>
            </w:r>
            <w:r>
              <w:br/>
            </w:r>
            <w:r>
              <w:br/>
              <w:t>64.00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p>
            <w:pPr>
              <w:pStyle w:val="yTableNAm"/>
              <w:tabs>
                <w:tab w:val="clear" w:pos="567"/>
              </w:tabs>
              <w:ind w:right="206"/>
              <w:jc w:val="right"/>
            </w:pPr>
            <w:r>
              <w:br/>
            </w:r>
            <w:r>
              <w:br/>
            </w:r>
            <w:r>
              <w:br/>
            </w:r>
            <w:r>
              <w:br/>
              <w:t>51.50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9.00</w:t>
            </w:r>
          </w:p>
          <w:p>
            <w:pPr>
              <w:pStyle w:val="yTableNAm"/>
              <w:tabs>
                <w:tab w:val="clear" w:pos="567"/>
              </w:tabs>
              <w:ind w:right="203"/>
              <w:jc w:val="right"/>
            </w:pPr>
            <w:r>
              <w:br/>
            </w:r>
            <w:r>
              <w:br/>
              <w:t>1.15</w:t>
            </w:r>
          </w:p>
          <w:p>
            <w:pPr>
              <w:pStyle w:val="yTableNAm"/>
              <w:tabs>
                <w:tab w:val="clear" w:pos="567"/>
              </w:tabs>
              <w:ind w:right="203"/>
              <w:jc w:val="right"/>
            </w:pPr>
            <w:r>
              <w:br/>
            </w:r>
            <w:r>
              <w:br/>
              <w:t>12.50</w:t>
            </w:r>
          </w:p>
          <w:p>
            <w:pPr>
              <w:pStyle w:val="yTableNAm"/>
              <w:tabs>
                <w:tab w:val="clear" w:pos="567"/>
              </w:tabs>
              <w:ind w:right="203"/>
              <w:jc w:val="right"/>
            </w:pPr>
            <w:r>
              <w:br/>
              <w:t>27.00</w:t>
            </w:r>
          </w:p>
          <w:p>
            <w:pPr>
              <w:pStyle w:val="yTableNAm"/>
              <w:tabs>
                <w:tab w:val="clear" w:pos="567"/>
              </w:tabs>
              <w:ind w:right="203"/>
              <w:jc w:val="right"/>
            </w:pPr>
            <w:r>
              <w:br/>
            </w:r>
            <w:r>
              <w:br/>
            </w:r>
            <w:r>
              <w:br/>
            </w:r>
            <w:r>
              <w:br/>
              <w:t>51.50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t>12.50</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5.05</w:t>
            </w:r>
          </w:p>
          <w:p>
            <w:pPr>
              <w:pStyle w:val="yTableNAm"/>
              <w:tabs>
                <w:tab w:val="clear" w:pos="567"/>
              </w:tabs>
              <w:ind w:right="203"/>
              <w:jc w:val="right"/>
            </w:pPr>
            <w:r>
              <w:br/>
            </w:r>
            <w:r>
              <w:br/>
            </w:r>
            <w:r>
              <w:br/>
            </w:r>
            <w:r>
              <w:br/>
              <w:t>12.50</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215.50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w:t>
      </w:r>
    </w:p>
    <w:p>
      <w:pPr>
        <w:pStyle w:val="yHeading3"/>
      </w:pPr>
      <w:bookmarkStart w:id="132" w:name="_Toc239758530"/>
      <w:bookmarkStart w:id="133" w:name="_Toc239761854"/>
      <w:bookmarkStart w:id="134" w:name="_Toc244333853"/>
      <w:bookmarkStart w:id="135" w:name="_Toc245873245"/>
      <w:bookmarkStart w:id="136" w:name="_Toc268173682"/>
      <w:r>
        <w:rPr>
          <w:rStyle w:val="CharSDivNo"/>
        </w:rPr>
        <w:t>Division 2</w:t>
      </w:r>
      <w:r>
        <w:rPr>
          <w:b w:val="0"/>
        </w:rPr>
        <w:t> — </w:t>
      </w:r>
      <w:r>
        <w:rPr>
          <w:rStyle w:val="CharSDivText"/>
        </w:rPr>
        <w:t>Court of Appeal fees</w:t>
      </w:r>
      <w:bookmarkEnd w:id="132"/>
      <w:bookmarkEnd w:id="133"/>
      <w:bookmarkEnd w:id="134"/>
      <w:bookmarkEnd w:id="135"/>
      <w:bookmarkEnd w:id="136"/>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128.00</w:t>
            </w:r>
          </w:p>
        </w:tc>
        <w:tc>
          <w:tcPr>
            <w:tcW w:w="1240" w:type="dxa"/>
          </w:tcPr>
          <w:p>
            <w:pPr>
              <w:pStyle w:val="yTableNAm"/>
              <w:tabs>
                <w:tab w:val="clear" w:pos="567"/>
              </w:tabs>
              <w:ind w:right="204"/>
              <w:jc w:val="right"/>
            </w:pPr>
            <w:r>
              <w:t>332.00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yTableNAm"/>
              <w:tabs>
                <w:tab w:val="clear" w:pos="567"/>
              </w:tabs>
              <w:ind w:right="206"/>
              <w:jc w:val="right"/>
            </w:pPr>
            <w:r>
              <w:t>1 931.00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5 020.00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256.00</w:t>
            </w:r>
          </w:p>
        </w:tc>
        <w:tc>
          <w:tcPr>
            <w:tcW w:w="1240" w:type="dxa"/>
          </w:tcPr>
          <w:p>
            <w:pPr>
              <w:pStyle w:val="yTableNAm"/>
              <w:tabs>
                <w:tab w:val="clear" w:pos="567"/>
              </w:tabs>
              <w:ind w:right="204"/>
              <w:jc w:val="right"/>
            </w:pPr>
            <w:r>
              <w:br/>
            </w:r>
            <w:r>
              <w:br/>
            </w:r>
            <w:r>
              <w:br/>
            </w:r>
            <w:r>
              <w:br/>
              <w:t>501.00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180.50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t>351.00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t>643.00</w:t>
            </w:r>
          </w:p>
        </w:tc>
        <w:tc>
          <w:tcPr>
            <w:tcW w:w="1240" w:type="dxa"/>
          </w:tcPr>
          <w:p>
            <w:pPr>
              <w:pStyle w:val="yTableNAm"/>
              <w:keepNext/>
              <w:tabs>
                <w:tab w:val="clear" w:pos="567"/>
              </w:tabs>
              <w:ind w:right="204"/>
              <w:jc w:val="right"/>
            </w:pPr>
            <w:r>
              <w:t>1 254.00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514.00</w:t>
            </w:r>
          </w:p>
        </w:tc>
        <w:tc>
          <w:tcPr>
            <w:tcW w:w="1240" w:type="dxa"/>
          </w:tcPr>
          <w:p>
            <w:pPr>
              <w:pStyle w:val="yTableNAm"/>
              <w:tabs>
                <w:tab w:val="clear" w:pos="567"/>
              </w:tabs>
              <w:ind w:right="204"/>
              <w:jc w:val="right"/>
            </w:pPr>
            <w:r>
              <w:br/>
              <w:t>1 336.00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514.00</w:t>
            </w:r>
          </w:p>
        </w:tc>
        <w:tc>
          <w:tcPr>
            <w:tcW w:w="1240" w:type="dxa"/>
          </w:tcPr>
          <w:p>
            <w:pPr>
              <w:pStyle w:val="yTableNAm"/>
              <w:tabs>
                <w:tab w:val="clear" w:pos="567"/>
              </w:tabs>
              <w:ind w:right="204"/>
              <w:jc w:val="right"/>
            </w:pPr>
            <w:r>
              <w:t>1 336.00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26.00</w:t>
            </w:r>
          </w:p>
        </w:tc>
        <w:tc>
          <w:tcPr>
            <w:tcW w:w="1240" w:type="dxa"/>
          </w:tcPr>
          <w:p>
            <w:pPr>
              <w:pStyle w:val="yTableNAm"/>
              <w:tabs>
                <w:tab w:val="clear" w:pos="567"/>
              </w:tabs>
              <w:ind w:right="204"/>
              <w:jc w:val="right"/>
            </w:pPr>
            <w:r>
              <w:br/>
            </w:r>
            <w:r>
              <w:br/>
              <w:t>26.00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9.00</w:t>
            </w:r>
          </w:p>
          <w:p>
            <w:pPr>
              <w:pStyle w:val="yTableNAm"/>
              <w:tabs>
                <w:tab w:val="clear" w:pos="567"/>
              </w:tabs>
              <w:ind w:right="206"/>
              <w:jc w:val="right"/>
            </w:pPr>
            <w:r>
              <w:br/>
            </w:r>
            <w:r>
              <w:br/>
              <w:t>1.15</w:t>
            </w:r>
          </w:p>
          <w:p>
            <w:pPr>
              <w:pStyle w:val="yTableNAm"/>
              <w:tabs>
                <w:tab w:val="clear" w:pos="567"/>
              </w:tabs>
              <w:ind w:right="206"/>
              <w:jc w:val="right"/>
            </w:pPr>
            <w:r>
              <w:br/>
            </w:r>
            <w:r>
              <w:br/>
              <w:t>12.50</w:t>
            </w:r>
          </w:p>
          <w:p>
            <w:pPr>
              <w:pStyle w:val="yTableNAm"/>
              <w:tabs>
                <w:tab w:val="clear" w:pos="567"/>
              </w:tabs>
              <w:ind w:right="206"/>
              <w:jc w:val="right"/>
            </w:pPr>
            <w:r>
              <w:br/>
              <w:t>27.00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9.00</w:t>
            </w:r>
          </w:p>
          <w:p>
            <w:pPr>
              <w:pStyle w:val="yTableNAm"/>
              <w:tabs>
                <w:tab w:val="clear" w:pos="567"/>
              </w:tabs>
              <w:ind w:right="204"/>
              <w:jc w:val="right"/>
            </w:pPr>
            <w:r>
              <w:br/>
            </w:r>
            <w:r>
              <w:br/>
              <w:t>1.15</w:t>
            </w:r>
          </w:p>
          <w:p>
            <w:pPr>
              <w:pStyle w:val="yTableNAm"/>
              <w:tabs>
                <w:tab w:val="clear" w:pos="567"/>
              </w:tabs>
              <w:ind w:right="204"/>
              <w:jc w:val="right"/>
            </w:pPr>
            <w:r>
              <w:br/>
            </w:r>
            <w:r>
              <w:br/>
              <w:t>12.50</w:t>
            </w:r>
          </w:p>
          <w:p>
            <w:pPr>
              <w:pStyle w:val="yTableNAm"/>
              <w:tabs>
                <w:tab w:val="clear" w:pos="567"/>
              </w:tabs>
              <w:ind w:right="204"/>
              <w:jc w:val="right"/>
            </w:pPr>
            <w:r>
              <w:br/>
              <w:t>27.00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5.05</w:t>
            </w:r>
          </w:p>
          <w:p>
            <w:pPr>
              <w:pStyle w:val="yTableNAm"/>
              <w:tabs>
                <w:tab w:val="clear" w:pos="567"/>
              </w:tabs>
              <w:ind w:right="206"/>
              <w:jc w:val="right"/>
            </w:pPr>
            <w:r>
              <w:br/>
            </w:r>
            <w:r>
              <w:br/>
            </w:r>
            <w:r>
              <w:br/>
            </w:r>
            <w:r>
              <w:br/>
            </w:r>
            <w:r>
              <w:br/>
              <w:t>12.50</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t>  5.05</w:t>
            </w:r>
          </w:p>
          <w:p>
            <w:pPr>
              <w:pStyle w:val="yTableNAm"/>
              <w:tabs>
                <w:tab w:val="clear" w:pos="567"/>
              </w:tabs>
              <w:ind w:right="204"/>
              <w:jc w:val="right"/>
            </w:pPr>
            <w:r>
              <w:br/>
            </w:r>
            <w:r>
              <w:br/>
            </w:r>
            <w:r>
              <w:br/>
            </w:r>
            <w:r>
              <w:br/>
            </w:r>
            <w:r>
              <w:br/>
              <w:t>12.50</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w:t>
      </w:r>
    </w:p>
    <w:p>
      <w:pPr>
        <w:pStyle w:val="yScheduleHeading"/>
      </w:pPr>
      <w:bookmarkStart w:id="137" w:name="_Toc239758531"/>
      <w:bookmarkStart w:id="138" w:name="_Toc239761855"/>
      <w:bookmarkStart w:id="139" w:name="_Toc244333854"/>
      <w:bookmarkStart w:id="140" w:name="_Toc245873246"/>
      <w:bookmarkStart w:id="141" w:name="_Toc268173683"/>
      <w:r>
        <w:rPr>
          <w:rStyle w:val="CharSchNo"/>
        </w:rPr>
        <w:t>Schedule 2</w:t>
      </w:r>
      <w:r>
        <w:rPr>
          <w:rStyle w:val="CharSDivNo"/>
        </w:rPr>
        <w:t> </w:t>
      </w:r>
      <w:r>
        <w:t>—</w:t>
      </w:r>
      <w:r>
        <w:rPr>
          <w:rStyle w:val="CharSDivText"/>
        </w:rPr>
        <w:t> </w:t>
      </w:r>
      <w:r>
        <w:rPr>
          <w:rStyle w:val="CharSchText"/>
        </w:rPr>
        <w:t>Sheriff’s fees</w:t>
      </w:r>
      <w:bookmarkEnd w:id="137"/>
      <w:bookmarkEnd w:id="138"/>
      <w:bookmarkEnd w:id="139"/>
      <w:bookmarkEnd w:id="140"/>
      <w:bookmarkEnd w:id="141"/>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81.50</w:t>
            </w:r>
          </w:p>
          <w:p>
            <w:pPr>
              <w:pStyle w:val="yTableNAm"/>
              <w:tabs>
                <w:tab w:val="clear" w:pos="567"/>
              </w:tabs>
              <w:spacing w:before="80"/>
              <w:ind w:right="241"/>
              <w:jc w:val="right"/>
            </w:pPr>
            <w:r>
              <w:br/>
            </w:r>
            <w:r>
              <w:br/>
              <w:t>81.50</w:t>
            </w:r>
          </w:p>
          <w:p>
            <w:pPr>
              <w:pStyle w:val="yTableNAm"/>
              <w:tabs>
                <w:tab w:val="clear" w:pos="567"/>
              </w:tabs>
              <w:spacing w:before="80"/>
              <w:ind w:right="241"/>
              <w:jc w:val="right"/>
            </w:pPr>
            <w:r>
              <w:br/>
            </w:r>
            <w:r>
              <w:br/>
            </w:r>
            <w:r>
              <w:br/>
            </w:r>
            <w:r>
              <w:br/>
              <w:t>21.50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44.50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43.00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138.50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p>
    <w:p>
      <w:pPr>
        <w:pStyle w:val="yScheduleHeading"/>
      </w:pPr>
      <w:bookmarkStart w:id="142" w:name="_Toc239758532"/>
      <w:bookmarkStart w:id="143" w:name="_Toc239761856"/>
      <w:bookmarkStart w:id="144" w:name="_Toc244333855"/>
      <w:bookmarkStart w:id="145" w:name="_Toc245873247"/>
      <w:bookmarkStart w:id="146" w:name="_Toc268173684"/>
      <w:r>
        <w:rPr>
          <w:rStyle w:val="CharSchNo"/>
        </w:rPr>
        <w:t>Schedule 3</w:t>
      </w:r>
      <w:r>
        <w:t> — </w:t>
      </w:r>
      <w:r>
        <w:rPr>
          <w:rStyle w:val="CharSchText"/>
        </w:rPr>
        <w:t>Probate fees</w:t>
      </w:r>
      <w:bookmarkEnd w:id="142"/>
      <w:bookmarkEnd w:id="143"/>
      <w:bookmarkEnd w:id="144"/>
      <w:bookmarkEnd w:id="145"/>
      <w:bookmarkEnd w:id="14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12.50</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64.00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26.00</w:t>
            </w:r>
          </w:p>
        </w:tc>
      </w:tr>
    </w:tbl>
    <w:p>
      <w:pPr>
        <w:pStyle w:val="yFootnotesection"/>
      </w:pPr>
      <w:r>
        <w:tab/>
        <w:t>[Schedule 3 inserted in Gazette 4 Sep 2009 p. 3471-2.]</w:t>
      </w:r>
    </w:p>
    <w:p>
      <w:pPr>
        <w:pStyle w:val="yScheduleHeading"/>
      </w:pPr>
      <w:bookmarkStart w:id="147" w:name="_Toc244333856"/>
      <w:bookmarkStart w:id="148" w:name="_Toc245873248"/>
      <w:bookmarkStart w:id="149" w:name="_Toc268173685"/>
      <w:r>
        <w:rPr>
          <w:rStyle w:val="CharSchNo"/>
        </w:rPr>
        <w:t>Schedule 4</w:t>
      </w:r>
      <w:r>
        <w:t xml:space="preserve"> — </w:t>
      </w:r>
      <w:r>
        <w:rPr>
          <w:rStyle w:val="CharSchText"/>
        </w:rPr>
        <w:t>Forms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47"/>
      <w:bookmarkEnd w:id="148"/>
      <w:bookmarkEnd w:id="149"/>
    </w:p>
    <w:p>
      <w:pPr>
        <w:pStyle w:val="yShoulderClause"/>
        <w:spacing w:after="120"/>
      </w:pPr>
      <w:r>
        <w:t xml:space="preserve">[r. </w:t>
      </w:r>
      <w:bookmarkStart w:id="150" w:name="_Hlt533327436"/>
      <w:r>
        <w:t>4(7)</w:t>
      </w:r>
      <w:bookmarkEnd w:id="150"/>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1" w:name="_Toc102891015"/>
      <w:bookmarkStart w:id="152" w:name="_Toc107626250"/>
      <w:bookmarkStart w:id="153" w:name="_Toc139175210"/>
      <w:bookmarkStart w:id="154" w:name="_Toc139365941"/>
      <w:bookmarkStart w:id="155" w:name="_Toc141847812"/>
      <w:bookmarkStart w:id="156" w:name="_Toc142382646"/>
      <w:bookmarkStart w:id="157" w:name="_Toc144009329"/>
      <w:bookmarkStart w:id="158" w:name="_Toc144009445"/>
      <w:bookmarkStart w:id="159" w:name="_Toc144010743"/>
      <w:bookmarkStart w:id="160" w:name="_Toc144616507"/>
      <w:bookmarkStart w:id="161" w:name="_Toc145814170"/>
      <w:bookmarkStart w:id="162" w:name="_Toc170790396"/>
      <w:bookmarkStart w:id="163" w:name="_Toc171051026"/>
      <w:bookmarkStart w:id="164" w:name="_Toc202265392"/>
      <w:bookmarkStart w:id="165" w:name="_Toc232310904"/>
      <w:bookmarkStart w:id="166" w:name="_Toc233086413"/>
      <w:bookmarkStart w:id="167" w:name="_Toc233519306"/>
      <w:bookmarkStart w:id="168" w:name="_Toc233526465"/>
      <w:bookmarkStart w:id="169" w:name="_Toc244333857"/>
      <w:bookmarkStart w:id="170" w:name="_Toc245873249"/>
      <w:bookmarkStart w:id="171" w:name="_Toc268173686"/>
      <w:r>
        <w:t>Notes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72" w:name="_Toc268173687"/>
      <w:r>
        <w:t>Compilation table</w:t>
      </w:r>
      <w:bookmarkEnd w:id="172"/>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2010</w:t>
            </w:r>
          </w:p>
        </w:tc>
        <w:tc>
          <w:tcPr>
            <w:tcW w:w="1288" w:type="dxa"/>
            <w:gridSpan w:val="2"/>
            <w:tcBorders>
              <w:bottom w:val="single" w:sz="8" w:space="0" w:color="auto"/>
            </w:tcBorders>
          </w:tcPr>
          <w:p>
            <w:pPr>
              <w:pStyle w:val="nTable"/>
              <w:spacing w:after="40"/>
              <w:rPr>
                <w:sz w:val="19"/>
              </w:rPr>
            </w:pPr>
            <w:r>
              <w:rPr>
                <w:sz w:val="19"/>
              </w:rPr>
              <w:t>30 Jul 2010 p. 3496-7</w:t>
            </w:r>
          </w:p>
        </w:tc>
        <w:tc>
          <w:tcPr>
            <w:tcW w:w="2694" w:type="dxa"/>
            <w:gridSpan w:val="2"/>
            <w:tcBorders>
              <w:bottom w:val="single" w:sz="8"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173" w:name="_Toc233526467"/>
      <w:bookmarkStart w:id="174" w:name="_Toc244333859"/>
      <w:bookmarkStart w:id="175" w:name="_Toc245873251"/>
      <w:bookmarkStart w:id="176" w:name="_Toc268173688"/>
      <w:r>
        <w:rPr>
          <w:sz w:val="28"/>
        </w:rPr>
        <w:t>Defined Terms</w:t>
      </w:r>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bookmarkStart w:id="178" w:name="UpToHere"/>
      <w:bookmarkEnd w:id="178"/>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44"/>
    <w:docVar w:name="WAFER_20151210160644" w:val="RemoveTrackChanges"/>
    <w:docVar w:name="WAFER_20151210160644_GUID" w:val="51fe5ffa-8cea-4b2c-8efc-e668b171e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7836</Words>
  <Characters>40122</Characters>
  <Application>Microsoft Office Word</Application>
  <DocSecurity>0</DocSecurity>
  <Lines>1823</Lines>
  <Paragraphs>959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46999</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2002 - 02-b0-02</dc:title>
  <dc:subject/>
  <dc:creator/>
  <cp:keywords/>
  <dc:description/>
  <cp:lastModifiedBy>svcMRProcess</cp:lastModifiedBy>
  <cp:revision>4</cp:revision>
  <cp:lastPrinted>2009-11-13T03:17:00Z</cp:lastPrinted>
  <dcterms:created xsi:type="dcterms:W3CDTF">2018-09-16T21:45:00Z</dcterms:created>
  <dcterms:modified xsi:type="dcterms:W3CDTF">2018-09-16T21:45:00Z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31 Jul 2010</vt:lpwstr>
  </property>
  <property fmtid="{D5CDD505-2E9C-101B-9397-08002B2CF9AE}" pid="8" name="Suffix">
    <vt:lpwstr>02-b0-02</vt:lpwstr>
  </property>
</Properties>
</file>