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Retail Trading Hours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Retail Trading Hours (Tourism Precincts and Holiday Resorts) Regulations 2007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Retail Trading Hours (Special Trading Precincts and Holiday Resorts) Regulations (No. 2) 2010 </w:t>
      </w:r>
      <w:r>
        <w:rPr>
          <w:color w:val="000000"/>
          <w:sz w:val="22"/>
          <w:szCs w:val="22"/>
        </w:rPr>
        <w:t>r. 9 as at 23 Oct 2010 (see r. 2(c)).</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(Tourism Precincts and Holiday Resorts)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_Toc426634943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_Toc426634944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Fremantle tourism precinct prescribed</w:t>
      </w:r>
      <w:r>
        <w:tab/>
      </w:r>
      <w:r>
        <w:fldChar w:fldCharType="begin"/>
      </w:r>
      <w:r>
        <w:instrText xml:space="preserve"> PAGEREF _Toc426634945 \h </w:instrText>
      </w:r>
      <w:r>
        <w:fldChar w:fldCharType="separate"/>
      </w:r>
      <w:r>
        <w:t>1</w:t>
      </w:r>
      <w:r>
        <w:fldChar w:fldCharType="end"/>
      </w:r>
    </w:p>
    <w:p>
      <w:pPr>
        <w:pStyle w:val="TOC8"/>
        <w:rPr>
          <w:rFonts w:asciiTheme="minorHAnsi" w:eastAsiaTheme="minorEastAsia" w:hAnsiTheme="minorHAnsi" w:cstheme="minorBidi"/>
          <w:szCs w:val="22"/>
        </w:rPr>
      </w:pPr>
      <w:r>
        <w:t>4.</w:t>
      </w:r>
      <w:r>
        <w:tab/>
        <w:t>Perth tourism precinct prescribed</w:t>
      </w:r>
      <w:r>
        <w:tab/>
      </w:r>
      <w:r>
        <w:fldChar w:fldCharType="begin"/>
      </w:r>
      <w:r>
        <w:instrText xml:space="preserve"> PAGEREF _Toc426634946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Holiday resorts prescribed</w:t>
      </w:r>
      <w:r>
        <w:tab/>
      </w:r>
      <w:r>
        <w:fldChar w:fldCharType="begin"/>
      </w:r>
      <w:r>
        <w:instrText xml:space="preserve"> PAGEREF _Toc426634947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Tourism precincts</w:t>
      </w:r>
    </w:p>
    <w:p>
      <w:pPr>
        <w:pStyle w:val="TOC4"/>
        <w:tabs>
          <w:tab w:val="right" w:leader="dot" w:pos="7077"/>
        </w:tabs>
        <w:rPr>
          <w:rFonts w:asciiTheme="minorHAnsi" w:eastAsiaTheme="minorEastAsia" w:hAnsiTheme="minorHAnsi" w:cstheme="minorBidi"/>
          <w:b w:val="0"/>
          <w:szCs w:val="22"/>
        </w:rPr>
      </w:pPr>
      <w:r>
        <w:t>Division 1</w:t>
      </w:r>
      <w:r>
        <w:rPr>
          <w:b w:val="0"/>
        </w:rPr>
        <w:t> — </w:t>
      </w:r>
      <w:r>
        <w:t>Fremantle tourism precinct</w:t>
      </w:r>
    </w:p>
    <w:p>
      <w:pPr>
        <w:pStyle w:val="TOC4"/>
        <w:tabs>
          <w:tab w:val="right" w:leader="dot" w:pos="7077"/>
        </w:tabs>
        <w:rPr>
          <w:rFonts w:asciiTheme="minorHAnsi" w:eastAsiaTheme="minorEastAsia" w:hAnsiTheme="minorHAnsi" w:cstheme="minorBidi"/>
          <w:b w:val="0"/>
          <w:szCs w:val="22"/>
        </w:rPr>
      </w:pPr>
      <w:r>
        <w:t>Division 2</w:t>
      </w:r>
      <w:r>
        <w:rPr>
          <w:b w:val="0"/>
        </w:rPr>
        <w:t> — </w:t>
      </w:r>
      <w:r>
        <w:t>Perth tourism precinct</w:t>
      </w:r>
    </w:p>
    <w:p>
      <w:pPr>
        <w:pStyle w:val="TOC2"/>
        <w:tabs>
          <w:tab w:val="right" w:leader="dot" w:pos="7077"/>
        </w:tabs>
        <w:rPr>
          <w:rFonts w:asciiTheme="minorHAnsi" w:eastAsiaTheme="minorEastAsia" w:hAnsiTheme="minorHAnsi" w:cstheme="minorBidi"/>
          <w:b w:val="0"/>
          <w:sz w:val="22"/>
          <w:szCs w:val="22"/>
        </w:rPr>
      </w:pPr>
      <w:r>
        <w:t>Schedule 2 — Holiday resorts</w:t>
      </w:r>
    </w:p>
    <w:p>
      <w:pPr>
        <w:pStyle w:val="TOC4"/>
        <w:tabs>
          <w:tab w:val="right" w:leader="dot" w:pos="7077"/>
        </w:tabs>
        <w:rPr>
          <w:rFonts w:asciiTheme="minorHAnsi" w:eastAsiaTheme="minorEastAsia" w:hAnsiTheme="minorHAnsi" w:cstheme="minorBidi"/>
          <w:b w:val="0"/>
          <w:szCs w:val="22"/>
        </w:rPr>
      </w:pPr>
      <w:r>
        <w:t>Division 1 — Rockingham holiday resort</w:t>
      </w:r>
    </w:p>
    <w:p>
      <w:pPr>
        <w:pStyle w:val="TOC4"/>
        <w:tabs>
          <w:tab w:val="right" w:leader="dot" w:pos="7077"/>
        </w:tabs>
        <w:rPr>
          <w:rFonts w:asciiTheme="minorHAnsi" w:eastAsiaTheme="minorEastAsia" w:hAnsiTheme="minorHAnsi" w:cstheme="minorBidi"/>
          <w:b w:val="0"/>
          <w:szCs w:val="22"/>
        </w:rPr>
      </w:pPr>
      <w:r>
        <w:t>Division 2 — Rottnest Island holiday resort</w:t>
      </w:r>
    </w:p>
    <w:p>
      <w:pPr>
        <w:pStyle w:val="TOC4"/>
        <w:tabs>
          <w:tab w:val="right" w:leader="dot" w:pos="7077"/>
        </w:tabs>
        <w:rPr>
          <w:rFonts w:asciiTheme="minorHAnsi" w:eastAsiaTheme="minorEastAsia" w:hAnsiTheme="minorHAnsi" w:cstheme="minorBidi"/>
          <w:b w:val="0"/>
          <w:szCs w:val="22"/>
        </w:rPr>
      </w:pPr>
      <w:r>
        <w:t>Division 3 — Wanneroo holiday resort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_Toc426634956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Retail Trading Hours Act 1987</w:t>
      </w:r>
    </w:p>
    <w:p>
      <w:pPr>
        <w:pStyle w:val="NameofActReg"/>
      </w:pPr>
      <w:r>
        <w:t>Retail Trading Hours (Tourism Precincts and Holiday Resorts) Regulations 2007</w:t>
      </w:r>
    </w:p>
    <w:p>
      <w:pPr>
        <w:pStyle w:val="Heading5"/>
      </w:pPr>
      <w:bookmarkStart w:id="3" w:name="_Toc378769838"/>
      <w:bookmarkStart w:id="4" w:name="_Toc42663494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Retail Trading Hours (Tourism Precincts and Holiday Resorts) Regulations 2007</w:t>
      </w:r>
      <w:r>
        <w:t>.</w:t>
      </w:r>
    </w:p>
    <w:p>
      <w:pPr>
        <w:pStyle w:val="Heading5"/>
        <w:rPr>
          <w:spacing w:val="-2"/>
        </w:rPr>
      </w:pPr>
      <w:bookmarkStart w:id="5" w:name="_Toc378769839"/>
      <w:bookmarkStart w:id="6" w:name="_Toc426634944"/>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w:t>
      </w:r>
      <w:r>
        <w:rPr>
          <w:rFonts w:ascii="Times" w:hAnsi="Times"/>
        </w:rPr>
        <w:t xml:space="preserve">the day on which the </w:t>
      </w:r>
      <w:r>
        <w:rPr>
          <w:rFonts w:ascii="Times" w:hAnsi="Times"/>
          <w:i/>
          <w:iCs/>
        </w:rPr>
        <w:t>Retail Shops and Fair Trading Legislation Amendment Act 2006</w:t>
      </w:r>
      <w:r>
        <w:rPr>
          <w:rFonts w:ascii="Times" w:hAnsi="Times"/>
        </w:rPr>
        <w:t>* section 9 comes into operation.</w:t>
      </w:r>
    </w:p>
    <w:p>
      <w:pPr>
        <w:pStyle w:val="Subsection"/>
        <w:tabs>
          <w:tab w:val="clear" w:pos="595"/>
          <w:tab w:val="left" w:pos="1134"/>
        </w:tabs>
        <w:ind w:left="1134" w:hanging="1134"/>
        <w:rPr>
          <w:spacing w:val="-2"/>
        </w:rPr>
      </w:pPr>
      <w:r>
        <w:tab/>
        <w:t>[*</w:t>
      </w:r>
      <w:r>
        <w:tab/>
      </w:r>
      <w:r>
        <w:rPr>
          <w:i/>
          <w:iCs/>
        </w:rPr>
        <w:t>Act No. 47 of 2006</w:t>
      </w:r>
      <w:r>
        <w:t>.]</w:t>
      </w:r>
    </w:p>
    <w:p>
      <w:pPr>
        <w:pStyle w:val="Heading5"/>
        <w:rPr>
          <w:snapToGrid w:val="0"/>
        </w:rPr>
      </w:pPr>
      <w:bookmarkStart w:id="7" w:name="_Toc378769840"/>
      <w:bookmarkStart w:id="8" w:name="_Toc426634945"/>
      <w:r>
        <w:rPr>
          <w:rStyle w:val="CharSectno"/>
        </w:rPr>
        <w:t>3</w:t>
      </w:r>
      <w:r>
        <w:rPr>
          <w:snapToGrid w:val="0"/>
        </w:rPr>
        <w:t>.</w:t>
      </w:r>
      <w:r>
        <w:rPr>
          <w:snapToGrid w:val="0"/>
        </w:rPr>
        <w:tab/>
        <w:t>Fremantle tourism precinct prescribed</w:t>
      </w:r>
      <w:bookmarkEnd w:id="7"/>
      <w:bookmarkEnd w:id="8"/>
    </w:p>
    <w:p>
      <w:pPr>
        <w:pStyle w:val="Subsection"/>
      </w:pPr>
      <w:r>
        <w:tab/>
      </w:r>
      <w:r>
        <w:tab/>
        <w:t>The area of the State described in Schedule 1 Division 1 is prescribed as the Fremantle tourism precinct for the purpose of section 12A(4) of the Act.</w:t>
      </w:r>
    </w:p>
    <w:p>
      <w:pPr>
        <w:pStyle w:val="Footnotesection"/>
      </w:pPr>
      <w:r>
        <w:tab/>
        <w:t>[Regulation 3 amended in Gazette 26 Mar 2010 p. 1134.]</w:t>
      </w:r>
    </w:p>
    <w:p>
      <w:pPr>
        <w:pStyle w:val="Heading5"/>
      </w:pPr>
      <w:bookmarkStart w:id="9" w:name="_Toc378769841"/>
      <w:bookmarkStart w:id="10" w:name="_Toc426634946"/>
      <w:r>
        <w:rPr>
          <w:rStyle w:val="CharSectno"/>
        </w:rPr>
        <w:t>4</w:t>
      </w:r>
      <w:r>
        <w:t>.</w:t>
      </w:r>
      <w:r>
        <w:tab/>
        <w:t>Perth tourism precinct prescribed</w:t>
      </w:r>
      <w:bookmarkEnd w:id="9"/>
      <w:bookmarkEnd w:id="10"/>
    </w:p>
    <w:p>
      <w:pPr>
        <w:pStyle w:val="Subsection"/>
      </w:pPr>
      <w:r>
        <w:tab/>
      </w:r>
      <w:r>
        <w:tab/>
        <w:t>The area of the State described in Schedule 1 Division 2 is prescribed as the Perth tourism precinct for the purpose of section 12A(4) of the Act.</w:t>
      </w:r>
    </w:p>
    <w:p>
      <w:pPr>
        <w:pStyle w:val="Footnotesection"/>
      </w:pPr>
      <w:r>
        <w:tab/>
        <w:t>[Regulation 4 inserted in Gazette 24 Nov 2009 p. 4733; amended in Gazette 26 Mar 2010 p. 1134.]</w:t>
      </w:r>
    </w:p>
    <w:p>
      <w:pPr>
        <w:pStyle w:val="Heading5"/>
        <w:rPr>
          <w:snapToGrid w:val="0"/>
        </w:rPr>
      </w:pPr>
      <w:bookmarkStart w:id="11" w:name="_Toc378769842"/>
      <w:bookmarkStart w:id="12" w:name="_Toc426634947"/>
      <w:r>
        <w:rPr>
          <w:rStyle w:val="CharSectno"/>
        </w:rPr>
        <w:t>5</w:t>
      </w:r>
      <w:r>
        <w:rPr>
          <w:snapToGrid w:val="0"/>
        </w:rPr>
        <w:t>.</w:t>
      </w:r>
      <w:r>
        <w:rPr>
          <w:snapToGrid w:val="0"/>
        </w:rPr>
        <w:tab/>
        <w:t>Holiday resorts prescribed</w:t>
      </w:r>
      <w:bookmarkEnd w:id="11"/>
      <w:bookmarkEnd w:id="12"/>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769843"/>
      <w:bookmarkStart w:id="14" w:name="_Toc426634948"/>
      <w:r>
        <w:rPr>
          <w:rStyle w:val="CharSchNo"/>
        </w:rPr>
        <w:t>Schedule 1</w:t>
      </w:r>
      <w:r>
        <w:t> — </w:t>
      </w:r>
      <w:r>
        <w:rPr>
          <w:rStyle w:val="CharSchText"/>
        </w:rPr>
        <w:t>Tourism precincts</w:t>
      </w:r>
      <w:bookmarkEnd w:id="13"/>
      <w:bookmarkEnd w:id="14"/>
    </w:p>
    <w:p>
      <w:pPr>
        <w:pStyle w:val="yShoulderClause"/>
      </w:pPr>
      <w:r>
        <w:t>[r. 3 &amp; 4]</w:t>
      </w:r>
    </w:p>
    <w:p>
      <w:pPr>
        <w:pStyle w:val="yHeading3"/>
      </w:pPr>
      <w:bookmarkStart w:id="15" w:name="_Toc378769844"/>
      <w:bookmarkStart w:id="16" w:name="_Toc426634949"/>
      <w:r>
        <w:rPr>
          <w:rStyle w:val="CharSDivNo"/>
        </w:rPr>
        <w:t>Division 1</w:t>
      </w:r>
      <w:r>
        <w:rPr>
          <w:b w:val="0"/>
        </w:rPr>
        <w:t> — </w:t>
      </w:r>
      <w:r>
        <w:rPr>
          <w:rStyle w:val="CharSDivText"/>
        </w:rPr>
        <w:t>Fremantle tourism precinct</w:t>
      </w:r>
      <w:bookmarkEnd w:id="15"/>
      <w:bookmarkEnd w:id="16"/>
    </w:p>
    <w:p>
      <w:pPr>
        <w:pStyle w:val="yFootnoteheading"/>
      </w:pPr>
      <w:r>
        <w:tab/>
        <w:t>[Heading inserted in Gazette 26 Mar 2010 p. 1134.]</w:t>
      </w:r>
    </w:p>
    <w:p>
      <w:pPr>
        <w:pStyle w:val="zyMiscellaneousBody"/>
      </w:pPr>
      <w:r>
        <w:t xml:space="preserve">That part of the district of Fremantle (as existing at the commencement of the </w:t>
      </w:r>
      <w:r>
        <w:rPr>
          <w:i/>
          <w:iCs/>
        </w:rPr>
        <w:t>Retail Trading Hours (Tourism Precincts and Holiday Resorts) Amendment Regulations 2010</w:t>
      </w:r>
      <w:r>
        <w:t xml:space="preserve"> regulation 6) that is south of the Swan River.  For information purposes, the prescribed area is shown below and shaded grey.</w:t>
      </w:r>
    </w:p>
    <w:p>
      <w:pPr>
        <w:pStyle w:val="zyMiscellaneousBody"/>
        <w:ind w:hanging="567"/>
      </w:pPr>
      <w:r>
        <w:rPr>
          <w:noProof/>
        </w:rPr>
        <w:drawing>
          <wp:inline distT="0" distB="0" distL="0" distR="0">
            <wp:extent cx="4495800" cy="3105150"/>
            <wp:effectExtent l="0" t="0" r="0" b="0"/>
            <wp:docPr id="1" name="Picture 1" descr="map-15n6q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5n6q90#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3105150"/>
                    </a:xfrm>
                    <a:prstGeom prst="rect">
                      <a:avLst/>
                    </a:prstGeom>
                    <a:noFill/>
                    <a:ln>
                      <a:noFill/>
                    </a:ln>
                  </pic:spPr>
                </pic:pic>
              </a:graphicData>
            </a:graphic>
          </wp:inline>
        </w:drawing>
      </w:r>
    </w:p>
    <w:p>
      <w:pPr>
        <w:pStyle w:val="yFootnotesection"/>
      </w:pPr>
      <w:r>
        <w:tab/>
        <w:t>[Division 1 inserted in Gazette 26 Mar 2010 p. 1134-5.]</w:t>
      </w:r>
    </w:p>
    <w:p>
      <w:pPr>
        <w:pStyle w:val="yHeading3"/>
        <w:pageBreakBefore/>
      </w:pPr>
      <w:bookmarkStart w:id="17" w:name="_Toc378769845"/>
      <w:bookmarkStart w:id="18" w:name="_Toc426634950"/>
      <w:r>
        <w:rPr>
          <w:rStyle w:val="CharSDivNo"/>
        </w:rPr>
        <w:t>Division 2</w:t>
      </w:r>
      <w:r>
        <w:rPr>
          <w:b w:val="0"/>
        </w:rPr>
        <w:t> — </w:t>
      </w:r>
      <w:r>
        <w:rPr>
          <w:rStyle w:val="CharSDivText"/>
        </w:rPr>
        <w:t>Perth tourism precinct</w:t>
      </w:r>
      <w:bookmarkEnd w:id="17"/>
      <w:bookmarkEnd w:id="18"/>
    </w:p>
    <w:p>
      <w:pPr>
        <w:pStyle w:val="yFootnoteheading"/>
      </w:pPr>
      <w:r>
        <w:tab/>
        <w:t>[Heading inserted in Gazette 24 Nov 2009 p. 4734.]</w:t>
      </w:r>
    </w:p>
    <w:p>
      <w:pPr>
        <w:pStyle w:val="ySubsection"/>
      </w:pPr>
      <w:r>
        <w:tab/>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w:t>
      </w:r>
    </w:p>
    <w:p>
      <w:pPr>
        <w:pStyle w:val="ySubsection"/>
      </w:pPr>
      <w:r>
        <w:tab/>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Subsection"/>
      </w:pPr>
      <w:r>
        <w:tab/>
        <w:t>(3)</w:t>
      </w:r>
      <w:r>
        <w:tab/>
        <w:t>The Perth tourism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yFootnotesection"/>
      </w:pPr>
      <w:r>
        <w:tab/>
        <w:t>[Division 2 inserted in Gazette 24 Nov 2009 p. 4734-5.]</w:t>
      </w:r>
    </w:p>
    <w:p>
      <w:pPr>
        <w:pStyle w:val="yScheduleHeading"/>
      </w:pPr>
      <w:bookmarkStart w:id="19" w:name="_Toc378769846"/>
      <w:bookmarkStart w:id="20" w:name="_Toc426634951"/>
      <w:r>
        <w:rPr>
          <w:rStyle w:val="CharSchNo"/>
        </w:rPr>
        <w:t>Schedule 2</w:t>
      </w:r>
      <w:r>
        <w:t> — </w:t>
      </w:r>
      <w:r>
        <w:rPr>
          <w:rStyle w:val="CharSchText"/>
        </w:rPr>
        <w:t>Holiday resorts</w:t>
      </w:r>
      <w:bookmarkEnd w:id="19"/>
      <w:bookmarkEnd w:id="20"/>
    </w:p>
    <w:p>
      <w:pPr>
        <w:pStyle w:val="yShoulderClause"/>
      </w:pPr>
      <w:r>
        <w:t>[r. 5]</w:t>
      </w:r>
    </w:p>
    <w:p>
      <w:pPr>
        <w:pStyle w:val="yHeading3"/>
      </w:pPr>
      <w:bookmarkStart w:id="21" w:name="_Toc378769847"/>
      <w:bookmarkStart w:id="22" w:name="_Toc426634952"/>
      <w:r>
        <w:rPr>
          <w:rStyle w:val="CharSDivNo"/>
        </w:rPr>
        <w:t>Division 1</w:t>
      </w:r>
      <w:r>
        <w:t> — </w:t>
      </w:r>
      <w:r>
        <w:rPr>
          <w:rStyle w:val="CharSDivText"/>
        </w:rPr>
        <w:t>Rockingham holiday resort</w:t>
      </w:r>
      <w:bookmarkEnd w:id="21"/>
      <w:bookmarkEnd w:id="22"/>
    </w:p>
    <w:p>
      <w:pPr>
        <w:pStyle w:val="ySubsection"/>
      </w:pPr>
      <w:r>
        <w:tab/>
      </w:r>
      <w:r>
        <w:tab/>
        <w:t>City of Rockingham.</w:t>
      </w:r>
    </w:p>
    <w:p>
      <w:pPr>
        <w:pStyle w:val="yHeading3"/>
      </w:pPr>
      <w:bookmarkStart w:id="23" w:name="_Toc378769848"/>
      <w:bookmarkStart w:id="24" w:name="_Toc426634953"/>
      <w:r>
        <w:rPr>
          <w:rStyle w:val="CharSDivNo"/>
        </w:rPr>
        <w:t>Division 2</w:t>
      </w:r>
      <w:r>
        <w:t> — </w:t>
      </w:r>
      <w:r>
        <w:rPr>
          <w:rStyle w:val="CharSDivText"/>
        </w:rPr>
        <w:t>Rottnest Island holiday resort</w:t>
      </w:r>
      <w:bookmarkEnd w:id="23"/>
      <w:bookmarkEnd w:id="24"/>
    </w:p>
    <w:p>
      <w:pPr>
        <w:pStyle w:val="ySubsection"/>
      </w:pPr>
      <w:r>
        <w:tab/>
      </w:r>
      <w:r>
        <w:tab/>
        <w:t>Rottnest Island.</w:t>
      </w:r>
    </w:p>
    <w:p>
      <w:pPr>
        <w:pStyle w:val="yHeading3"/>
        <w:rPr>
          <w:rStyle w:val="CharSDivText"/>
        </w:rPr>
      </w:pPr>
      <w:bookmarkStart w:id="25" w:name="_Toc378769849"/>
      <w:bookmarkStart w:id="26" w:name="_Toc426634954"/>
      <w:r>
        <w:rPr>
          <w:rStyle w:val="CharSDivNo"/>
        </w:rPr>
        <w:t>Division 3</w:t>
      </w:r>
      <w:r>
        <w:t> — </w:t>
      </w:r>
      <w:r>
        <w:rPr>
          <w:rStyle w:val="CharSDivText"/>
        </w:rPr>
        <w:t>Wanneroo holiday resort</w:t>
      </w:r>
      <w:bookmarkEnd w:id="25"/>
      <w:bookmarkEnd w:id="26"/>
    </w:p>
    <w:p>
      <w:pPr>
        <w:pStyle w:val="ySubsection"/>
        <w:rPr>
          <w:sz w:val="20"/>
        </w:rPr>
      </w:pPr>
      <w:r>
        <w:tab/>
      </w:r>
      <w:r>
        <w:tab/>
        <w:t>Localities of Two Rocks and Yanchep</w:t>
      </w:r>
      <w:r>
        <w:rPr>
          <w:sz w:val="20"/>
        </w:rPr>
        <w:t>.</w:t>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8" w:name="_Toc378769850"/>
      <w:bookmarkStart w:id="29" w:name="_Toc426634955"/>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(Tourism Precincts and Holiday Resorts) Regulations 2007</w:t>
      </w:r>
      <w:r>
        <w:rPr>
          <w:snapToGrid w:val="0"/>
        </w:rPr>
        <w:t xml:space="preserve"> and includes the amendments made by the other written laws referred to in the following table. </w:t>
      </w:r>
    </w:p>
    <w:p>
      <w:pPr>
        <w:pStyle w:val="nHeading3"/>
      </w:pPr>
      <w:bookmarkStart w:id="30" w:name="_Toc378769851"/>
      <w:bookmarkStart w:id="31" w:name="_Toc426634956"/>
      <w:r>
        <w:t>Compilation table</w:t>
      </w:r>
      <w:bookmarkEnd w:id="30"/>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left w:val="nil"/>
              <w:bottom w:val="nil"/>
            </w:tcBorders>
          </w:tcPr>
          <w:p>
            <w:pPr>
              <w:pStyle w:val="nTable"/>
              <w:spacing w:after="40"/>
            </w:pPr>
            <w:r>
              <w:rPr>
                <w:i/>
                <w:noProof/>
                <w:snapToGrid w:val="0"/>
              </w:rPr>
              <w:t>Retail Trading Hours (Tourism Precincts and Holiday Resorts) Regulations 2007</w:t>
            </w:r>
          </w:p>
        </w:tc>
        <w:tc>
          <w:tcPr>
            <w:tcW w:w="1276" w:type="dxa"/>
            <w:tcBorders>
              <w:top w:val="single" w:sz="4" w:space="0" w:color="auto"/>
              <w:bottom w:val="nil"/>
            </w:tcBorders>
          </w:tcPr>
          <w:p>
            <w:pPr>
              <w:pStyle w:val="nTable"/>
              <w:spacing w:after="40"/>
            </w:pPr>
            <w:r>
              <w:t>11 May 2007 p. 2019</w:t>
            </w:r>
            <w:r>
              <w:noBreakHyphen/>
              <w:t>25</w:t>
            </w:r>
          </w:p>
        </w:tc>
        <w:tc>
          <w:tcPr>
            <w:tcW w:w="2693" w:type="dxa"/>
            <w:tcBorders>
              <w:top w:val="single" w:sz="4" w:space="0" w:color="auto"/>
              <w:bottom w:val="nil"/>
              <w:right w:val="nil"/>
            </w:tcBorders>
          </w:tcPr>
          <w:p>
            <w:pPr>
              <w:pStyle w:val="nTable"/>
              <w:spacing w:after="40"/>
            </w:pPr>
            <w:r>
              <w:t xml:space="preserve">11 May 2007 (see r. 2 and </w:t>
            </w:r>
            <w:r>
              <w:rPr>
                <w:i/>
              </w:rPr>
              <w:t xml:space="preserve">Gazette  </w:t>
            </w:r>
            <w:r>
              <w:rPr>
                <w:iCs/>
              </w:rPr>
              <w:t>11</w:t>
            </w:r>
            <w:r>
              <w:t> May 2007 p. 2017)</w:t>
            </w:r>
          </w:p>
        </w:tc>
      </w:tr>
      <w:tr>
        <w:tc>
          <w:tcPr>
            <w:tcW w:w="3118" w:type="dxa"/>
            <w:tcBorders>
              <w:top w:val="nil"/>
              <w:bottom w:val="nil"/>
            </w:tcBorders>
          </w:tcPr>
          <w:p>
            <w:pPr>
              <w:pStyle w:val="nTable"/>
              <w:spacing w:after="40"/>
              <w:rPr>
                <w:i/>
                <w:noProof/>
                <w:snapToGrid w:val="0"/>
              </w:rPr>
            </w:pPr>
            <w:r>
              <w:rPr>
                <w:i/>
                <w:noProof/>
                <w:snapToGrid w:val="0"/>
              </w:rPr>
              <w:t>Retail Trading Hours (Tourism Precincts and Holiday Resorts) Amendment Regulations 2009</w:t>
            </w:r>
          </w:p>
        </w:tc>
        <w:tc>
          <w:tcPr>
            <w:tcW w:w="1276" w:type="dxa"/>
            <w:tcBorders>
              <w:top w:val="nil"/>
              <w:bottom w:val="nil"/>
            </w:tcBorders>
          </w:tcPr>
          <w:p>
            <w:pPr>
              <w:pStyle w:val="nTable"/>
              <w:spacing w:after="40"/>
            </w:pPr>
            <w:r>
              <w:rPr>
                <w:iCs/>
              </w:rPr>
              <w:t>14 Jul 2009 p. 2811</w:t>
            </w:r>
            <w:r>
              <w:rPr>
                <w:iCs/>
              </w:rPr>
              <w:noBreakHyphen/>
              <w:t>12</w:t>
            </w:r>
          </w:p>
        </w:tc>
        <w:tc>
          <w:tcPr>
            <w:tcW w:w="2693" w:type="dxa"/>
            <w:tcBorders>
              <w:top w:val="nil"/>
              <w:bottom w:val="nil"/>
            </w:tcBorders>
          </w:tcPr>
          <w:p>
            <w:pPr>
              <w:pStyle w:val="nTable"/>
              <w:spacing w:after="40"/>
            </w:pPr>
            <w:r>
              <w:rPr>
                <w:snapToGrid w:val="0"/>
                <w:spacing w:val="-2"/>
              </w:rPr>
              <w:t>r. 1 and 2: 14 Jul 2009 (see r. 2(a));</w:t>
            </w:r>
            <w:r>
              <w:rPr>
                <w:snapToGrid w:val="0"/>
                <w:spacing w:val="-2"/>
              </w:rPr>
              <w:br/>
              <w:t>Regulations other than r. 1 and 2: 15 Jul 2009 (see r. 2(b))</w:t>
            </w:r>
          </w:p>
        </w:tc>
      </w:tr>
      <w:tr>
        <w:trPr>
          <w:tblHeader/>
        </w:trPr>
        <w:tc>
          <w:tcPr>
            <w:tcW w:w="3118" w:type="dxa"/>
            <w:tcBorders>
              <w:top w:val="nil"/>
              <w:bottom w:val="nil"/>
            </w:tcBorders>
          </w:tcPr>
          <w:p>
            <w:pPr>
              <w:pStyle w:val="nTable"/>
              <w:spacing w:after="40"/>
              <w:rPr>
                <w:b/>
              </w:rPr>
            </w:pPr>
            <w:r>
              <w:rPr>
                <w:i/>
                <w:noProof/>
                <w:snapToGrid w:val="0"/>
              </w:rPr>
              <w:t>Retail Trading Hours (Tourism Precincts and Holiday Resorts) Amendment Regulations (No. 2) 2009</w:t>
            </w:r>
          </w:p>
        </w:tc>
        <w:tc>
          <w:tcPr>
            <w:tcW w:w="1276" w:type="dxa"/>
            <w:tcBorders>
              <w:top w:val="nil"/>
              <w:bottom w:val="nil"/>
            </w:tcBorders>
          </w:tcPr>
          <w:p>
            <w:pPr>
              <w:pStyle w:val="nTable"/>
              <w:spacing w:after="40"/>
              <w:rPr>
                <w:bCs/>
              </w:rPr>
            </w:pPr>
            <w:r>
              <w:rPr>
                <w:bCs/>
              </w:rPr>
              <w:t>24 Nov 2009 p. 4733</w:t>
            </w:r>
            <w:r>
              <w:rPr>
                <w:bCs/>
              </w:rPr>
              <w:noBreakHyphen/>
              <w:t>5</w:t>
            </w:r>
          </w:p>
        </w:tc>
        <w:tc>
          <w:tcPr>
            <w:tcW w:w="2693" w:type="dxa"/>
            <w:tcBorders>
              <w:top w:val="nil"/>
              <w:bottom w:val="nil"/>
            </w:tcBorders>
          </w:tcPr>
          <w:p>
            <w:pPr>
              <w:pStyle w:val="nTable"/>
              <w:spacing w:after="40"/>
              <w:rPr>
                <w:bCs/>
              </w:rPr>
            </w:pPr>
            <w:r>
              <w:rPr>
                <w:bCs/>
              </w:rPr>
              <w:t>r. 1 and 2: 24 Nov 2009 (see r. 2(a));</w:t>
            </w:r>
            <w:r>
              <w:rPr>
                <w:bCs/>
              </w:rPr>
              <w:br/>
              <w:t>Regulations other than r. 1 and 2: 1 Jan 2010 (see r. 2(b))</w:t>
            </w:r>
          </w:p>
        </w:tc>
      </w:tr>
      <w:tr>
        <w:trPr>
          <w:tblHeader/>
        </w:trPr>
        <w:tc>
          <w:tcPr>
            <w:tcW w:w="3118" w:type="dxa"/>
            <w:tcBorders>
              <w:top w:val="nil"/>
              <w:bottom w:val="nil"/>
            </w:tcBorders>
          </w:tcPr>
          <w:p>
            <w:pPr>
              <w:pStyle w:val="nTable"/>
              <w:spacing w:after="40"/>
              <w:rPr>
                <w:i/>
                <w:noProof/>
                <w:snapToGrid w:val="0"/>
              </w:rPr>
            </w:pPr>
            <w:r>
              <w:rPr>
                <w:i/>
                <w:noProof/>
                <w:snapToGrid w:val="0"/>
              </w:rPr>
              <w:t>Retail Trading Hours (Tourism Precincts and Holiday Resorts) Amendment Regulations 2010</w:t>
            </w:r>
          </w:p>
        </w:tc>
        <w:tc>
          <w:tcPr>
            <w:tcW w:w="1276" w:type="dxa"/>
            <w:tcBorders>
              <w:top w:val="nil"/>
              <w:bottom w:val="nil"/>
            </w:tcBorders>
          </w:tcPr>
          <w:p>
            <w:pPr>
              <w:pStyle w:val="nTable"/>
              <w:spacing w:after="40"/>
              <w:rPr>
                <w:bCs/>
              </w:rPr>
            </w:pPr>
            <w:r>
              <w:rPr>
                <w:bCs/>
              </w:rPr>
              <w:t>26 Mar 2010 p. 1134-5</w:t>
            </w:r>
          </w:p>
        </w:tc>
        <w:tc>
          <w:tcPr>
            <w:tcW w:w="2693" w:type="dxa"/>
            <w:tcBorders>
              <w:top w:val="nil"/>
              <w:bottom w:val="nil"/>
            </w:tcBorders>
          </w:tcPr>
          <w:p>
            <w:pPr>
              <w:pStyle w:val="nTable"/>
              <w:spacing w:after="40"/>
              <w:rPr>
                <w:bCs/>
              </w:rPr>
            </w:pPr>
            <w:r>
              <w:rPr>
                <w:bCs/>
              </w:rPr>
              <w:t>r. 1 and 2: 26 Mar 2010 (see r. 2(a));</w:t>
            </w:r>
            <w:r>
              <w:rPr>
                <w:bCs/>
              </w:rPr>
              <w:br/>
              <w:t>Regulations other than r. 1 and 2: 27 Mar 2010 (see r. 2(b))</w:t>
            </w:r>
          </w:p>
        </w:tc>
      </w:tr>
      <w:tr>
        <w:trPr>
          <w:cantSplit/>
          <w:tblHeader/>
        </w:trPr>
        <w:tc>
          <w:tcPr>
            <w:tcW w:w="7087" w:type="dxa"/>
            <w:gridSpan w:val="3"/>
            <w:tcBorders>
              <w:top w:val="nil"/>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Retail Trading Hours (Special Trading Precincts and Holiday Resorts) Regulations 2010</w:t>
            </w:r>
            <w:r>
              <w:rPr>
                <w:b/>
                <w:color w:val="FF0000"/>
              </w:rPr>
              <w:t xml:space="preserve"> r. 7 as at 31 Jul 2010 (see </w:t>
            </w:r>
            <w:r>
              <w:rPr>
                <w:b/>
                <w:i/>
                <w:iCs/>
                <w:color w:val="FF0000"/>
              </w:rPr>
              <w:t>Gazette</w:t>
            </w:r>
            <w:r>
              <w:rPr>
                <w:b/>
                <w:color w:val="FF0000"/>
              </w:rPr>
              <w:t xml:space="preserve"> 30 Jul 2010 p. 3526)</w:t>
            </w:r>
          </w:p>
        </w:tc>
      </w:tr>
    </w:tbl>
    <w:p>
      <w:pPr>
        <w:pStyle w:val="nSubsection"/>
        <w:tabs>
          <w:tab w:val="clear" w:pos="454"/>
          <w:tab w:val="left" w:pos="567"/>
        </w:tabs>
        <w:spacing w:before="0"/>
        <w:ind w:left="567" w:hanging="567"/>
        <w:rPr>
          <w:snapToGrid w:val="0"/>
          <w:vertAlign w:val="superscript"/>
        </w:rPr>
      </w:pP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(Tourism Precincts and Holiday Resorts)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7019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3449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1697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05E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B22D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4A7F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E49E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4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C60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D067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339"/>
    <w:docVar w:name="WAFER_20140129115334" w:val="RemoveTocBookmarks,RemoveUnusedBookmarks,RemoveLanguageTags,UsedStyles,ResetPageSize,UpdateArrangement"/>
    <w:docVar w:name="WAFER_20140129115334_GUID" w:val="915ebfb5-23b0-472a-9492-55d7e191d8c4"/>
    <w:docVar w:name="WAFER_20150806090750" w:val="ResetPageSize,UpdateArrangement,UpdateNTable"/>
    <w:docVar w:name="WAFER_20150806090750_GUID" w:val="a8560662-4fb8-496a-b1d1-344953415240"/>
    <w:docVar w:name="WAFER_20151117141555" w:val="UpdateStyles,UsedStyles"/>
    <w:docVar w:name="WAFER_20151117141555_GUID" w:val="bf1b41b9-522d-4870-8d92-be41f8e05fa9"/>
    <w:docVar w:name="WAFER_20151201111339" w:val="RemoveTrackChanges"/>
    <w:docVar w:name="WAFER_20151201111339_GUID" w:val="e9326949-6598-4ee6-83ef-fd197f0ba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1538</Words>
  <Characters>8000</Characters>
  <Application>Microsoft Office Word</Application>
  <DocSecurity>0</DocSecurity>
  <Lines>222</Lines>
  <Paragraphs>99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    Schedule 1 — Tourism precincts</vt:lpstr>
      <vt:lpstr>        Division 1 — Fremantle tourism precinct</vt:lpstr>
      <vt:lpstr>        Division 2 — Perth tourism precinct</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9439</CharactersWithSpaces>
  <SharedDoc>false</SharedDoc>
  <HLinks>
    <vt:vector size="6" baseType="variant">
      <vt:variant>
        <vt:i4>720989</vt:i4>
      </vt:variant>
      <vt:variant>
        <vt:i4>4335</vt:i4>
      </vt:variant>
      <vt:variant>
        <vt:i4>1025</vt:i4>
      </vt:variant>
      <vt:variant>
        <vt:i4>1</vt:i4>
      </vt:variant>
      <vt:variant>
        <vt:lpwstr>map-15n6q90#4.jpg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(Tourism Precincts and Holiday Resorts) Regulations 2007 - 00-f0-06</dc:title>
  <dc:subject/>
  <dc:creator/>
  <cp:keywords/>
  <dc:description/>
  <cp:lastModifiedBy>svcMRProcess</cp:lastModifiedBy>
  <cp:revision>4</cp:revision>
  <cp:lastPrinted>2007-05-01T03:00:00Z</cp:lastPrinted>
  <dcterms:created xsi:type="dcterms:W3CDTF">2019-04-08T02:45:00Z</dcterms:created>
  <dcterms:modified xsi:type="dcterms:W3CDTF">2019-04-08T02:45:00Z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May 2007 p 2027-31</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39736</vt:i4>
  </property>
  <property fmtid="{D5CDD505-2E9C-101B-9397-08002B2CF9AE}" pid="6" name="AsAtDate">
    <vt:lpwstr>31 Jul 2010</vt:lpwstr>
  </property>
  <property fmtid="{D5CDD505-2E9C-101B-9397-08002B2CF9AE}" pid="7" name="Suffix">
    <vt:lpwstr>00-f0-06</vt:lpwstr>
  </property>
  <property fmtid="{D5CDD505-2E9C-101B-9397-08002B2CF9AE}" pid="8" name="Status">
    <vt:lpwstr>NIF</vt:lpwstr>
  </property>
</Properties>
</file>