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_Toc270326498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_Toc270326499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_Toc270326500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 and transitional provisions</w:t>
      </w:r>
      <w:r>
        <w:tab/>
      </w:r>
      <w:r>
        <w:fldChar w:fldCharType="begin"/>
      </w:r>
      <w:r>
        <w:instrText xml:space="preserve"> PAGEREF _Toc270326501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Construction of this Act</w:t>
      </w:r>
      <w:r>
        <w:tab/>
      </w:r>
      <w:r>
        <w:fldChar w:fldCharType="begin"/>
      </w:r>
      <w:r>
        <w:instrText xml:space="preserve"> PAGEREF _Toc270326502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Crown bound</w:t>
      </w:r>
      <w:r>
        <w:tab/>
      </w:r>
      <w:r>
        <w:fldChar w:fldCharType="begin"/>
      </w:r>
      <w:r>
        <w:instrText xml:space="preserve"> PAGEREF _Toc270326503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Saving of rights at law</w:t>
      </w:r>
      <w:r>
        <w:tab/>
      </w:r>
      <w:r>
        <w:fldChar w:fldCharType="begin"/>
      </w:r>
      <w:r>
        <w:instrText xml:space="preserve"> PAGEREF _Toc270326504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_Toc270326505 \h </w:instrText>
      </w:r>
      <w:r>
        <w:fldChar w:fldCharType="separate"/>
      </w:r>
      <w:r>
        <w:t>7</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Application of the Act</w:t>
      </w:r>
    </w:p>
    <w:p>
      <w:pPr>
        <w:pStyle w:val="TOC8"/>
        <w:rPr>
          <w:sz w:val="24"/>
          <w:szCs w:val="24"/>
        </w:rPr>
      </w:pPr>
      <w:r>
        <w:rPr>
          <w:szCs w:val="24"/>
        </w:rPr>
        <w:t>9</w:t>
      </w:r>
      <w:r>
        <w:rPr>
          <w:snapToGrid w:val="0"/>
          <w:szCs w:val="24"/>
        </w:rPr>
        <w:t>.</w:t>
      </w:r>
      <w:r>
        <w:rPr>
          <w:snapToGrid w:val="0"/>
          <w:szCs w:val="24"/>
        </w:rPr>
        <w:tab/>
        <w:t>Application</w:t>
      </w:r>
      <w:r>
        <w:tab/>
      </w:r>
      <w:r>
        <w:fldChar w:fldCharType="begin"/>
      </w:r>
      <w:r>
        <w:instrText xml:space="preserve"> PAGEREF _Toc270326507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Management areas</w:t>
      </w:r>
      <w:r>
        <w:tab/>
      </w:r>
      <w:r>
        <w:fldChar w:fldCharType="begin"/>
      </w:r>
      <w:r>
        <w:instrText xml:space="preserve"> PAGEREF _Toc270326508 \h </w:instrText>
      </w:r>
      <w:r>
        <w:fldChar w:fldCharType="separate"/>
      </w:r>
      <w:r>
        <w:t>9</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Functions of the Minister</w:t>
      </w:r>
    </w:p>
    <w:p>
      <w:pPr>
        <w:pStyle w:val="TOC8"/>
        <w:rPr>
          <w:sz w:val="24"/>
          <w:szCs w:val="24"/>
        </w:rPr>
      </w:pPr>
      <w:r>
        <w:rPr>
          <w:szCs w:val="24"/>
        </w:rPr>
        <w:t>11.</w:t>
      </w:r>
      <w:r>
        <w:rPr>
          <w:szCs w:val="24"/>
        </w:rPr>
        <w:tab/>
        <w:t>Functions of the Minister</w:t>
      </w:r>
      <w:r>
        <w:tab/>
      </w:r>
      <w:r>
        <w:fldChar w:fldCharType="begin"/>
      </w:r>
      <w:r>
        <w:instrText xml:space="preserve"> PAGEREF _Toc270326510 \h </w:instrText>
      </w:r>
      <w:r>
        <w:fldChar w:fldCharType="separate"/>
      </w:r>
      <w:r>
        <w:t>11</w:t>
      </w:r>
      <w:r>
        <w:fldChar w:fldCharType="end"/>
      </w:r>
    </w:p>
    <w:p>
      <w:pPr>
        <w:pStyle w:val="TOC8"/>
        <w:rPr>
          <w:sz w:val="24"/>
          <w:szCs w:val="24"/>
        </w:rPr>
      </w:pPr>
      <w:r>
        <w:rPr>
          <w:szCs w:val="24"/>
        </w:rPr>
        <w:t>12.</w:t>
      </w:r>
      <w:r>
        <w:rPr>
          <w:szCs w:val="24"/>
        </w:rPr>
        <w:tab/>
        <w:t xml:space="preserve">Performance of the functions of the </w:t>
      </w:r>
      <w:r>
        <w:rPr>
          <w:snapToGrid w:val="0"/>
          <w:szCs w:val="24"/>
        </w:rPr>
        <w:t>Minister</w:t>
      </w:r>
      <w:r>
        <w:tab/>
      </w:r>
      <w:r>
        <w:fldChar w:fldCharType="begin"/>
      </w:r>
      <w:r>
        <w:instrText xml:space="preserve"> PAGEREF _Toc270326511 \h </w:instrText>
      </w:r>
      <w:r>
        <w:fldChar w:fldCharType="separate"/>
      </w:r>
      <w:r>
        <w:t>12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Agreements, management programmes and consultation</w:t>
      </w:r>
    </w:p>
    <w:p>
      <w:pPr>
        <w:pStyle w:val="TOC8"/>
        <w:rPr>
          <w:sz w:val="24"/>
          <w:szCs w:val="24"/>
        </w:rPr>
      </w:pPr>
      <w:r>
        <w:rPr>
          <w:szCs w:val="24"/>
        </w:rPr>
        <w:t>30.</w:t>
      </w:r>
      <w:r>
        <w:rPr>
          <w:szCs w:val="24"/>
        </w:rPr>
        <w:tab/>
        <w:t>Covenants</w:t>
      </w:r>
      <w:r>
        <w:tab/>
      </w:r>
      <w:r>
        <w:fldChar w:fldCharType="begin"/>
      </w:r>
      <w:r>
        <w:instrText xml:space="preserve"> PAGEREF _Toc270326513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Agreements as to private land</w:t>
      </w:r>
      <w:r>
        <w:tab/>
      </w:r>
      <w:r>
        <w:fldChar w:fldCharType="begin"/>
      </w:r>
      <w:r>
        <w:instrText xml:space="preserve"> PAGEREF _Toc270326514 \h </w:instrText>
      </w:r>
      <w:r>
        <w:fldChar w:fldCharType="separate"/>
      </w:r>
      <w:r>
        <w:t>14</w:t>
      </w:r>
      <w:r>
        <w:fldChar w:fldCharType="end"/>
      </w:r>
    </w:p>
    <w:p>
      <w:pPr>
        <w:pStyle w:val="TOC8"/>
        <w:rPr>
          <w:sz w:val="24"/>
          <w:szCs w:val="24"/>
        </w:rPr>
      </w:pPr>
      <w:r>
        <w:rPr>
          <w:szCs w:val="24"/>
        </w:rPr>
        <w:t>32</w:t>
      </w:r>
      <w:r>
        <w:rPr>
          <w:snapToGrid w:val="0"/>
          <w:szCs w:val="24"/>
        </w:rPr>
        <w:t>.</w:t>
      </w:r>
      <w:r>
        <w:rPr>
          <w:snapToGrid w:val="0"/>
          <w:szCs w:val="24"/>
        </w:rPr>
        <w:tab/>
        <w:t>Reserves may be placed under the control of the Minister</w:t>
      </w:r>
      <w:r>
        <w:tab/>
      </w:r>
      <w:r>
        <w:fldChar w:fldCharType="begin"/>
      </w:r>
      <w:r>
        <w:instrText xml:space="preserve"> PAGEREF _Toc270326515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Local government consultations, and initiatives</w:t>
      </w:r>
      <w:r>
        <w:tab/>
      </w:r>
      <w:r>
        <w:fldChar w:fldCharType="begin"/>
      </w:r>
      <w:r>
        <w:instrText xml:space="preserve"> PAGEREF _Toc270326516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Management programmes</w:t>
      </w:r>
      <w:r>
        <w:tab/>
      </w:r>
      <w:r>
        <w:fldChar w:fldCharType="begin"/>
      </w:r>
      <w:r>
        <w:instrText xml:space="preserve"> PAGEREF _Toc270326517 \h </w:instrText>
      </w:r>
      <w:r>
        <w:fldChar w:fldCharType="separate"/>
      </w:r>
      <w:r>
        <w:t>16</w:t>
      </w:r>
      <w:r>
        <w:fldChar w:fldCharType="end"/>
      </w:r>
    </w:p>
    <w:p>
      <w:pPr>
        <w:pStyle w:val="TOC8"/>
        <w:rPr>
          <w:sz w:val="24"/>
          <w:szCs w:val="24"/>
        </w:rPr>
      </w:pPr>
      <w:r>
        <w:rPr>
          <w:szCs w:val="24"/>
        </w:rPr>
        <w:t>36</w:t>
      </w:r>
      <w:r>
        <w:rPr>
          <w:snapToGrid w:val="0"/>
          <w:szCs w:val="24"/>
        </w:rPr>
        <w:t>.</w:t>
      </w:r>
      <w:r>
        <w:rPr>
          <w:snapToGrid w:val="0"/>
          <w:szCs w:val="24"/>
        </w:rPr>
        <w:tab/>
        <w:t>Town planning referrals</w:t>
      </w:r>
      <w:r>
        <w:tab/>
      </w:r>
      <w:r>
        <w:fldChar w:fldCharType="begin"/>
      </w:r>
      <w:r>
        <w:instrText xml:space="preserve"> PAGEREF _Toc270326518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Ministerial referrals</w:t>
      </w:r>
      <w:r>
        <w:tab/>
      </w:r>
      <w:r>
        <w:fldChar w:fldCharType="begin"/>
      </w:r>
      <w:r>
        <w:instrText xml:space="preserve"> PAGEREF _Toc270326519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Public referrals</w:t>
      </w:r>
      <w:r>
        <w:tab/>
      </w:r>
      <w:r>
        <w:fldChar w:fldCharType="begin"/>
      </w:r>
      <w:r>
        <w:instrText xml:space="preserve"> PAGEREF _Toc270326520 \h </w:instrText>
      </w:r>
      <w:r>
        <w:fldChar w:fldCharType="separate"/>
      </w:r>
      <w:r>
        <w:t>20</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Protection of waters and land</w:t>
      </w:r>
    </w:p>
    <w:p>
      <w:pPr>
        <w:pStyle w:val="TOC8"/>
        <w:rPr>
          <w:sz w:val="24"/>
          <w:szCs w:val="24"/>
        </w:rPr>
      </w:pPr>
      <w:r>
        <w:rPr>
          <w:szCs w:val="24"/>
        </w:rPr>
        <w:t>46</w:t>
      </w:r>
      <w:r>
        <w:rPr>
          <w:snapToGrid w:val="0"/>
          <w:szCs w:val="24"/>
        </w:rPr>
        <w:t>.</w:t>
      </w:r>
      <w:r>
        <w:rPr>
          <w:snapToGrid w:val="0"/>
          <w:szCs w:val="24"/>
        </w:rPr>
        <w:tab/>
        <w:t>Licences</w:t>
      </w:r>
      <w:r>
        <w:tab/>
      </w:r>
      <w:r>
        <w:fldChar w:fldCharType="begin"/>
      </w:r>
      <w:r>
        <w:instrText xml:space="preserve"> PAGEREF _Toc270326522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Disposal licences</w:t>
      </w:r>
      <w:r>
        <w:tab/>
      </w:r>
      <w:r>
        <w:fldChar w:fldCharType="begin"/>
      </w:r>
      <w:r>
        <w:instrText xml:space="preserve"> PAGEREF _Toc270326523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Control of pollution, and the use of waters</w:t>
      </w:r>
      <w:r>
        <w:tab/>
      </w:r>
      <w:r>
        <w:fldChar w:fldCharType="begin"/>
      </w:r>
      <w:r>
        <w:instrText xml:space="preserve"> PAGEREF _Toc270326524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Injunctions</w:t>
      </w:r>
      <w:r>
        <w:tab/>
      </w:r>
      <w:r>
        <w:fldChar w:fldCharType="begin"/>
      </w:r>
      <w:r>
        <w:instrText xml:space="preserve"> PAGEREF _Toc270326525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Orders</w:t>
      </w:r>
      <w:r>
        <w:tab/>
      </w:r>
      <w:r>
        <w:fldChar w:fldCharType="begin"/>
      </w:r>
      <w:r>
        <w:instrText xml:space="preserve"> PAGEREF _Toc270326526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Removal of structures</w:t>
      </w:r>
      <w:r>
        <w:tab/>
      </w:r>
      <w:r>
        <w:fldChar w:fldCharType="begin"/>
      </w:r>
      <w:r>
        <w:instrText xml:space="preserve"> PAGEREF _Toc270326527 \h </w:instrText>
      </w:r>
      <w:r>
        <w:fldChar w:fldCharType="separate"/>
      </w:r>
      <w:r>
        <w:t>30</w:t>
      </w:r>
      <w:r>
        <w:fldChar w:fldCharType="end"/>
      </w:r>
    </w:p>
    <w:p>
      <w:pPr>
        <w:pStyle w:val="TOC8"/>
        <w:rPr>
          <w:sz w:val="24"/>
          <w:szCs w:val="24"/>
        </w:rPr>
      </w:pPr>
      <w:r>
        <w:rPr>
          <w:szCs w:val="24"/>
        </w:rPr>
        <w:t>52</w:t>
      </w:r>
      <w:r>
        <w:rPr>
          <w:snapToGrid w:val="0"/>
          <w:szCs w:val="24"/>
        </w:rPr>
        <w:t>.</w:t>
      </w:r>
      <w:r>
        <w:rPr>
          <w:snapToGrid w:val="0"/>
          <w:szCs w:val="24"/>
        </w:rPr>
        <w:tab/>
        <w:t>Remedial works</w:t>
      </w:r>
      <w:r>
        <w:tab/>
      </w:r>
      <w:r>
        <w:fldChar w:fldCharType="begin"/>
      </w:r>
      <w:r>
        <w:instrText xml:space="preserve"> PAGEREF _Toc270326528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Recovery of expenses</w:t>
      </w:r>
      <w:r>
        <w:tab/>
      </w:r>
      <w:r>
        <w:fldChar w:fldCharType="begin"/>
      </w:r>
      <w:r>
        <w:instrText xml:space="preserve"> PAGEREF _Toc270326529 \h </w:instrText>
      </w:r>
      <w:r>
        <w:fldChar w:fldCharType="separate"/>
      </w:r>
      <w:r>
        <w:t>31</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General provisions</w:t>
      </w:r>
    </w:p>
    <w:p>
      <w:pPr>
        <w:pStyle w:val="TOC4"/>
        <w:tabs>
          <w:tab w:val="right" w:leader="dot" w:pos="7086"/>
        </w:tabs>
        <w:rPr>
          <w:b w:val="0"/>
          <w:sz w:val="24"/>
          <w:szCs w:val="24"/>
        </w:rPr>
      </w:pPr>
      <w:r>
        <w:rPr>
          <w:szCs w:val="26"/>
        </w:rPr>
        <w:t>Division 1 — By</w:t>
      </w:r>
      <w:r>
        <w:rPr>
          <w:szCs w:val="26"/>
        </w:rPr>
        <w:noBreakHyphen/>
        <w:t>laws</w:t>
      </w:r>
    </w:p>
    <w:p>
      <w:pPr>
        <w:pStyle w:val="TOC8"/>
        <w:rPr>
          <w:sz w:val="24"/>
          <w:szCs w:val="24"/>
        </w:rPr>
      </w:pPr>
      <w:r>
        <w:rPr>
          <w:szCs w:val="24"/>
        </w:rPr>
        <w:t>54.</w:t>
      </w:r>
      <w:r>
        <w:rPr>
          <w:szCs w:val="24"/>
        </w:rPr>
        <w:tab/>
        <w:t>By</w:t>
      </w:r>
      <w:r>
        <w:rPr>
          <w:szCs w:val="24"/>
        </w:rPr>
        <w:noBreakHyphen/>
        <w:t>laws</w:t>
      </w:r>
      <w:r>
        <w:tab/>
      </w:r>
      <w:r>
        <w:fldChar w:fldCharType="begin"/>
      </w:r>
      <w:r>
        <w:instrText xml:space="preserve"> PAGEREF _Toc270326532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General provisions relating to by</w:t>
      </w:r>
      <w:r>
        <w:rPr>
          <w:snapToGrid w:val="0"/>
          <w:szCs w:val="24"/>
        </w:rPr>
        <w:noBreakHyphen/>
        <w:t>laws</w:t>
      </w:r>
      <w:r>
        <w:tab/>
      </w:r>
      <w:r>
        <w:fldChar w:fldCharType="begin"/>
      </w:r>
      <w:r>
        <w:instrText xml:space="preserve"> PAGEREF _Toc270326533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Local laws</w:t>
      </w:r>
      <w:r>
        <w:tab/>
      </w:r>
      <w:r>
        <w:fldChar w:fldCharType="begin"/>
      </w:r>
      <w:r>
        <w:instrText xml:space="preserve"> PAGEREF _Toc270326534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Inconsistency of by</w:t>
      </w:r>
      <w:r>
        <w:rPr>
          <w:snapToGrid w:val="0"/>
          <w:szCs w:val="24"/>
        </w:rPr>
        <w:noBreakHyphen/>
        <w:t>laws with regulations</w:t>
      </w:r>
      <w:r>
        <w:tab/>
      </w:r>
      <w:r>
        <w:fldChar w:fldCharType="begin"/>
      </w:r>
      <w:r>
        <w:instrText xml:space="preserve"> PAGEREF _Toc270326535 \h </w:instrText>
      </w:r>
      <w:r>
        <w:fldChar w:fldCharType="separate"/>
      </w:r>
      <w:r>
        <w:t>34</w:t>
      </w:r>
      <w:r>
        <w:fldChar w:fldCharType="end"/>
      </w:r>
    </w:p>
    <w:p>
      <w:pPr>
        <w:pStyle w:val="TOC4"/>
        <w:tabs>
          <w:tab w:val="right" w:leader="dot" w:pos="7086"/>
        </w:tabs>
        <w:rPr>
          <w:b w:val="0"/>
          <w:sz w:val="24"/>
          <w:szCs w:val="24"/>
        </w:rPr>
      </w:pPr>
      <w:r>
        <w:rPr>
          <w:szCs w:val="26"/>
        </w:rPr>
        <w:t>Division 2 — Enforcement provisions</w:t>
      </w:r>
    </w:p>
    <w:p>
      <w:pPr>
        <w:pStyle w:val="TOC8"/>
        <w:rPr>
          <w:sz w:val="24"/>
          <w:szCs w:val="24"/>
        </w:rPr>
      </w:pPr>
      <w:r>
        <w:rPr>
          <w:szCs w:val="24"/>
        </w:rPr>
        <w:t>61</w:t>
      </w:r>
      <w:r>
        <w:rPr>
          <w:snapToGrid w:val="0"/>
          <w:szCs w:val="24"/>
        </w:rPr>
        <w:t>.</w:t>
      </w:r>
      <w:r>
        <w:rPr>
          <w:snapToGrid w:val="0"/>
          <w:szCs w:val="24"/>
        </w:rPr>
        <w:tab/>
        <w:t>Inspectors</w:t>
      </w:r>
      <w:r>
        <w:tab/>
      </w:r>
      <w:r>
        <w:fldChar w:fldCharType="begin"/>
      </w:r>
      <w:r>
        <w:instrText xml:space="preserve"> PAGEREF _Toc270326537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Honorary wardens</w:t>
      </w:r>
      <w:r>
        <w:tab/>
      </w:r>
      <w:r>
        <w:fldChar w:fldCharType="begin"/>
      </w:r>
      <w:r>
        <w:instrText xml:space="preserve"> PAGEREF _Toc270326538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Powers of inspectors, etc.</w:t>
      </w:r>
      <w:r>
        <w:tab/>
      </w:r>
      <w:r>
        <w:fldChar w:fldCharType="begin"/>
      </w:r>
      <w:r>
        <w:instrText xml:space="preserve"> PAGEREF _Toc270326539 \h </w:instrText>
      </w:r>
      <w:r>
        <w:fldChar w:fldCharType="separate"/>
      </w:r>
      <w:r>
        <w:t>36</w:t>
      </w:r>
      <w:r>
        <w:fldChar w:fldCharType="end"/>
      </w:r>
    </w:p>
    <w:p>
      <w:pPr>
        <w:pStyle w:val="TOC8"/>
        <w:rPr>
          <w:sz w:val="24"/>
          <w:szCs w:val="24"/>
        </w:rPr>
      </w:pPr>
      <w:r>
        <w:rPr>
          <w:szCs w:val="24"/>
        </w:rPr>
        <w:t>64</w:t>
      </w:r>
      <w:r>
        <w:rPr>
          <w:snapToGrid w:val="0"/>
          <w:szCs w:val="24"/>
        </w:rPr>
        <w:t>.</w:t>
      </w:r>
      <w:r>
        <w:rPr>
          <w:snapToGrid w:val="0"/>
          <w:szCs w:val="24"/>
        </w:rPr>
        <w:tab/>
        <w:t>Duty of police officers etc.</w:t>
      </w:r>
      <w:r>
        <w:tab/>
      </w:r>
      <w:r>
        <w:fldChar w:fldCharType="begin"/>
      </w:r>
      <w:r>
        <w:instrText xml:space="preserve"> PAGEREF _Toc270326540 \h </w:instrText>
      </w:r>
      <w:r>
        <w:fldChar w:fldCharType="separate"/>
      </w:r>
      <w:r>
        <w:t>39</w:t>
      </w:r>
      <w:r>
        <w:fldChar w:fldCharType="end"/>
      </w:r>
    </w:p>
    <w:p>
      <w:pPr>
        <w:pStyle w:val="TOC8"/>
        <w:rPr>
          <w:sz w:val="24"/>
          <w:szCs w:val="24"/>
        </w:rPr>
      </w:pPr>
      <w:r>
        <w:rPr>
          <w:szCs w:val="24"/>
        </w:rPr>
        <w:t>65</w:t>
      </w:r>
      <w:r>
        <w:rPr>
          <w:snapToGrid w:val="0"/>
          <w:szCs w:val="24"/>
        </w:rPr>
        <w:t>.</w:t>
      </w:r>
      <w:r>
        <w:rPr>
          <w:snapToGrid w:val="0"/>
          <w:szCs w:val="24"/>
        </w:rPr>
        <w:tab/>
        <w:t>Persons obstructing execution of this Act</w:t>
      </w:r>
      <w:r>
        <w:tab/>
      </w:r>
      <w:r>
        <w:fldChar w:fldCharType="begin"/>
      </w:r>
      <w:r>
        <w:instrText xml:space="preserve"> PAGEREF _Toc270326541 \h </w:instrText>
      </w:r>
      <w:r>
        <w:fldChar w:fldCharType="separate"/>
      </w:r>
      <w:r>
        <w:t>39</w:t>
      </w:r>
      <w:r>
        <w:fldChar w:fldCharType="end"/>
      </w:r>
    </w:p>
    <w:p>
      <w:pPr>
        <w:pStyle w:val="TOC4"/>
        <w:tabs>
          <w:tab w:val="right" w:leader="dot" w:pos="7086"/>
        </w:tabs>
        <w:rPr>
          <w:b w:val="0"/>
          <w:sz w:val="24"/>
          <w:szCs w:val="24"/>
        </w:rPr>
      </w:pPr>
      <w:r>
        <w:rPr>
          <w:szCs w:val="26"/>
        </w:rPr>
        <w:t>Division 3 — General offence and procedural provisions</w:t>
      </w:r>
    </w:p>
    <w:p>
      <w:pPr>
        <w:pStyle w:val="TOC8"/>
        <w:rPr>
          <w:sz w:val="24"/>
          <w:szCs w:val="24"/>
        </w:rPr>
      </w:pPr>
      <w:r>
        <w:rPr>
          <w:szCs w:val="24"/>
        </w:rPr>
        <w:t>68</w:t>
      </w:r>
      <w:r>
        <w:rPr>
          <w:snapToGrid w:val="0"/>
          <w:szCs w:val="24"/>
        </w:rPr>
        <w:t>.</w:t>
      </w:r>
      <w:r>
        <w:rPr>
          <w:snapToGrid w:val="0"/>
          <w:szCs w:val="24"/>
        </w:rPr>
        <w:tab/>
        <w:t>Prosecution expenses</w:t>
      </w:r>
      <w:r>
        <w:tab/>
      </w:r>
      <w:r>
        <w:fldChar w:fldCharType="begin"/>
      </w:r>
      <w:r>
        <w:instrText xml:space="preserve"> PAGEREF _Toc270326543 \h </w:instrText>
      </w:r>
      <w:r>
        <w:fldChar w:fldCharType="separate"/>
      </w:r>
      <w:r>
        <w:t>39</w:t>
      </w:r>
      <w:r>
        <w:fldChar w:fldCharType="end"/>
      </w:r>
    </w:p>
    <w:p>
      <w:pPr>
        <w:pStyle w:val="TOC8"/>
        <w:rPr>
          <w:sz w:val="24"/>
          <w:szCs w:val="24"/>
        </w:rPr>
      </w:pPr>
      <w:r>
        <w:rPr>
          <w:szCs w:val="24"/>
        </w:rPr>
        <w:t>69</w:t>
      </w:r>
      <w:r>
        <w:rPr>
          <w:snapToGrid w:val="0"/>
          <w:szCs w:val="24"/>
        </w:rPr>
        <w:t>.</w:t>
      </w:r>
      <w:r>
        <w:rPr>
          <w:snapToGrid w:val="0"/>
          <w:szCs w:val="24"/>
        </w:rPr>
        <w:tab/>
        <w:t>Offences generally</w:t>
      </w:r>
      <w:r>
        <w:tab/>
      </w:r>
      <w:r>
        <w:fldChar w:fldCharType="begin"/>
      </w:r>
      <w:r>
        <w:instrText xml:space="preserve"> PAGEREF _Toc270326544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General penalty</w:t>
      </w:r>
      <w:r>
        <w:tab/>
      </w:r>
      <w:r>
        <w:fldChar w:fldCharType="begin"/>
      </w:r>
      <w:r>
        <w:instrText xml:space="preserve"> PAGEREF _Toc270326545 \h </w:instrText>
      </w:r>
      <w:r>
        <w:fldChar w:fldCharType="separate"/>
      </w:r>
      <w:r>
        <w:t>40</w:t>
      </w:r>
      <w:r>
        <w:fldChar w:fldCharType="end"/>
      </w:r>
    </w:p>
    <w:p>
      <w:pPr>
        <w:pStyle w:val="TOC8"/>
        <w:rPr>
          <w:sz w:val="24"/>
          <w:szCs w:val="24"/>
        </w:rPr>
      </w:pPr>
      <w:r>
        <w:rPr>
          <w:szCs w:val="24"/>
        </w:rPr>
        <w:t>71</w:t>
      </w:r>
      <w:r>
        <w:rPr>
          <w:snapToGrid w:val="0"/>
          <w:szCs w:val="24"/>
        </w:rPr>
        <w:t>.</w:t>
      </w:r>
      <w:r>
        <w:rPr>
          <w:snapToGrid w:val="0"/>
          <w:szCs w:val="24"/>
        </w:rPr>
        <w:tab/>
        <w:t>Proceedings</w:t>
      </w:r>
      <w:r>
        <w:tab/>
      </w:r>
      <w:r>
        <w:fldChar w:fldCharType="begin"/>
      </w:r>
      <w:r>
        <w:instrText xml:space="preserve"> PAGEREF _Toc270326546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Liability for the acts of others, etc.</w:t>
      </w:r>
      <w:r>
        <w:tab/>
      </w:r>
      <w:r>
        <w:fldChar w:fldCharType="begin"/>
      </w:r>
      <w:r>
        <w:instrText xml:space="preserve"> PAGEREF _Toc270326547 \h </w:instrText>
      </w:r>
      <w:r>
        <w:fldChar w:fldCharType="separate"/>
      </w:r>
      <w:r>
        <w:t>41</w:t>
      </w:r>
      <w:r>
        <w:fldChar w:fldCharType="end"/>
      </w:r>
    </w:p>
    <w:p>
      <w:pPr>
        <w:pStyle w:val="TOC8"/>
        <w:rPr>
          <w:sz w:val="24"/>
          <w:szCs w:val="24"/>
        </w:rPr>
      </w:pPr>
      <w:r>
        <w:rPr>
          <w:szCs w:val="24"/>
        </w:rPr>
        <w:t>73</w:t>
      </w:r>
      <w:r>
        <w:rPr>
          <w:snapToGrid w:val="0"/>
          <w:szCs w:val="24"/>
        </w:rPr>
        <w:t>.</w:t>
      </w:r>
      <w:r>
        <w:rPr>
          <w:snapToGrid w:val="0"/>
          <w:szCs w:val="24"/>
        </w:rPr>
        <w:tab/>
        <w:t>Offences by bodies corporate</w:t>
      </w:r>
      <w:r>
        <w:tab/>
      </w:r>
      <w:r>
        <w:fldChar w:fldCharType="begin"/>
      </w:r>
      <w:r>
        <w:instrText xml:space="preserve"> PAGEREF _Toc270326548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Recovery of penalty and costs paid</w:t>
      </w:r>
      <w:r>
        <w:tab/>
      </w:r>
      <w:r>
        <w:fldChar w:fldCharType="begin"/>
      </w:r>
      <w:r>
        <w:instrText xml:space="preserve"> PAGEREF _Toc270326549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Evidentiary provisions</w:t>
      </w:r>
      <w:r>
        <w:tab/>
      </w:r>
      <w:r>
        <w:fldChar w:fldCharType="begin"/>
      </w:r>
      <w:r>
        <w:instrText xml:space="preserve"> PAGEREF _Toc270326550 \h </w:instrText>
      </w:r>
      <w:r>
        <w:fldChar w:fldCharType="separate"/>
      </w:r>
      <w:r>
        <w:t>43</w:t>
      </w:r>
      <w:r>
        <w:fldChar w:fldCharType="end"/>
      </w:r>
    </w:p>
    <w:p>
      <w:pPr>
        <w:pStyle w:val="TOC4"/>
        <w:tabs>
          <w:tab w:val="right" w:leader="dot" w:pos="7086"/>
        </w:tabs>
        <w:rPr>
          <w:b w:val="0"/>
          <w:sz w:val="24"/>
          <w:szCs w:val="24"/>
        </w:rPr>
      </w:pPr>
      <w:r>
        <w:rPr>
          <w:szCs w:val="26"/>
        </w:rPr>
        <w:t>Division 4 — Administrative provisions</w:t>
      </w:r>
    </w:p>
    <w:p>
      <w:pPr>
        <w:pStyle w:val="TOC8"/>
        <w:rPr>
          <w:sz w:val="24"/>
          <w:szCs w:val="24"/>
        </w:rPr>
      </w:pPr>
      <w:r>
        <w:rPr>
          <w:szCs w:val="24"/>
        </w:rPr>
        <w:t>76.</w:t>
      </w:r>
      <w:r>
        <w:rPr>
          <w:szCs w:val="24"/>
        </w:rPr>
        <w:tab/>
        <w:t>Delegation by the Minister</w:t>
      </w:r>
      <w:r>
        <w:tab/>
      </w:r>
      <w:r>
        <w:fldChar w:fldCharType="begin"/>
      </w:r>
      <w:r>
        <w:instrText xml:space="preserve"> PAGEREF _Toc270326552 \h </w:instrText>
      </w:r>
      <w:r>
        <w:fldChar w:fldCharType="separate"/>
      </w:r>
      <w:r>
        <w:t>46</w:t>
      </w:r>
      <w:r>
        <w:fldChar w:fldCharType="end"/>
      </w:r>
    </w:p>
    <w:p>
      <w:pPr>
        <w:pStyle w:val="TOC8"/>
        <w:rPr>
          <w:sz w:val="24"/>
          <w:szCs w:val="24"/>
        </w:rPr>
      </w:pPr>
      <w:r>
        <w:rPr>
          <w:szCs w:val="24"/>
        </w:rPr>
        <w:t>77.</w:t>
      </w:r>
      <w:r>
        <w:rPr>
          <w:szCs w:val="24"/>
        </w:rPr>
        <w:tab/>
        <w:t>Delegation by the CEO</w:t>
      </w:r>
      <w:r>
        <w:tab/>
      </w:r>
      <w:r>
        <w:fldChar w:fldCharType="begin"/>
      </w:r>
      <w:r>
        <w:instrText xml:space="preserve"> PAGEREF _Toc270326553 \h </w:instrText>
      </w:r>
      <w:r>
        <w:fldChar w:fldCharType="separate"/>
      </w:r>
      <w:r>
        <w:t>47</w:t>
      </w:r>
      <w:r>
        <w:fldChar w:fldCharType="end"/>
      </w:r>
    </w:p>
    <w:p>
      <w:pPr>
        <w:pStyle w:val="TOC8"/>
        <w:rPr>
          <w:sz w:val="24"/>
          <w:szCs w:val="24"/>
        </w:rPr>
      </w:pPr>
      <w:r>
        <w:rPr>
          <w:szCs w:val="24"/>
        </w:rPr>
        <w:t>78.</w:t>
      </w:r>
      <w:r>
        <w:rPr>
          <w:szCs w:val="24"/>
        </w:rPr>
        <w:tab/>
        <w:t>Public consultation</w:t>
      </w:r>
      <w:r>
        <w:tab/>
      </w:r>
      <w:r>
        <w:fldChar w:fldCharType="begin"/>
      </w:r>
      <w:r>
        <w:instrText xml:space="preserve"> PAGEREF _Toc270326554 \h </w:instrText>
      </w:r>
      <w:r>
        <w:fldChar w:fldCharType="separate"/>
      </w:r>
      <w:r>
        <w:t>48</w:t>
      </w:r>
      <w:r>
        <w:fldChar w:fldCharType="end"/>
      </w:r>
    </w:p>
    <w:p>
      <w:pPr>
        <w:pStyle w:val="TOC8"/>
        <w:rPr>
          <w:sz w:val="24"/>
          <w:szCs w:val="24"/>
        </w:rPr>
      </w:pPr>
      <w:r>
        <w:rPr>
          <w:szCs w:val="24"/>
        </w:rPr>
        <w:t>79.</w:t>
      </w:r>
      <w:r>
        <w:rPr>
          <w:szCs w:val="24"/>
        </w:rPr>
        <w:tab/>
        <w:t>Information officially obtained to be confidential</w:t>
      </w:r>
      <w:r>
        <w:tab/>
      </w:r>
      <w:r>
        <w:fldChar w:fldCharType="begin"/>
      </w:r>
      <w:r>
        <w:instrText xml:space="preserve"> PAGEREF _Toc270326555 \h </w:instrText>
      </w:r>
      <w:r>
        <w:fldChar w:fldCharType="separate"/>
      </w:r>
      <w:r>
        <w:t>49</w:t>
      </w:r>
      <w:r>
        <w:fldChar w:fldCharType="end"/>
      </w:r>
    </w:p>
    <w:p>
      <w:pPr>
        <w:pStyle w:val="TOC8"/>
        <w:rPr>
          <w:sz w:val="24"/>
          <w:szCs w:val="24"/>
        </w:rPr>
      </w:pPr>
      <w:r>
        <w:rPr>
          <w:szCs w:val="24"/>
        </w:rPr>
        <w:t>80.</w:t>
      </w:r>
      <w:r>
        <w:rPr>
          <w:szCs w:val="24"/>
        </w:rPr>
        <w:tab/>
        <w:t>Annual reports</w:t>
      </w:r>
      <w:r>
        <w:tab/>
      </w:r>
      <w:r>
        <w:fldChar w:fldCharType="begin"/>
      </w:r>
      <w:r>
        <w:instrText xml:space="preserve"> PAGEREF _Toc270326556 \h </w:instrText>
      </w:r>
      <w:r>
        <w:fldChar w:fldCharType="separate"/>
      </w:r>
      <w:r>
        <w:t>50</w:t>
      </w:r>
      <w:r>
        <w:fldChar w:fldCharType="end"/>
      </w:r>
    </w:p>
    <w:p>
      <w:pPr>
        <w:pStyle w:val="TOC8"/>
        <w:rPr>
          <w:sz w:val="24"/>
          <w:szCs w:val="24"/>
        </w:rPr>
      </w:pPr>
      <w:r>
        <w:rPr>
          <w:szCs w:val="24"/>
        </w:rPr>
        <w:t>81.</w:t>
      </w:r>
      <w:r>
        <w:rPr>
          <w:szCs w:val="24"/>
        </w:rPr>
        <w:tab/>
        <w:t>Protection from liability for wrongdoing</w:t>
      </w:r>
      <w:r>
        <w:tab/>
      </w:r>
      <w:r>
        <w:fldChar w:fldCharType="begin"/>
      </w:r>
      <w:r>
        <w:instrText xml:space="preserve"> PAGEREF _Toc270326557 \h </w:instrText>
      </w:r>
      <w:r>
        <w:fldChar w:fldCharType="separate"/>
      </w:r>
      <w:r>
        <w:t>51</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_Toc270326558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_Toc270326560 \h </w:instrText>
      </w:r>
      <w:r>
        <w:fldChar w:fldCharType="separate"/>
      </w:r>
      <w:r>
        <w:t>53</w:t>
      </w:r>
      <w:r>
        <w:fldChar w:fldCharType="end"/>
      </w:r>
    </w:p>
    <w:p>
      <w:pPr>
        <w:pStyle w:val="TOC8"/>
        <w:rPr>
          <w:sz w:val="24"/>
        </w:rPr>
      </w:pPr>
      <w:r>
        <w:tab/>
        <w:t>Provisions that have not come into operation</w:t>
      </w:r>
      <w:r>
        <w:tab/>
      </w:r>
      <w:r>
        <w:fldChar w:fldCharType="begin"/>
      </w:r>
      <w:r>
        <w:instrText xml:space="preserve"> PAGEREF _Toc270326561 \h </w:instrText>
      </w:r>
      <w:r>
        <w:fldChar w:fldCharType="separate"/>
      </w:r>
      <w:r>
        <w:t>55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 xml:space="preserve">Waterways Conservation Act 1976 </w:t>
      </w:r>
    </w:p>
    <w:p>
      <w:pPr>
        <w:pStyle w:val="LongTitle"/>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1" w:name="_Toc189884078"/>
      <w:bookmarkStart w:id="2" w:name="_Toc270326497"/>
      <w:r>
        <w:rPr>
          <w:rStyle w:val="CharPartNo"/>
        </w:rPr>
        <w:t>Part 1</w:t>
      </w:r>
      <w:r>
        <w:rPr>
          <w:b w:val="0"/>
        </w:rPr>
        <w:t> </w:t>
      </w:r>
      <w:r>
        <w:t>—</w:t>
      </w:r>
      <w:r>
        <w:rPr>
          <w:b w:val="0"/>
        </w:rPr>
        <w:t> </w:t>
      </w:r>
      <w:r>
        <w:rPr>
          <w:rStyle w:val="CharPartText"/>
        </w:rPr>
        <w:t>Preliminary</w:t>
      </w:r>
      <w:bookmarkEnd w:id="1"/>
      <w:bookmarkEnd w:id="2"/>
    </w:p>
    <w:p>
      <w:pPr>
        <w:pStyle w:val="Footnoteheading"/>
      </w:pPr>
      <w:r>
        <w:tab/>
        <w:t>[Heading inserted by No. 38 of 2007 s. 142.]</w:t>
      </w:r>
    </w:p>
    <w:p>
      <w:pPr>
        <w:pStyle w:val="Heading5"/>
        <w:spacing w:before="240"/>
        <w:rPr>
          <w:snapToGrid w:val="0"/>
        </w:rPr>
      </w:pPr>
      <w:bookmarkStart w:id="3" w:name="_Toc27032649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4" w:name="_Toc27032649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5" w:name="_Toc270326500"/>
      <w:r>
        <w:rPr>
          <w:rStyle w:val="CharSectno"/>
        </w:rPr>
        <w:t>3</w:t>
      </w:r>
      <w:r>
        <w:rPr>
          <w:snapToGrid w:val="0"/>
        </w:rPr>
        <w:t>.</w:t>
      </w:r>
      <w:r>
        <w:rPr>
          <w:snapToGrid w:val="0"/>
        </w:rPr>
        <w:tab/>
        <w:t>Terms used in this Act</w:t>
      </w:r>
      <w:bookmarkEnd w:id="5"/>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spacing w:before="90"/>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r>
      <w:r>
        <w:rPr>
          <w:rStyle w:val="CharDefText"/>
        </w:rPr>
        <w:t>function</w:t>
      </w:r>
      <w:r>
        <w:t xml:space="preserve"> means powers and duties, and includes rights, benefits and obligations;</w:t>
      </w:r>
    </w:p>
    <w:p>
      <w:pPr>
        <w:pStyle w:val="Defstart"/>
        <w:spacing w:before="90"/>
      </w:pPr>
      <w:r>
        <w:rPr>
          <w:b/>
        </w:rPr>
        <w:tab/>
      </w:r>
      <w:r>
        <w:rPr>
          <w:rStyle w:val="CharDefText"/>
        </w:rPr>
        <w:t>honorary warden</w:t>
      </w:r>
      <w:r>
        <w:t xml:space="preserve"> means a person appointed to that office pursuant to section 62;</w:t>
      </w:r>
    </w:p>
    <w:p>
      <w:pPr>
        <w:pStyle w:val="Defstart"/>
        <w:spacing w:before="90"/>
      </w:pPr>
      <w:r>
        <w:rPr>
          <w:b/>
        </w:rPr>
        <w:tab/>
      </w:r>
      <w:r>
        <w:rPr>
          <w:rStyle w:val="CharDefText"/>
        </w:rPr>
        <w:t>industrial</w:t>
      </w:r>
      <w:r>
        <w:t xml:space="preserve"> includes any producing, manufacturing, or processing operation;</w:t>
      </w:r>
    </w:p>
    <w:p>
      <w:pPr>
        <w:pStyle w:val="Defstart"/>
        <w:spacing w:before="90"/>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r>
      <w:r>
        <w:rPr>
          <w:rStyle w:val="CharDefText"/>
        </w:rPr>
        <w:t>management area</w:t>
      </w:r>
      <w:r>
        <w:t xml:space="preserve"> means an area of the State declared to be a management area for the purposes of this Act pursuant to section 10;</w:t>
      </w:r>
    </w:p>
    <w:p>
      <w:pPr>
        <w:pStyle w:val="Defstart"/>
        <w:spacing w:before="90"/>
      </w:pPr>
      <w:r>
        <w:rPr>
          <w:b/>
        </w:rPr>
        <w:tab/>
      </w:r>
      <w:r>
        <w:rPr>
          <w:rStyle w:val="CharDefText"/>
        </w:rPr>
        <w:t>management programme</w:t>
      </w:r>
      <w:r>
        <w:t xml:space="preserve"> means a programme of operations prepared pursuant to section 35;</w:t>
      </w:r>
    </w:p>
    <w:p>
      <w:pPr>
        <w:pStyle w:val="Defstart"/>
        <w:spacing w:before="90"/>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spacing w:before="90"/>
      </w:pPr>
      <w:r>
        <w:rPr>
          <w:b/>
        </w:rPr>
        <w:tab/>
      </w:r>
      <w:r>
        <w:rPr>
          <w:rStyle w:val="CharDefText"/>
        </w:rPr>
        <w:t>section</w:t>
      </w:r>
      <w:r>
        <w:t xml:space="preserve"> means section of this Act;</w:t>
      </w:r>
    </w:p>
    <w:p>
      <w:pPr>
        <w:pStyle w:val="Defstart"/>
        <w:spacing w:before="90"/>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r>
      <w:r>
        <w:rPr>
          <w:rStyle w:val="CharDefText"/>
        </w:rPr>
        <w:t>the former Board</w:t>
      </w:r>
      <w:r>
        <w:t xml:space="preserve"> means the Swan River Conservation Board constituted pursuant to the </w:t>
      </w:r>
      <w:r>
        <w:rPr>
          <w:i/>
        </w:rPr>
        <w:t>Swan River Conservation Act 1958</w:t>
      </w:r>
      <w:r>
        <w:t>;</w:t>
      </w:r>
    </w:p>
    <w:p>
      <w:pPr>
        <w:pStyle w:val="Defstart"/>
        <w:spacing w:before="90"/>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6" w:name="_Toc270326501"/>
      <w:r>
        <w:rPr>
          <w:rStyle w:val="CharSectno"/>
        </w:rPr>
        <w:t>4</w:t>
      </w:r>
      <w:r>
        <w:rPr>
          <w:snapToGrid w:val="0"/>
        </w:rPr>
        <w:t>.</w:t>
      </w:r>
      <w:r>
        <w:rPr>
          <w:snapToGrid w:val="0"/>
        </w:rPr>
        <w:tab/>
        <w:t>Repeal and transitional provisions</w:t>
      </w:r>
      <w:bookmarkEnd w:id="6"/>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7" w:name="_Toc270326502"/>
      <w:r>
        <w:rPr>
          <w:rStyle w:val="CharSectno"/>
        </w:rPr>
        <w:t>5</w:t>
      </w:r>
      <w:r>
        <w:rPr>
          <w:snapToGrid w:val="0"/>
        </w:rPr>
        <w:t>.</w:t>
      </w:r>
      <w:r>
        <w:rPr>
          <w:snapToGrid w:val="0"/>
        </w:rPr>
        <w:tab/>
        <w:t>Construction of this Act</w:t>
      </w:r>
      <w:bookmarkEnd w:id="7"/>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 ,</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No. 35 of 2007 s. 108; No. 38 of 2007 s. 144 and 188.] </w:t>
      </w:r>
    </w:p>
    <w:p>
      <w:pPr>
        <w:pStyle w:val="Heading5"/>
        <w:rPr>
          <w:snapToGrid w:val="0"/>
        </w:rPr>
      </w:pPr>
      <w:bookmarkStart w:id="8" w:name="_Toc270326503"/>
      <w:r>
        <w:rPr>
          <w:rStyle w:val="CharSectno"/>
        </w:rPr>
        <w:t>6</w:t>
      </w:r>
      <w:r>
        <w:rPr>
          <w:snapToGrid w:val="0"/>
        </w:rPr>
        <w:t>.</w:t>
      </w:r>
      <w:r>
        <w:rPr>
          <w:snapToGrid w:val="0"/>
        </w:rPr>
        <w:tab/>
        <w:t>Crown bound</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9" w:name="_Toc270326504"/>
      <w:r>
        <w:rPr>
          <w:rStyle w:val="CharSectno"/>
        </w:rPr>
        <w:t>7</w:t>
      </w:r>
      <w:r>
        <w:rPr>
          <w:snapToGrid w:val="0"/>
        </w:rPr>
        <w:t>.</w:t>
      </w:r>
      <w:r>
        <w:rPr>
          <w:snapToGrid w:val="0"/>
        </w:rPr>
        <w:tab/>
        <w:t>Saving of rights at law</w:t>
      </w:r>
      <w:bookmarkEnd w:id="9"/>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0" w:name="_Toc270326505"/>
      <w:r>
        <w:rPr>
          <w:rStyle w:val="CharSectno"/>
        </w:rPr>
        <w:t>8</w:t>
      </w:r>
      <w:r>
        <w:rPr>
          <w:snapToGrid w:val="0"/>
        </w:rPr>
        <w:t>.</w:t>
      </w:r>
      <w:r>
        <w:rPr>
          <w:snapToGrid w:val="0"/>
        </w:rPr>
        <w:tab/>
        <w:t>Exemptions</w:t>
      </w:r>
      <w:bookmarkEnd w:id="10"/>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11" w:name="_Toc189884087"/>
      <w:bookmarkStart w:id="12" w:name="_Toc270326506"/>
      <w:r>
        <w:rPr>
          <w:rStyle w:val="CharPartNo"/>
        </w:rPr>
        <w:t>Part 2</w:t>
      </w:r>
      <w:r>
        <w:rPr>
          <w:b w:val="0"/>
        </w:rPr>
        <w:t> </w:t>
      </w:r>
      <w:r>
        <w:t>—</w:t>
      </w:r>
      <w:r>
        <w:rPr>
          <w:b w:val="0"/>
        </w:rPr>
        <w:t> </w:t>
      </w:r>
      <w:r>
        <w:rPr>
          <w:rStyle w:val="CharPartText"/>
        </w:rPr>
        <w:t>Application of the Act</w:t>
      </w:r>
      <w:bookmarkEnd w:id="11"/>
      <w:bookmarkEnd w:id="12"/>
    </w:p>
    <w:p>
      <w:pPr>
        <w:pStyle w:val="Footnoteheading"/>
      </w:pPr>
      <w:r>
        <w:tab/>
        <w:t>[Heading inserted by No. 38 of 2007 s. 146.]</w:t>
      </w:r>
    </w:p>
    <w:p>
      <w:pPr>
        <w:pStyle w:val="Heading5"/>
        <w:rPr>
          <w:snapToGrid w:val="0"/>
        </w:rPr>
      </w:pPr>
      <w:bookmarkStart w:id="13" w:name="_Toc270326507"/>
      <w:r>
        <w:rPr>
          <w:rStyle w:val="CharSectno"/>
        </w:rPr>
        <w:t>9</w:t>
      </w:r>
      <w:r>
        <w:rPr>
          <w:snapToGrid w:val="0"/>
        </w:rPr>
        <w:t>.</w:t>
      </w:r>
      <w:r>
        <w:rPr>
          <w:snapToGrid w:val="0"/>
        </w:rPr>
        <w:tab/>
        <w:t>Application</w:t>
      </w:r>
      <w:bookmarkEnd w:id="13"/>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14" w:name="_Toc270326508"/>
      <w:r>
        <w:rPr>
          <w:rStyle w:val="CharSectno"/>
        </w:rPr>
        <w:t>10</w:t>
      </w:r>
      <w:r>
        <w:rPr>
          <w:snapToGrid w:val="0"/>
        </w:rPr>
        <w:t>.</w:t>
      </w:r>
      <w:r>
        <w:rPr>
          <w:snapToGrid w:val="0"/>
        </w:rPr>
        <w:tab/>
        <w:t>Management areas</w:t>
      </w:r>
      <w:bookmarkEnd w:id="14"/>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 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15" w:name="_Toc189884090"/>
      <w:bookmarkStart w:id="16" w:name="_Toc270326509"/>
      <w:r>
        <w:rPr>
          <w:rStyle w:val="CharPartNo"/>
        </w:rPr>
        <w:t>Part 3</w:t>
      </w:r>
      <w:r>
        <w:rPr>
          <w:b w:val="0"/>
        </w:rPr>
        <w:t> </w:t>
      </w:r>
      <w:r>
        <w:t>—</w:t>
      </w:r>
      <w:r>
        <w:rPr>
          <w:b w:val="0"/>
        </w:rPr>
        <w:t> </w:t>
      </w:r>
      <w:r>
        <w:rPr>
          <w:rStyle w:val="CharPartText"/>
        </w:rPr>
        <w:t>Functions of the Minister</w:t>
      </w:r>
      <w:bookmarkEnd w:id="15"/>
      <w:bookmarkEnd w:id="16"/>
    </w:p>
    <w:p>
      <w:pPr>
        <w:pStyle w:val="Footnoteheading"/>
      </w:pPr>
      <w:r>
        <w:tab/>
        <w:t>[Heading inserted by No. 38 of 2007 s. 149.]</w:t>
      </w:r>
    </w:p>
    <w:p>
      <w:pPr>
        <w:pStyle w:val="Heading5"/>
      </w:pPr>
      <w:bookmarkStart w:id="17" w:name="_Toc270326510"/>
      <w:r>
        <w:rPr>
          <w:rStyle w:val="CharSectno"/>
        </w:rPr>
        <w:t>11</w:t>
      </w:r>
      <w:r>
        <w:t>.</w:t>
      </w:r>
      <w:r>
        <w:tab/>
        <w:t>Functions of the Minister</w:t>
      </w:r>
      <w:bookmarkEnd w:id="17"/>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18" w:name="_Toc270326511"/>
      <w:r>
        <w:rPr>
          <w:rStyle w:val="CharSectno"/>
        </w:rPr>
        <w:t>12</w:t>
      </w:r>
      <w:r>
        <w:t>.</w:t>
      </w:r>
      <w:r>
        <w:tab/>
        <w:t xml:space="preserve">Performance of the functions of the </w:t>
      </w:r>
      <w:r>
        <w:rPr>
          <w:snapToGrid w:val="0"/>
        </w:rPr>
        <w:t>Minister</w:t>
      </w:r>
      <w:bookmarkEnd w:id="18"/>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19" w:name="_Toc189884093"/>
      <w:bookmarkStart w:id="20" w:name="_Toc270326512"/>
      <w:r>
        <w:rPr>
          <w:rStyle w:val="CharPartNo"/>
        </w:rPr>
        <w:t>Part 4</w:t>
      </w:r>
      <w:r>
        <w:rPr>
          <w:b w:val="0"/>
        </w:rPr>
        <w:t> </w:t>
      </w:r>
      <w:r>
        <w:t>—</w:t>
      </w:r>
      <w:r>
        <w:rPr>
          <w:b w:val="0"/>
        </w:rPr>
        <w:t> </w:t>
      </w:r>
      <w:r>
        <w:rPr>
          <w:rStyle w:val="CharPartText"/>
        </w:rPr>
        <w:t>Agreements, management programmes and consultation</w:t>
      </w:r>
      <w:bookmarkEnd w:id="19"/>
      <w:bookmarkEnd w:id="20"/>
    </w:p>
    <w:p>
      <w:pPr>
        <w:pStyle w:val="Footnoteheading"/>
      </w:pPr>
      <w:r>
        <w:tab/>
        <w:t>[Heading inserted by No. 38 of 2007 s. 151.]</w:t>
      </w:r>
    </w:p>
    <w:p>
      <w:pPr>
        <w:pStyle w:val="Heading5"/>
      </w:pPr>
      <w:bookmarkStart w:id="21" w:name="_Toc270326513"/>
      <w:r>
        <w:rPr>
          <w:rStyle w:val="CharSectno"/>
        </w:rPr>
        <w:t>30</w:t>
      </w:r>
      <w:r>
        <w:t>.</w:t>
      </w:r>
      <w:r>
        <w:tab/>
        <w:t>Covenants</w:t>
      </w:r>
      <w:bookmarkEnd w:id="21"/>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rPr>
          <w:rStyle w:val="CharSectno"/>
        </w:rPr>
      </w:pPr>
      <w:r>
        <w:tab/>
        <w:t>[Section 30 inserted by No. 38 of 2007 s. 151.]</w:t>
      </w:r>
    </w:p>
    <w:p>
      <w:pPr>
        <w:pStyle w:val="Heading5"/>
        <w:keepLines w:val="0"/>
        <w:spacing w:before="180"/>
        <w:rPr>
          <w:snapToGrid w:val="0"/>
        </w:rPr>
      </w:pPr>
      <w:bookmarkStart w:id="22" w:name="_Toc270326514"/>
      <w:r>
        <w:rPr>
          <w:rStyle w:val="CharSectno"/>
        </w:rPr>
        <w:t>31</w:t>
      </w:r>
      <w:r>
        <w:rPr>
          <w:snapToGrid w:val="0"/>
        </w:rPr>
        <w:t>.</w:t>
      </w:r>
      <w:r>
        <w:rPr>
          <w:snapToGrid w:val="0"/>
        </w:rPr>
        <w:tab/>
        <w:t>Agreements as to private land</w:t>
      </w:r>
      <w:bookmarkEnd w:id="22"/>
      <w:r>
        <w:rPr>
          <w:snapToGrid w:val="0"/>
        </w:rPr>
        <w:t xml:space="preserve"> </w:t>
      </w:r>
    </w:p>
    <w:p>
      <w:pPr>
        <w:pStyle w:val="Subsection"/>
        <w:keepNext/>
        <w:keepLines/>
        <w:widowControl w:val="0"/>
        <w:spacing w:before="12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23" w:name="_Toc270326515"/>
      <w:r>
        <w:rPr>
          <w:rStyle w:val="CharSectno"/>
        </w:rPr>
        <w:t>32</w:t>
      </w:r>
      <w:r>
        <w:rPr>
          <w:snapToGrid w:val="0"/>
        </w:rPr>
        <w:t>.</w:t>
      </w:r>
      <w:r>
        <w:rPr>
          <w:snapToGrid w:val="0"/>
        </w:rPr>
        <w:tab/>
        <w:t>Reserves may be placed under the control of the Minister</w:t>
      </w:r>
      <w:bookmarkEnd w:id="23"/>
    </w:p>
    <w:p>
      <w:pPr>
        <w:pStyle w:val="Subsection"/>
        <w:spacing w:before="120"/>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rStyle w:val="CharDefText"/>
        </w:rPr>
        <w:t>the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pPr>
      <w:r>
        <w:tab/>
        <w:t xml:space="preserve">[Section 32 amended by No. 14 of 1996 s. 4; No. 31 of 1997 s. 139; No. 38 of 2007 s. 153.] </w:t>
      </w:r>
    </w:p>
    <w:p>
      <w:pPr>
        <w:pStyle w:val="Heading5"/>
        <w:rPr>
          <w:snapToGrid w:val="0"/>
        </w:rPr>
      </w:pPr>
      <w:bookmarkStart w:id="24" w:name="_Toc270326516"/>
      <w:r>
        <w:rPr>
          <w:rStyle w:val="CharSectno"/>
        </w:rPr>
        <w:t>33</w:t>
      </w:r>
      <w:r>
        <w:rPr>
          <w:snapToGrid w:val="0"/>
        </w:rPr>
        <w:t>.</w:t>
      </w:r>
      <w:r>
        <w:rPr>
          <w:snapToGrid w:val="0"/>
        </w:rPr>
        <w:tab/>
        <w:t>Local government consultations, and initiatives</w:t>
      </w:r>
      <w:bookmarkEnd w:id="24"/>
      <w:r>
        <w:rPr>
          <w:snapToGrid w:val="0"/>
        </w:rPr>
        <w:t xml:space="preserve"> </w:t>
      </w:r>
    </w:p>
    <w:p>
      <w:pPr>
        <w:pStyle w:val="Subsection"/>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25" w:name="_Toc270326517"/>
      <w:r>
        <w:rPr>
          <w:rStyle w:val="CharSectno"/>
        </w:rPr>
        <w:t>35</w:t>
      </w:r>
      <w:r>
        <w:rPr>
          <w:snapToGrid w:val="0"/>
        </w:rPr>
        <w:t>.</w:t>
      </w:r>
      <w:r>
        <w:rPr>
          <w:snapToGrid w:val="0"/>
        </w:rPr>
        <w:tab/>
        <w:t>Management programmes</w:t>
      </w:r>
      <w:bookmarkEnd w:id="25"/>
      <w:r>
        <w:rPr>
          <w:snapToGrid w:val="0"/>
        </w:rPr>
        <w:t xml:space="preserve"> </w:t>
      </w:r>
    </w:p>
    <w:p>
      <w:pPr>
        <w:pStyle w:val="Subsection"/>
        <w:spacing w:before="120"/>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spacing w:before="120"/>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spacing w:before="120"/>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spacing w:before="100"/>
        <w:ind w:left="890" w:hanging="890"/>
      </w:pPr>
      <w:r>
        <w:tab/>
        <w:t xml:space="preserve">[Section 35 amended by No. 14 of 1996 s. 4; No. 38 of 2007 s. 156.] </w:t>
      </w:r>
    </w:p>
    <w:p>
      <w:pPr>
        <w:pStyle w:val="Heading5"/>
        <w:spacing w:before="180"/>
        <w:rPr>
          <w:snapToGrid w:val="0"/>
        </w:rPr>
      </w:pPr>
      <w:bookmarkStart w:id="26" w:name="_Toc270326518"/>
      <w:r>
        <w:rPr>
          <w:rStyle w:val="CharSectno"/>
        </w:rPr>
        <w:t>36</w:t>
      </w:r>
      <w:r>
        <w:rPr>
          <w:snapToGrid w:val="0"/>
        </w:rPr>
        <w:t>.</w:t>
      </w:r>
      <w:r>
        <w:rPr>
          <w:snapToGrid w:val="0"/>
        </w:rPr>
        <w:tab/>
        <w:t>Town planning referrals</w:t>
      </w:r>
      <w:bookmarkEnd w:id="26"/>
      <w:r>
        <w:rPr>
          <w:snapToGrid w:val="0"/>
        </w:rPr>
        <w:t xml:space="preserve"> </w:t>
      </w:r>
    </w:p>
    <w:p>
      <w:pPr>
        <w:pStyle w:val="Subsection"/>
        <w:spacing w:before="120"/>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w:t>
      </w:r>
    </w:p>
    <w:p>
      <w:pPr>
        <w:pStyle w:val="Heading5"/>
        <w:rPr>
          <w:snapToGrid w:val="0"/>
        </w:rPr>
      </w:pPr>
      <w:bookmarkStart w:id="27" w:name="_Toc270326519"/>
      <w:r>
        <w:rPr>
          <w:rStyle w:val="CharSectno"/>
        </w:rPr>
        <w:t>37</w:t>
      </w:r>
      <w:r>
        <w:rPr>
          <w:snapToGrid w:val="0"/>
        </w:rPr>
        <w:t>.</w:t>
      </w:r>
      <w:r>
        <w:rPr>
          <w:snapToGrid w:val="0"/>
        </w:rPr>
        <w:tab/>
        <w:t>Ministerial referrals</w:t>
      </w:r>
      <w:bookmarkEnd w:id="27"/>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28" w:name="_Toc270326520"/>
      <w:r>
        <w:rPr>
          <w:rStyle w:val="CharSectno"/>
        </w:rPr>
        <w:t>38</w:t>
      </w:r>
      <w:r>
        <w:rPr>
          <w:snapToGrid w:val="0"/>
        </w:rPr>
        <w:t>.</w:t>
      </w:r>
      <w:r>
        <w:rPr>
          <w:snapToGrid w:val="0"/>
        </w:rPr>
        <w:tab/>
        <w:t>Public referrals</w:t>
      </w:r>
      <w:bookmarkEnd w:id="28"/>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29" w:name="_Toc189884102"/>
      <w:bookmarkStart w:id="30" w:name="_Toc270326521"/>
      <w:r>
        <w:rPr>
          <w:rStyle w:val="CharPartNo"/>
        </w:rPr>
        <w:t>Part 5</w:t>
      </w:r>
      <w:r>
        <w:rPr>
          <w:b w:val="0"/>
        </w:rPr>
        <w:t> </w:t>
      </w:r>
      <w:r>
        <w:t>—</w:t>
      </w:r>
      <w:r>
        <w:rPr>
          <w:b w:val="0"/>
        </w:rPr>
        <w:t> </w:t>
      </w:r>
      <w:r>
        <w:rPr>
          <w:rStyle w:val="CharPartText"/>
        </w:rPr>
        <w:t>Protection of waters and land</w:t>
      </w:r>
      <w:bookmarkEnd w:id="29"/>
      <w:bookmarkEnd w:id="30"/>
    </w:p>
    <w:p>
      <w:pPr>
        <w:pStyle w:val="Footnoteheading"/>
      </w:pPr>
      <w:r>
        <w:tab/>
        <w:t>[Heading inserted by No. 38 of 2007 s. 161.]</w:t>
      </w:r>
    </w:p>
    <w:p>
      <w:pPr>
        <w:pStyle w:val="Heading5"/>
        <w:rPr>
          <w:snapToGrid w:val="0"/>
        </w:rPr>
      </w:pPr>
      <w:bookmarkStart w:id="31" w:name="_Toc270326522"/>
      <w:r>
        <w:rPr>
          <w:rStyle w:val="CharSectno"/>
        </w:rPr>
        <w:t>46</w:t>
      </w:r>
      <w:r>
        <w:rPr>
          <w:snapToGrid w:val="0"/>
        </w:rPr>
        <w:t>.</w:t>
      </w:r>
      <w:r>
        <w:rPr>
          <w:snapToGrid w:val="0"/>
        </w:rPr>
        <w:tab/>
        <w:t>Licences</w:t>
      </w:r>
      <w:bookmarkEnd w:id="31"/>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32" w:name="_Toc270326523"/>
      <w:r>
        <w:rPr>
          <w:rStyle w:val="CharSectno"/>
        </w:rPr>
        <w:t>47</w:t>
      </w:r>
      <w:r>
        <w:rPr>
          <w:snapToGrid w:val="0"/>
        </w:rPr>
        <w:t>.</w:t>
      </w:r>
      <w:r>
        <w:rPr>
          <w:snapToGrid w:val="0"/>
        </w:rPr>
        <w:tab/>
        <w:t>Disposal licences</w:t>
      </w:r>
      <w:bookmarkEnd w:id="32"/>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pPr>
      <w:r>
        <w:tab/>
        <w:t>[Section 47 inserted by No. 38 of 2007 s. 188.]</w:t>
      </w:r>
    </w:p>
    <w:p>
      <w:pPr>
        <w:pStyle w:val="Heading5"/>
        <w:spacing w:before="240"/>
        <w:rPr>
          <w:snapToGrid w:val="0"/>
        </w:rPr>
      </w:pPr>
      <w:bookmarkStart w:id="33" w:name="_Toc270326524"/>
      <w:r>
        <w:rPr>
          <w:rStyle w:val="CharSectno"/>
        </w:rPr>
        <w:t>48</w:t>
      </w:r>
      <w:r>
        <w:rPr>
          <w:snapToGrid w:val="0"/>
        </w:rPr>
        <w:t>.</w:t>
      </w:r>
      <w:r>
        <w:rPr>
          <w:snapToGrid w:val="0"/>
        </w:rPr>
        <w:tab/>
        <w:t>Control of pollution, and the use of waters</w:t>
      </w:r>
      <w:bookmarkEnd w:id="33"/>
      <w:r>
        <w:rPr>
          <w:snapToGrid w:val="0"/>
        </w:rPr>
        <w:t xml:space="preserve"> </w:t>
      </w:r>
    </w:p>
    <w:p>
      <w:pPr>
        <w:pStyle w:val="Subsection"/>
        <w:spacing w:before="180"/>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34" w:name="_Toc270326525"/>
      <w:r>
        <w:rPr>
          <w:rStyle w:val="CharSectno"/>
        </w:rPr>
        <w:t>49</w:t>
      </w:r>
      <w:r>
        <w:rPr>
          <w:snapToGrid w:val="0"/>
        </w:rPr>
        <w:t>.</w:t>
      </w:r>
      <w:r>
        <w:rPr>
          <w:snapToGrid w:val="0"/>
        </w:rPr>
        <w:tab/>
        <w:t>Injunctions</w:t>
      </w:r>
      <w:bookmarkEnd w:id="34"/>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35" w:name="_Toc270326526"/>
      <w:r>
        <w:rPr>
          <w:rStyle w:val="CharSectno"/>
        </w:rPr>
        <w:t>50</w:t>
      </w:r>
      <w:r>
        <w:rPr>
          <w:snapToGrid w:val="0"/>
        </w:rPr>
        <w:t>.</w:t>
      </w:r>
      <w:r>
        <w:rPr>
          <w:snapToGrid w:val="0"/>
        </w:rPr>
        <w:tab/>
        <w:t>Orders</w:t>
      </w:r>
      <w:bookmarkEnd w:id="35"/>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36" w:name="_Toc270326527"/>
      <w:r>
        <w:rPr>
          <w:rStyle w:val="CharSectno"/>
        </w:rPr>
        <w:t>51</w:t>
      </w:r>
      <w:r>
        <w:rPr>
          <w:snapToGrid w:val="0"/>
        </w:rPr>
        <w:t>.</w:t>
      </w:r>
      <w:r>
        <w:rPr>
          <w:snapToGrid w:val="0"/>
        </w:rPr>
        <w:tab/>
        <w:t>Removal of structures</w:t>
      </w:r>
      <w:bookmarkEnd w:id="36"/>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37" w:name="_Toc270326528"/>
      <w:r>
        <w:rPr>
          <w:rStyle w:val="CharSectno"/>
        </w:rPr>
        <w:t>52</w:t>
      </w:r>
      <w:r>
        <w:rPr>
          <w:snapToGrid w:val="0"/>
        </w:rPr>
        <w:t>.</w:t>
      </w:r>
      <w:r>
        <w:rPr>
          <w:snapToGrid w:val="0"/>
        </w:rPr>
        <w:tab/>
        <w:t>Remedial works</w:t>
      </w:r>
      <w:bookmarkEnd w:id="37"/>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38" w:name="_Toc270326529"/>
      <w:r>
        <w:rPr>
          <w:rStyle w:val="CharSectno"/>
        </w:rPr>
        <w:t>53</w:t>
      </w:r>
      <w:r>
        <w:rPr>
          <w:snapToGrid w:val="0"/>
        </w:rPr>
        <w:t>.</w:t>
      </w:r>
      <w:r>
        <w:rPr>
          <w:snapToGrid w:val="0"/>
        </w:rPr>
        <w:tab/>
        <w:t>Recovery of expenses</w:t>
      </w:r>
      <w:bookmarkEnd w:id="38"/>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39" w:name="_Toc189884111"/>
      <w:bookmarkStart w:id="40" w:name="_Toc270326530"/>
      <w:r>
        <w:rPr>
          <w:rStyle w:val="CharPartNo"/>
        </w:rPr>
        <w:t>Part 6</w:t>
      </w:r>
      <w:r>
        <w:rPr>
          <w:b w:val="0"/>
        </w:rPr>
        <w:t> </w:t>
      </w:r>
      <w:r>
        <w:t>—</w:t>
      </w:r>
      <w:r>
        <w:rPr>
          <w:b w:val="0"/>
        </w:rPr>
        <w:t> </w:t>
      </w:r>
      <w:r>
        <w:rPr>
          <w:rStyle w:val="CharPartText"/>
        </w:rPr>
        <w:t>General provisions</w:t>
      </w:r>
      <w:bookmarkEnd w:id="39"/>
      <w:bookmarkEnd w:id="40"/>
    </w:p>
    <w:p>
      <w:pPr>
        <w:pStyle w:val="Footnoteheading"/>
      </w:pPr>
      <w:r>
        <w:tab/>
        <w:t>[Heading inserted by No. 38 of 2007 s. 169.]</w:t>
      </w:r>
    </w:p>
    <w:p>
      <w:pPr>
        <w:pStyle w:val="Heading3"/>
      </w:pPr>
      <w:bookmarkStart w:id="41" w:name="_Toc189884112"/>
      <w:bookmarkStart w:id="42" w:name="_Toc270326531"/>
      <w:r>
        <w:rPr>
          <w:rStyle w:val="CharDivNo"/>
        </w:rPr>
        <w:t>Division 1</w:t>
      </w:r>
      <w:r>
        <w:t> — </w:t>
      </w:r>
      <w:r>
        <w:rPr>
          <w:rStyle w:val="CharDivText"/>
        </w:rPr>
        <w:t>By</w:t>
      </w:r>
      <w:r>
        <w:rPr>
          <w:rStyle w:val="CharDivText"/>
        </w:rPr>
        <w:noBreakHyphen/>
        <w:t>laws</w:t>
      </w:r>
      <w:bookmarkEnd w:id="41"/>
      <w:bookmarkEnd w:id="42"/>
    </w:p>
    <w:p>
      <w:pPr>
        <w:pStyle w:val="Footnoteheading"/>
      </w:pPr>
      <w:r>
        <w:tab/>
        <w:t>[Heading inserted by No. 38 of 2007 s. 169.]</w:t>
      </w:r>
    </w:p>
    <w:p>
      <w:pPr>
        <w:pStyle w:val="Heading5"/>
      </w:pPr>
      <w:bookmarkStart w:id="43" w:name="_Toc270326532"/>
      <w:r>
        <w:rPr>
          <w:rStyle w:val="CharSectno"/>
        </w:rPr>
        <w:t>54</w:t>
      </w:r>
      <w:r>
        <w:t>.</w:t>
      </w:r>
      <w:r>
        <w:tab/>
        <w:t>By</w:t>
      </w:r>
      <w:r>
        <w:noBreakHyphen/>
        <w:t>laws</w:t>
      </w:r>
      <w:bookmarkEnd w:id="43"/>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44" w:name="_Toc270326533"/>
      <w:r>
        <w:rPr>
          <w:rStyle w:val="CharSectno"/>
        </w:rPr>
        <w:t>55</w:t>
      </w:r>
      <w:r>
        <w:rPr>
          <w:snapToGrid w:val="0"/>
        </w:rPr>
        <w:t>.</w:t>
      </w:r>
      <w:r>
        <w:rPr>
          <w:snapToGrid w:val="0"/>
        </w:rPr>
        <w:tab/>
        <w:t>General provisions relating to by</w:t>
      </w:r>
      <w:r>
        <w:rPr>
          <w:snapToGrid w:val="0"/>
        </w:rPr>
        <w:noBreakHyphen/>
        <w:t>laws</w:t>
      </w:r>
      <w:bookmarkEnd w:id="44"/>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45" w:name="_Toc270326534"/>
      <w:r>
        <w:rPr>
          <w:rStyle w:val="CharSectno"/>
        </w:rPr>
        <w:t>56</w:t>
      </w:r>
      <w:r>
        <w:rPr>
          <w:snapToGrid w:val="0"/>
        </w:rPr>
        <w:t>.</w:t>
      </w:r>
      <w:r>
        <w:rPr>
          <w:snapToGrid w:val="0"/>
        </w:rPr>
        <w:tab/>
        <w:t>Local laws</w:t>
      </w:r>
      <w:bookmarkEnd w:id="45"/>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46" w:name="_Toc270326535"/>
      <w:r>
        <w:rPr>
          <w:rStyle w:val="CharSectno"/>
        </w:rPr>
        <w:t>57</w:t>
      </w:r>
      <w:r>
        <w:rPr>
          <w:snapToGrid w:val="0"/>
        </w:rPr>
        <w:t>.</w:t>
      </w:r>
      <w:r>
        <w:rPr>
          <w:snapToGrid w:val="0"/>
        </w:rPr>
        <w:tab/>
        <w:t>Inconsistency of by</w:t>
      </w:r>
      <w:r>
        <w:rPr>
          <w:snapToGrid w:val="0"/>
        </w:rPr>
        <w:noBreakHyphen/>
        <w:t>laws with regulations</w:t>
      </w:r>
      <w:bookmarkEnd w:id="46"/>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47" w:name="_Toc189884118"/>
      <w:bookmarkStart w:id="48" w:name="_Toc270326536"/>
      <w:r>
        <w:rPr>
          <w:rStyle w:val="CharDivNo"/>
        </w:rPr>
        <w:t>Division 2</w:t>
      </w:r>
      <w:r>
        <w:t> — </w:t>
      </w:r>
      <w:r>
        <w:rPr>
          <w:rStyle w:val="CharDivText"/>
        </w:rPr>
        <w:t>Enforcement provisions</w:t>
      </w:r>
      <w:bookmarkEnd w:id="47"/>
      <w:bookmarkEnd w:id="48"/>
    </w:p>
    <w:p>
      <w:pPr>
        <w:pStyle w:val="Footnoteheading"/>
      </w:pPr>
      <w:r>
        <w:rPr>
          <w:rStyle w:val="CharSectno"/>
        </w:rPr>
        <w:tab/>
        <w:t>[Heading inserted by No. 38 of 2007 s. 174.]</w:t>
      </w:r>
    </w:p>
    <w:p>
      <w:pPr>
        <w:pStyle w:val="Heading5"/>
        <w:rPr>
          <w:snapToGrid w:val="0"/>
        </w:rPr>
      </w:pPr>
      <w:bookmarkStart w:id="49" w:name="_Toc270326537"/>
      <w:r>
        <w:rPr>
          <w:rStyle w:val="CharSectno"/>
        </w:rPr>
        <w:t>61</w:t>
      </w:r>
      <w:r>
        <w:rPr>
          <w:snapToGrid w:val="0"/>
        </w:rPr>
        <w:t>.</w:t>
      </w:r>
      <w:r>
        <w:rPr>
          <w:snapToGrid w:val="0"/>
        </w:rPr>
        <w:tab/>
        <w:t>Inspectors</w:t>
      </w:r>
      <w:bookmarkEnd w:id="49"/>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snapToGrid w:val="0"/>
        </w:rPr>
      </w:pPr>
      <w:r>
        <w:rPr>
          <w:snapToGrid w:val="0"/>
        </w:rPr>
        <w:tab/>
        <w:t>[(iii), (iv)</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rPr>
          <w:snapToGrid w:val="0"/>
        </w:rPr>
      </w:pPr>
      <w:bookmarkStart w:id="50" w:name="_Toc270326538"/>
      <w:r>
        <w:rPr>
          <w:rStyle w:val="CharSectno"/>
        </w:rPr>
        <w:t>62</w:t>
      </w:r>
      <w:r>
        <w:rPr>
          <w:snapToGrid w:val="0"/>
        </w:rPr>
        <w:t>.</w:t>
      </w:r>
      <w:r>
        <w:rPr>
          <w:snapToGrid w:val="0"/>
        </w:rPr>
        <w:tab/>
        <w:t>Honorary wardens</w:t>
      </w:r>
      <w:bookmarkEnd w:id="50"/>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33;No. 52 of 2006 s. 6; No. 38 of 2007 s. 176.] </w:t>
      </w:r>
    </w:p>
    <w:p>
      <w:pPr>
        <w:pStyle w:val="Heading5"/>
        <w:spacing w:before="240"/>
        <w:rPr>
          <w:snapToGrid w:val="0"/>
        </w:rPr>
      </w:pPr>
      <w:bookmarkStart w:id="51" w:name="_Toc270326539"/>
      <w:r>
        <w:rPr>
          <w:rStyle w:val="CharSectno"/>
        </w:rPr>
        <w:t>63</w:t>
      </w:r>
      <w:r>
        <w:rPr>
          <w:snapToGrid w:val="0"/>
        </w:rPr>
        <w:t>.</w:t>
      </w:r>
      <w:r>
        <w:rPr>
          <w:snapToGrid w:val="0"/>
        </w:rPr>
        <w:tab/>
        <w:t>Powers of inspectors, etc.</w:t>
      </w:r>
      <w:bookmarkEnd w:id="51"/>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 No. 38 of 2007 s. 177.]</w:t>
      </w:r>
    </w:p>
    <w:p>
      <w:pPr>
        <w:pStyle w:val="Heading5"/>
        <w:rPr>
          <w:snapToGrid w:val="0"/>
        </w:rPr>
      </w:pPr>
      <w:bookmarkStart w:id="52" w:name="_Toc270326540"/>
      <w:r>
        <w:rPr>
          <w:rStyle w:val="CharSectno"/>
        </w:rPr>
        <w:t>64</w:t>
      </w:r>
      <w:r>
        <w:rPr>
          <w:snapToGrid w:val="0"/>
        </w:rPr>
        <w:t>.</w:t>
      </w:r>
      <w:r>
        <w:rPr>
          <w:snapToGrid w:val="0"/>
        </w:rPr>
        <w:tab/>
        <w:t>Duty of police officers etc.</w:t>
      </w:r>
      <w:bookmarkEnd w:id="52"/>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53" w:name="_Toc270326541"/>
      <w:r>
        <w:rPr>
          <w:rStyle w:val="CharSectno"/>
        </w:rPr>
        <w:t>65</w:t>
      </w:r>
      <w:r>
        <w:rPr>
          <w:snapToGrid w:val="0"/>
        </w:rPr>
        <w:t>.</w:t>
      </w:r>
      <w:r>
        <w:rPr>
          <w:snapToGrid w:val="0"/>
        </w:rPr>
        <w:tab/>
        <w:t>Persons obstructing execution of this Act</w:t>
      </w:r>
      <w:bookmarkEnd w:id="53"/>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54" w:name="_Toc189884124"/>
      <w:bookmarkStart w:id="55" w:name="_Toc270326542"/>
      <w:r>
        <w:rPr>
          <w:rStyle w:val="CharDivNo"/>
        </w:rPr>
        <w:t>Division 3</w:t>
      </w:r>
      <w:r>
        <w:t> — </w:t>
      </w:r>
      <w:r>
        <w:rPr>
          <w:rStyle w:val="CharDivText"/>
        </w:rPr>
        <w:t>General offence and procedural provisions</w:t>
      </w:r>
      <w:bookmarkEnd w:id="54"/>
      <w:bookmarkEnd w:id="55"/>
    </w:p>
    <w:p>
      <w:pPr>
        <w:pStyle w:val="Footnoteheading"/>
      </w:pPr>
      <w:r>
        <w:tab/>
        <w:t>[Heading inserted by No. 38 of 2007 s. 180.]</w:t>
      </w:r>
    </w:p>
    <w:p>
      <w:pPr>
        <w:pStyle w:val="Heading5"/>
        <w:rPr>
          <w:snapToGrid w:val="0"/>
        </w:rPr>
      </w:pPr>
      <w:bookmarkStart w:id="56" w:name="_Toc270326543"/>
      <w:r>
        <w:rPr>
          <w:rStyle w:val="CharSectno"/>
        </w:rPr>
        <w:t>68</w:t>
      </w:r>
      <w:r>
        <w:rPr>
          <w:snapToGrid w:val="0"/>
        </w:rPr>
        <w:t>.</w:t>
      </w:r>
      <w:r>
        <w:rPr>
          <w:snapToGrid w:val="0"/>
        </w:rPr>
        <w:tab/>
        <w:t>Prosecution expenses</w:t>
      </w:r>
      <w:bookmarkEnd w:id="56"/>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57" w:name="_Toc270326544"/>
      <w:r>
        <w:rPr>
          <w:rStyle w:val="CharSectno"/>
        </w:rPr>
        <w:t>69</w:t>
      </w:r>
      <w:r>
        <w:rPr>
          <w:snapToGrid w:val="0"/>
        </w:rPr>
        <w:t>.</w:t>
      </w:r>
      <w:r>
        <w:rPr>
          <w:snapToGrid w:val="0"/>
        </w:rPr>
        <w:tab/>
        <w:t>Offences generally</w:t>
      </w:r>
      <w:bookmarkEnd w:id="57"/>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58" w:name="_Toc270326545"/>
      <w:r>
        <w:rPr>
          <w:rStyle w:val="CharSectno"/>
        </w:rPr>
        <w:t>70</w:t>
      </w:r>
      <w:r>
        <w:rPr>
          <w:snapToGrid w:val="0"/>
        </w:rPr>
        <w:t>.</w:t>
      </w:r>
      <w:r>
        <w:rPr>
          <w:snapToGrid w:val="0"/>
        </w:rPr>
        <w:tab/>
        <w:t>General penalty</w:t>
      </w:r>
      <w:bookmarkEnd w:id="58"/>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59" w:name="_Toc270326546"/>
      <w:r>
        <w:rPr>
          <w:rStyle w:val="CharSectno"/>
        </w:rPr>
        <w:t>71</w:t>
      </w:r>
      <w:r>
        <w:rPr>
          <w:snapToGrid w:val="0"/>
        </w:rPr>
        <w:t>.</w:t>
      </w:r>
      <w:r>
        <w:rPr>
          <w:snapToGrid w:val="0"/>
        </w:rPr>
        <w:tab/>
        <w:t>Proceedings</w:t>
      </w:r>
      <w:bookmarkEnd w:id="59"/>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60" w:name="_Toc270326547"/>
      <w:r>
        <w:rPr>
          <w:rStyle w:val="CharSectno"/>
        </w:rPr>
        <w:t>72</w:t>
      </w:r>
      <w:r>
        <w:rPr>
          <w:snapToGrid w:val="0"/>
        </w:rPr>
        <w:t>.</w:t>
      </w:r>
      <w:r>
        <w:rPr>
          <w:snapToGrid w:val="0"/>
        </w:rPr>
        <w:tab/>
        <w:t>Liability for the acts of others, etc.</w:t>
      </w:r>
      <w:bookmarkEnd w:id="60"/>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61" w:name="_Toc270326548"/>
      <w:r>
        <w:rPr>
          <w:rStyle w:val="CharSectno"/>
        </w:rPr>
        <w:t>73</w:t>
      </w:r>
      <w:r>
        <w:rPr>
          <w:snapToGrid w:val="0"/>
        </w:rPr>
        <w:t>.</w:t>
      </w:r>
      <w:r>
        <w:rPr>
          <w:snapToGrid w:val="0"/>
        </w:rPr>
        <w:tab/>
        <w:t>Offences by bodies corporate</w:t>
      </w:r>
      <w:bookmarkEnd w:id="6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62" w:name="_Toc270326549"/>
      <w:r>
        <w:rPr>
          <w:rStyle w:val="CharSectno"/>
        </w:rPr>
        <w:t>74</w:t>
      </w:r>
      <w:r>
        <w:rPr>
          <w:snapToGrid w:val="0"/>
        </w:rPr>
        <w:t>.</w:t>
      </w:r>
      <w:r>
        <w:rPr>
          <w:snapToGrid w:val="0"/>
        </w:rPr>
        <w:tab/>
        <w:t>Recovery of penalty and costs paid</w:t>
      </w:r>
      <w:bookmarkEnd w:id="62"/>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63" w:name="_Toc270326550"/>
      <w:r>
        <w:rPr>
          <w:rStyle w:val="CharSectno"/>
        </w:rPr>
        <w:t>75</w:t>
      </w:r>
      <w:r>
        <w:rPr>
          <w:snapToGrid w:val="0"/>
        </w:rPr>
        <w:t>.</w:t>
      </w:r>
      <w:r>
        <w:rPr>
          <w:snapToGrid w:val="0"/>
        </w:rPr>
        <w:tab/>
        <w:t>Evidentiary provisions</w:t>
      </w:r>
      <w:bookmarkEnd w:id="63"/>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pPr>
      <w:bookmarkStart w:id="64" w:name="_Toc189884133"/>
      <w:bookmarkStart w:id="65" w:name="_Toc270326551"/>
      <w:r>
        <w:rPr>
          <w:rStyle w:val="CharDivNo"/>
        </w:rPr>
        <w:t>Division 4</w:t>
      </w:r>
      <w:r>
        <w:t> — </w:t>
      </w:r>
      <w:r>
        <w:rPr>
          <w:rStyle w:val="CharDivText"/>
        </w:rPr>
        <w:t>Administrative provisions</w:t>
      </w:r>
      <w:bookmarkEnd w:id="64"/>
      <w:bookmarkEnd w:id="65"/>
    </w:p>
    <w:p>
      <w:pPr>
        <w:pStyle w:val="Footnoteheading"/>
      </w:pPr>
      <w:r>
        <w:tab/>
        <w:t>[Heading inserted by No. 38 of 2007 s. 184.]</w:t>
      </w:r>
    </w:p>
    <w:p>
      <w:pPr>
        <w:pStyle w:val="Heading5"/>
      </w:pPr>
      <w:bookmarkStart w:id="66" w:name="_Toc270326552"/>
      <w:r>
        <w:rPr>
          <w:rStyle w:val="CharSectno"/>
        </w:rPr>
        <w:t>76</w:t>
      </w:r>
      <w:r>
        <w:t>.</w:t>
      </w:r>
      <w:r>
        <w:tab/>
        <w:t>Delegation by the Minister</w:t>
      </w:r>
      <w:bookmarkEnd w:id="66"/>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67" w:name="_Toc270326553"/>
      <w:r>
        <w:rPr>
          <w:rStyle w:val="CharSectno"/>
        </w:rPr>
        <w:t>77</w:t>
      </w:r>
      <w:r>
        <w:t>.</w:t>
      </w:r>
      <w:r>
        <w:tab/>
        <w:t>Delegation by the CEO</w:t>
      </w:r>
      <w:bookmarkEnd w:id="67"/>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68" w:name="_Toc270326554"/>
      <w:r>
        <w:rPr>
          <w:rStyle w:val="CharSectno"/>
        </w:rPr>
        <w:t>78</w:t>
      </w:r>
      <w:r>
        <w:t>.</w:t>
      </w:r>
      <w:r>
        <w:tab/>
        <w:t>Public consultation</w:t>
      </w:r>
      <w:bookmarkEnd w:id="68"/>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69" w:name="_Toc270326555"/>
      <w:r>
        <w:rPr>
          <w:rStyle w:val="CharSectno"/>
        </w:rPr>
        <w:t>79</w:t>
      </w:r>
      <w:r>
        <w:t>.</w:t>
      </w:r>
      <w:r>
        <w:tab/>
        <w:t>Information officially obtained to be confidential</w:t>
      </w:r>
      <w:bookmarkEnd w:id="69"/>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70" w:name="_Toc270326556"/>
      <w:r>
        <w:rPr>
          <w:rStyle w:val="CharSectno"/>
        </w:rPr>
        <w:t>80</w:t>
      </w:r>
      <w:r>
        <w:t>.</w:t>
      </w:r>
      <w:r>
        <w:tab/>
        <w:t>Annual reports</w:t>
      </w:r>
      <w:bookmarkEnd w:id="70"/>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pPr>
      <w:bookmarkStart w:id="71" w:name="_Toc270326557"/>
      <w:r>
        <w:rPr>
          <w:rStyle w:val="CharSectno"/>
        </w:rPr>
        <w:t>81</w:t>
      </w:r>
      <w:r>
        <w:t>.</w:t>
      </w:r>
      <w:r>
        <w:tab/>
        <w:t>Protection from liability for wrongdoing</w:t>
      </w:r>
      <w:bookmarkEnd w:id="71"/>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rPr>
          <w:snapToGrid w:val="0"/>
        </w:rPr>
      </w:pPr>
      <w:bookmarkStart w:id="72" w:name="_Toc270326558"/>
      <w:r>
        <w:rPr>
          <w:rStyle w:val="CharSectno"/>
        </w:rPr>
        <w:t>82</w:t>
      </w:r>
      <w:r>
        <w:rPr>
          <w:snapToGrid w:val="0"/>
        </w:rPr>
        <w:t>.</w:t>
      </w:r>
      <w:r>
        <w:rPr>
          <w:snapToGrid w:val="0"/>
        </w:rPr>
        <w:tab/>
        <w:t>Regulations</w:t>
      </w:r>
      <w:bookmarkEnd w:id="72"/>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82, formerly section 76,</w:t>
      </w:r>
      <w:r>
        <w:rPr>
          <w:i w:val="0"/>
        </w:rPr>
        <w:t xml:space="preserve"> </w:t>
      </w:r>
      <w:r>
        <w:rPr>
          <w:iCs/>
        </w:rPr>
        <w:t>renumbered as section 82</w:t>
      </w:r>
      <w:r>
        <w:t xml:space="preserve"> amended by No. 55 of 2004 s. 1307, No. 38 of 2007 s. 185 and 186.]</w:t>
      </w:r>
    </w:p>
    <w:p>
      <w:pPr>
        <w:pStyle w:val="yEdnoteschedule"/>
      </w:pPr>
      <w:r>
        <w:t>[Schedule deleted by No. 38 of 2007 s. 187.]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3" w:name="_Toc189884141"/>
      <w:bookmarkStart w:id="74" w:name="_Toc270326559"/>
      <w:r>
        <w:t>Notes</w:t>
      </w:r>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r>
        <w:rPr>
          <w:snapToGrid w:val="0"/>
          <w:vertAlign w:val="superscript"/>
        </w:rPr>
        <w:t> 1a, 10</w:t>
      </w:r>
      <w:r>
        <w:rPr>
          <w:snapToGrid w:val="0"/>
        </w:rPr>
        <w:t>.  The table also contains information about any reprint.</w:t>
      </w:r>
    </w:p>
    <w:p>
      <w:pPr>
        <w:pStyle w:val="nHeading3"/>
        <w:rPr>
          <w:snapToGrid w:val="0"/>
        </w:rPr>
      </w:pPr>
      <w:bookmarkStart w:id="75" w:name="_Toc270326560"/>
      <w:r>
        <w:rPr>
          <w:snapToGrid w:val="0"/>
        </w:rPr>
        <w:t>Compilation table</w:t>
      </w:r>
      <w:bookmarkEnd w:id="75"/>
    </w:p>
    <w:tbl>
      <w:tblPr>
        <w:tblW w:w="7108" w:type="dxa"/>
        <w:tblInd w:w="28" w:type="dxa"/>
        <w:tblLayout w:type="fixed"/>
        <w:tblCellMar>
          <w:left w:w="56" w:type="dxa"/>
          <w:right w:w="56" w:type="dxa"/>
        </w:tblCellMar>
        <w:tblLook w:val="0000" w:firstRow="0" w:lastRow="0" w:firstColumn="0" w:lastColumn="0" w:noHBand="0" w:noVBand="0"/>
      </w:tblPr>
      <w:tblGrid>
        <w:gridCol w:w="2259"/>
        <w:gridCol w:w="13"/>
        <w:gridCol w:w="1116"/>
        <w:gridCol w:w="17"/>
        <w:gridCol w:w="1112"/>
        <w:gridCol w:w="21"/>
        <w:gridCol w:w="2516"/>
        <w:gridCol w:w="33"/>
        <w:gridCol w:w="21"/>
      </w:tblGrid>
      <w:tr>
        <w:trPr>
          <w:gridAfter w:val="2"/>
          <w:wAfter w:w="54" w:type="dxa"/>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4" w:type="dxa"/>
          <w:cantSplit/>
        </w:trPr>
        <w:tc>
          <w:tcPr>
            <w:tcW w:w="2259" w:type="dxa"/>
          </w:tcPr>
          <w:p>
            <w:pPr>
              <w:pStyle w:val="nTable"/>
              <w:spacing w:after="40"/>
              <w:rPr>
                <w:sz w:val="19"/>
              </w:rPr>
            </w:pPr>
            <w:r>
              <w:rPr>
                <w:i/>
                <w:sz w:val="19"/>
              </w:rPr>
              <w:t>Waterways Conservation Act 1976</w:t>
            </w:r>
          </w:p>
        </w:tc>
        <w:tc>
          <w:tcPr>
            <w:tcW w:w="1129" w:type="dxa"/>
            <w:gridSpan w:val="2"/>
          </w:tcPr>
          <w:p>
            <w:pPr>
              <w:pStyle w:val="nTable"/>
              <w:spacing w:after="40"/>
              <w:rPr>
                <w:sz w:val="19"/>
              </w:rPr>
            </w:pPr>
            <w:r>
              <w:rPr>
                <w:sz w:val="19"/>
              </w:rPr>
              <w:t>131 of 1976</w:t>
            </w:r>
          </w:p>
        </w:tc>
        <w:tc>
          <w:tcPr>
            <w:tcW w:w="1129" w:type="dxa"/>
            <w:gridSpan w:val="2"/>
          </w:tcPr>
          <w:p>
            <w:pPr>
              <w:pStyle w:val="nTable"/>
              <w:spacing w:after="40"/>
              <w:rPr>
                <w:sz w:val="19"/>
              </w:rPr>
            </w:pPr>
            <w:r>
              <w:rPr>
                <w:sz w:val="19"/>
              </w:rPr>
              <w:t>9 Dec 1976</w:t>
            </w:r>
          </w:p>
        </w:tc>
        <w:tc>
          <w:tcPr>
            <w:tcW w:w="2537" w:type="dxa"/>
            <w:gridSpan w:val="2"/>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2"/>
          <w:wAfter w:w="54" w:type="dxa"/>
          <w:cantSplit/>
        </w:trPr>
        <w:tc>
          <w:tcPr>
            <w:tcW w:w="2259" w:type="dxa"/>
          </w:tcPr>
          <w:p>
            <w:pPr>
              <w:pStyle w:val="nTable"/>
              <w:spacing w:after="40"/>
              <w:rPr>
                <w:sz w:val="19"/>
              </w:rPr>
            </w:pPr>
            <w:r>
              <w:rPr>
                <w:i/>
                <w:sz w:val="19"/>
              </w:rPr>
              <w:t>Waterways Conservation Amendment Act 1980</w:t>
            </w:r>
          </w:p>
        </w:tc>
        <w:tc>
          <w:tcPr>
            <w:tcW w:w="1129" w:type="dxa"/>
            <w:gridSpan w:val="2"/>
          </w:tcPr>
          <w:p>
            <w:pPr>
              <w:pStyle w:val="nTable"/>
              <w:spacing w:after="40"/>
              <w:rPr>
                <w:sz w:val="19"/>
              </w:rPr>
            </w:pPr>
            <w:r>
              <w:rPr>
                <w:sz w:val="19"/>
              </w:rPr>
              <w:t>16 of 1980</w:t>
            </w:r>
          </w:p>
        </w:tc>
        <w:tc>
          <w:tcPr>
            <w:tcW w:w="1129" w:type="dxa"/>
            <w:gridSpan w:val="2"/>
          </w:tcPr>
          <w:p>
            <w:pPr>
              <w:pStyle w:val="nTable"/>
              <w:spacing w:after="40"/>
              <w:rPr>
                <w:sz w:val="19"/>
              </w:rPr>
            </w:pPr>
            <w:r>
              <w:rPr>
                <w:sz w:val="19"/>
              </w:rPr>
              <w:t>15 Oct 1980</w:t>
            </w:r>
          </w:p>
        </w:tc>
        <w:tc>
          <w:tcPr>
            <w:tcW w:w="2537" w:type="dxa"/>
            <w:gridSpan w:val="2"/>
          </w:tcPr>
          <w:p>
            <w:pPr>
              <w:pStyle w:val="nTable"/>
              <w:spacing w:after="40"/>
              <w:rPr>
                <w:sz w:val="19"/>
              </w:rPr>
            </w:pPr>
            <w:r>
              <w:rPr>
                <w:sz w:val="19"/>
              </w:rPr>
              <w:t>12 Nov 1980</w:t>
            </w:r>
          </w:p>
        </w:tc>
      </w:tr>
      <w:tr>
        <w:trPr>
          <w:gridAfter w:val="2"/>
          <w:wAfter w:w="54" w:type="dxa"/>
          <w:cantSplit/>
        </w:trPr>
        <w:tc>
          <w:tcPr>
            <w:tcW w:w="2259" w:type="dxa"/>
          </w:tcPr>
          <w:p>
            <w:pPr>
              <w:pStyle w:val="nTable"/>
              <w:spacing w:after="40"/>
              <w:rPr>
                <w:sz w:val="19"/>
              </w:rPr>
            </w:pPr>
            <w:r>
              <w:rPr>
                <w:i/>
                <w:sz w:val="19"/>
              </w:rPr>
              <w:t>Waterways Conservation Amendment Act 1982</w:t>
            </w:r>
          </w:p>
        </w:tc>
        <w:tc>
          <w:tcPr>
            <w:tcW w:w="1129" w:type="dxa"/>
            <w:gridSpan w:val="2"/>
          </w:tcPr>
          <w:p>
            <w:pPr>
              <w:pStyle w:val="nTable"/>
              <w:spacing w:after="40"/>
              <w:rPr>
                <w:sz w:val="19"/>
              </w:rPr>
            </w:pPr>
            <w:r>
              <w:rPr>
                <w:sz w:val="19"/>
              </w:rPr>
              <w:t>97 of 1982</w:t>
            </w:r>
          </w:p>
        </w:tc>
        <w:tc>
          <w:tcPr>
            <w:tcW w:w="1129" w:type="dxa"/>
            <w:gridSpan w:val="2"/>
          </w:tcPr>
          <w:p>
            <w:pPr>
              <w:pStyle w:val="nTable"/>
              <w:spacing w:after="40"/>
              <w:rPr>
                <w:sz w:val="19"/>
              </w:rPr>
            </w:pPr>
            <w:r>
              <w:rPr>
                <w:sz w:val="19"/>
              </w:rPr>
              <w:t>22 Nov 1982</w:t>
            </w:r>
          </w:p>
        </w:tc>
        <w:tc>
          <w:tcPr>
            <w:tcW w:w="2537" w:type="dxa"/>
            <w:gridSpan w:val="2"/>
          </w:tcPr>
          <w:p>
            <w:pPr>
              <w:pStyle w:val="nTable"/>
              <w:spacing w:after="40"/>
              <w:rPr>
                <w:sz w:val="19"/>
              </w:rPr>
            </w:pPr>
            <w:r>
              <w:rPr>
                <w:sz w:val="19"/>
              </w:rPr>
              <w:t>22 Nov 1982</w:t>
            </w:r>
          </w:p>
        </w:tc>
      </w:tr>
      <w:tr>
        <w:trPr>
          <w:gridAfter w:val="2"/>
          <w:wAfter w:w="54" w:type="dxa"/>
          <w:cantSplit/>
        </w:trPr>
        <w:tc>
          <w:tcPr>
            <w:tcW w:w="2259" w:type="dxa"/>
          </w:tcPr>
          <w:p>
            <w:pPr>
              <w:pStyle w:val="nTable"/>
              <w:spacing w:after="40"/>
              <w:rPr>
                <w:sz w:val="19"/>
              </w:rPr>
            </w:pPr>
            <w:r>
              <w:rPr>
                <w:i/>
                <w:sz w:val="19"/>
              </w:rPr>
              <w:t xml:space="preserve">Acts Amendment and Repeal (Disqualification for Parliament) Act 1984 </w:t>
            </w:r>
            <w:r>
              <w:rPr>
                <w:sz w:val="19"/>
              </w:rPr>
              <w:t>s. 22</w:t>
            </w:r>
          </w:p>
        </w:tc>
        <w:tc>
          <w:tcPr>
            <w:tcW w:w="1129" w:type="dxa"/>
            <w:gridSpan w:val="2"/>
          </w:tcPr>
          <w:p>
            <w:pPr>
              <w:pStyle w:val="nTable"/>
              <w:spacing w:after="40"/>
              <w:rPr>
                <w:sz w:val="19"/>
              </w:rPr>
            </w:pPr>
            <w:r>
              <w:rPr>
                <w:sz w:val="19"/>
              </w:rPr>
              <w:t>78 of 1984</w:t>
            </w:r>
          </w:p>
        </w:tc>
        <w:tc>
          <w:tcPr>
            <w:tcW w:w="1129" w:type="dxa"/>
            <w:gridSpan w:val="2"/>
          </w:tcPr>
          <w:p>
            <w:pPr>
              <w:pStyle w:val="nTable"/>
              <w:spacing w:after="40"/>
              <w:rPr>
                <w:sz w:val="19"/>
              </w:rPr>
            </w:pPr>
            <w:r>
              <w:rPr>
                <w:sz w:val="19"/>
              </w:rPr>
              <w:t>14 Nov 1984</w:t>
            </w:r>
          </w:p>
        </w:tc>
        <w:tc>
          <w:tcPr>
            <w:tcW w:w="2537" w:type="dxa"/>
            <w:gridSpan w:val="2"/>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2"/>
          <w:wAfter w:w="54" w:type="dxa"/>
          <w:cantSplit/>
        </w:trPr>
        <w:tc>
          <w:tcPr>
            <w:tcW w:w="2259" w:type="dxa"/>
          </w:tcPr>
          <w:p>
            <w:pPr>
              <w:pStyle w:val="nTable"/>
              <w:spacing w:after="40"/>
              <w:rPr>
                <w:sz w:val="19"/>
              </w:rPr>
            </w:pPr>
            <w:r>
              <w:rPr>
                <w:i/>
                <w:sz w:val="19"/>
              </w:rPr>
              <w:t xml:space="preserve">Acts Amendment (Financial Administration and Audit) Act 1985 </w:t>
            </w:r>
            <w:r>
              <w:rPr>
                <w:sz w:val="19"/>
              </w:rPr>
              <w:t>s. 3</w:t>
            </w:r>
          </w:p>
        </w:tc>
        <w:tc>
          <w:tcPr>
            <w:tcW w:w="1129" w:type="dxa"/>
            <w:gridSpan w:val="2"/>
          </w:tcPr>
          <w:p>
            <w:pPr>
              <w:pStyle w:val="nTable"/>
              <w:spacing w:after="40"/>
              <w:rPr>
                <w:sz w:val="19"/>
              </w:rPr>
            </w:pPr>
            <w:r>
              <w:rPr>
                <w:sz w:val="19"/>
              </w:rPr>
              <w:t>98 of 1985</w:t>
            </w:r>
          </w:p>
        </w:tc>
        <w:tc>
          <w:tcPr>
            <w:tcW w:w="1129" w:type="dxa"/>
            <w:gridSpan w:val="2"/>
          </w:tcPr>
          <w:p>
            <w:pPr>
              <w:pStyle w:val="nTable"/>
              <w:spacing w:after="40"/>
              <w:rPr>
                <w:sz w:val="19"/>
              </w:rPr>
            </w:pPr>
            <w:r>
              <w:rPr>
                <w:sz w:val="19"/>
              </w:rPr>
              <w:t>4 Dec 1985</w:t>
            </w:r>
          </w:p>
        </w:tc>
        <w:tc>
          <w:tcPr>
            <w:tcW w:w="2537"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54" w:type="dxa"/>
          <w:cantSplit/>
        </w:trPr>
        <w:tc>
          <w:tcPr>
            <w:tcW w:w="2259" w:type="dxa"/>
          </w:tcPr>
          <w:p>
            <w:pPr>
              <w:pStyle w:val="nTable"/>
              <w:keepNext/>
              <w:spacing w:after="40"/>
              <w:rPr>
                <w:sz w:val="19"/>
              </w:rPr>
            </w:pPr>
            <w:r>
              <w:rPr>
                <w:i/>
                <w:sz w:val="19"/>
              </w:rPr>
              <w:t>Acts Amendment and Repeal (Environmental Protection) Act 1986</w:t>
            </w:r>
            <w:r>
              <w:rPr>
                <w:sz w:val="19"/>
              </w:rPr>
              <w:t xml:space="preserve"> Pt. IX</w:t>
            </w:r>
          </w:p>
        </w:tc>
        <w:tc>
          <w:tcPr>
            <w:tcW w:w="1129" w:type="dxa"/>
            <w:gridSpan w:val="2"/>
          </w:tcPr>
          <w:p>
            <w:pPr>
              <w:pStyle w:val="nTable"/>
              <w:keepNext/>
              <w:spacing w:after="40"/>
              <w:rPr>
                <w:sz w:val="19"/>
              </w:rPr>
            </w:pPr>
            <w:r>
              <w:rPr>
                <w:sz w:val="19"/>
              </w:rPr>
              <w:t>77 of 1986</w:t>
            </w:r>
          </w:p>
        </w:tc>
        <w:tc>
          <w:tcPr>
            <w:tcW w:w="1129" w:type="dxa"/>
            <w:gridSpan w:val="2"/>
          </w:tcPr>
          <w:p>
            <w:pPr>
              <w:pStyle w:val="nTable"/>
              <w:keepNext/>
              <w:spacing w:after="40"/>
              <w:rPr>
                <w:sz w:val="19"/>
              </w:rPr>
            </w:pPr>
            <w:r>
              <w:rPr>
                <w:sz w:val="19"/>
              </w:rPr>
              <w:t>4 Dec 1986</w:t>
            </w:r>
          </w:p>
        </w:tc>
        <w:tc>
          <w:tcPr>
            <w:tcW w:w="2537" w:type="dxa"/>
            <w:gridSpan w:val="2"/>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2"/>
          <w:wAfter w:w="54" w:type="dxa"/>
          <w:cantSplit/>
        </w:trPr>
        <w:tc>
          <w:tcPr>
            <w:tcW w:w="2259" w:type="dxa"/>
          </w:tcPr>
          <w:p>
            <w:pPr>
              <w:pStyle w:val="nTable"/>
              <w:spacing w:after="40"/>
              <w:rPr>
                <w:sz w:val="19"/>
              </w:rPr>
            </w:pPr>
            <w:r>
              <w:rPr>
                <w:i/>
                <w:sz w:val="19"/>
              </w:rPr>
              <w:t xml:space="preserve">Acts Amendment (Public Service) Act 1987 </w:t>
            </w:r>
            <w:r>
              <w:rPr>
                <w:sz w:val="19"/>
              </w:rPr>
              <w:t>s. 32</w:t>
            </w:r>
          </w:p>
        </w:tc>
        <w:tc>
          <w:tcPr>
            <w:tcW w:w="1129" w:type="dxa"/>
            <w:gridSpan w:val="2"/>
          </w:tcPr>
          <w:p>
            <w:pPr>
              <w:pStyle w:val="nTable"/>
              <w:spacing w:after="40"/>
              <w:rPr>
                <w:sz w:val="19"/>
              </w:rPr>
            </w:pPr>
            <w:r>
              <w:rPr>
                <w:sz w:val="19"/>
              </w:rPr>
              <w:t>113 of 1987</w:t>
            </w:r>
          </w:p>
        </w:tc>
        <w:tc>
          <w:tcPr>
            <w:tcW w:w="1129" w:type="dxa"/>
            <w:gridSpan w:val="2"/>
          </w:tcPr>
          <w:p>
            <w:pPr>
              <w:pStyle w:val="nTable"/>
              <w:spacing w:after="40"/>
              <w:rPr>
                <w:sz w:val="19"/>
              </w:rPr>
            </w:pPr>
            <w:r>
              <w:rPr>
                <w:sz w:val="19"/>
              </w:rPr>
              <w:t>31 Dec 1987</w:t>
            </w:r>
          </w:p>
        </w:tc>
        <w:tc>
          <w:tcPr>
            <w:tcW w:w="2537" w:type="dxa"/>
            <w:gridSpan w:val="2"/>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2"/>
          <w:wAfter w:w="54" w:type="dxa"/>
          <w:cantSplit/>
        </w:trPr>
        <w:tc>
          <w:tcPr>
            <w:tcW w:w="2259" w:type="dxa"/>
          </w:tcPr>
          <w:p>
            <w:pPr>
              <w:pStyle w:val="nTable"/>
              <w:spacing w:after="40"/>
              <w:rPr>
                <w:sz w:val="19"/>
              </w:rPr>
            </w:pPr>
            <w:r>
              <w:rPr>
                <w:i/>
                <w:sz w:val="19"/>
              </w:rPr>
              <w:t>Acts Amendment (Swan River Trust) Act 1988</w:t>
            </w:r>
            <w:r>
              <w:rPr>
                <w:sz w:val="19"/>
              </w:rPr>
              <w:t xml:space="preserve"> Pt. 10</w:t>
            </w:r>
          </w:p>
        </w:tc>
        <w:tc>
          <w:tcPr>
            <w:tcW w:w="1129" w:type="dxa"/>
            <w:gridSpan w:val="2"/>
          </w:tcPr>
          <w:p>
            <w:pPr>
              <w:pStyle w:val="nTable"/>
              <w:spacing w:after="40"/>
              <w:rPr>
                <w:sz w:val="19"/>
              </w:rPr>
            </w:pPr>
            <w:r>
              <w:rPr>
                <w:sz w:val="19"/>
              </w:rPr>
              <w:t>21 of 1988</w:t>
            </w:r>
          </w:p>
        </w:tc>
        <w:tc>
          <w:tcPr>
            <w:tcW w:w="1129" w:type="dxa"/>
            <w:gridSpan w:val="2"/>
          </w:tcPr>
          <w:p>
            <w:pPr>
              <w:pStyle w:val="nTable"/>
              <w:spacing w:after="40"/>
              <w:rPr>
                <w:sz w:val="19"/>
              </w:rPr>
            </w:pPr>
            <w:r>
              <w:rPr>
                <w:sz w:val="19"/>
              </w:rPr>
              <w:t>5 Oct 1988</w:t>
            </w:r>
          </w:p>
        </w:tc>
        <w:tc>
          <w:tcPr>
            <w:tcW w:w="2537" w:type="dxa"/>
            <w:gridSpan w:val="2"/>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2"/>
          <w:wAfter w:w="54" w:type="dxa"/>
          <w:cantSplit/>
        </w:trPr>
        <w:tc>
          <w:tcPr>
            <w:tcW w:w="2259" w:type="dxa"/>
          </w:tcPr>
          <w:p>
            <w:pPr>
              <w:pStyle w:val="nTable"/>
              <w:spacing w:after="40"/>
              <w:rPr>
                <w:sz w:val="19"/>
              </w:rPr>
            </w:pPr>
            <w:r>
              <w:rPr>
                <w:i/>
                <w:sz w:val="19"/>
              </w:rPr>
              <w:t xml:space="preserve">Guardianship and Administration Act 1990 </w:t>
            </w:r>
            <w:r>
              <w:rPr>
                <w:sz w:val="19"/>
              </w:rPr>
              <w:t>s. 123</w:t>
            </w:r>
          </w:p>
        </w:tc>
        <w:tc>
          <w:tcPr>
            <w:tcW w:w="1129" w:type="dxa"/>
            <w:gridSpan w:val="2"/>
          </w:tcPr>
          <w:p>
            <w:pPr>
              <w:pStyle w:val="nTable"/>
              <w:spacing w:after="40"/>
              <w:rPr>
                <w:sz w:val="19"/>
              </w:rPr>
            </w:pPr>
            <w:r>
              <w:rPr>
                <w:sz w:val="19"/>
              </w:rPr>
              <w:t>24 of 1990</w:t>
            </w:r>
          </w:p>
        </w:tc>
        <w:tc>
          <w:tcPr>
            <w:tcW w:w="1129" w:type="dxa"/>
            <w:gridSpan w:val="2"/>
          </w:tcPr>
          <w:p>
            <w:pPr>
              <w:pStyle w:val="nTable"/>
              <w:spacing w:after="40"/>
              <w:rPr>
                <w:sz w:val="19"/>
              </w:rPr>
            </w:pPr>
            <w:r>
              <w:rPr>
                <w:sz w:val="19"/>
              </w:rPr>
              <w:t>7 Sep 1990</w:t>
            </w:r>
          </w:p>
        </w:tc>
        <w:tc>
          <w:tcPr>
            <w:tcW w:w="2537" w:type="dxa"/>
            <w:gridSpan w:val="2"/>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2"/>
          <w:wAfter w:w="54" w:type="dxa"/>
          <w:cantSplit/>
        </w:trPr>
        <w:tc>
          <w:tcPr>
            <w:tcW w:w="2259" w:type="dxa"/>
          </w:tcPr>
          <w:p>
            <w:pPr>
              <w:pStyle w:val="nTable"/>
              <w:spacing w:after="40"/>
              <w:rPr>
                <w:sz w:val="19"/>
              </w:rPr>
            </w:pPr>
            <w:r>
              <w:rPr>
                <w:i/>
                <w:sz w:val="19"/>
              </w:rPr>
              <w:t xml:space="preserve">Financial Administration Legislation Amendment Act 1993 </w:t>
            </w:r>
            <w:r>
              <w:rPr>
                <w:sz w:val="19"/>
              </w:rPr>
              <w:t>s. 11</w:t>
            </w:r>
          </w:p>
        </w:tc>
        <w:tc>
          <w:tcPr>
            <w:tcW w:w="1129" w:type="dxa"/>
            <w:gridSpan w:val="2"/>
          </w:tcPr>
          <w:p>
            <w:pPr>
              <w:pStyle w:val="nTable"/>
              <w:spacing w:after="40"/>
              <w:rPr>
                <w:sz w:val="19"/>
              </w:rPr>
            </w:pPr>
            <w:r>
              <w:rPr>
                <w:sz w:val="19"/>
              </w:rPr>
              <w:t>6 of 1993</w:t>
            </w:r>
          </w:p>
        </w:tc>
        <w:tc>
          <w:tcPr>
            <w:tcW w:w="1129" w:type="dxa"/>
            <w:gridSpan w:val="2"/>
          </w:tcPr>
          <w:p>
            <w:pPr>
              <w:pStyle w:val="nTable"/>
              <w:spacing w:after="40"/>
              <w:rPr>
                <w:sz w:val="19"/>
              </w:rPr>
            </w:pPr>
            <w:r>
              <w:rPr>
                <w:sz w:val="19"/>
              </w:rPr>
              <w:t>27 Aug 1993</w:t>
            </w:r>
          </w:p>
        </w:tc>
        <w:tc>
          <w:tcPr>
            <w:tcW w:w="2537" w:type="dxa"/>
            <w:gridSpan w:val="2"/>
          </w:tcPr>
          <w:p>
            <w:pPr>
              <w:pStyle w:val="nTable"/>
              <w:spacing w:after="40"/>
              <w:rPr>
                <w:sz w:val="19"/>
              </w:rPr>
            </w:pPr>
            <w:r>
              <w:rPr>
                <w:sz w:val="19"/>
              </w:rPr>
              <w:t>1 Jul 1993 (see s. 2(1))</w:t>
            </w:r>
          </w:p>
        </w:tc>
      </w:tr>
      <w:tr>
        <w:trPr>
          <w:gridAfter w:val="2"/>
          <w:wAfter w:w="54" w:type="dxa"/>
          <w:cantSplit/>
        </w:trPr>
        <w:tc>
          <w:tcPr>
            <w:tcW w:w="2259" w:type="dxa"/>
          </w:tcPr>
          <w:p>
            <w:pPr>
              <w:pStyle w:val="nTable"/>
              <w:spacing w:after="40"/>
              <w:rPr>
                <w:sz w:val="19"/>
              </w:rPr>
            </w:pPr>
            <w:r>
              <w:rPr>
                <w:i/>
                <w:sz w:val="19"/>
              </w:rPr>
              <w:t xml:space="preserve">Acts Amendment (Public Sector Management) Act 1994 </w:t>
            </w:r>
            <w:r>
              <w:rPr>
                <w:sz w:val="19"/>
              </w:rPr>
              <w:t>s. 19</w:t>
            </w:r>
          </w:p>
        </w:tc>
        <w:tc>
          <w:tcPr>
            <w:tcW w:w="1129" w:type="dxa"/>
            <w:gridSpan w:val="2"/>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37" w:type="dxa"/>
            <w:gridSpan w:val="2"/>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2"/>
          <w:wAfter w:w="54" w:type="dxa"/>
          <w:cantSplit/>
        </w:trPr>
        <w:tc>
          <w:tcPr>
            <w:tcW w:w="2259" w:type="dxa"/>
          </w:tcPr>
          <w:p>
            <w:pPr>
              <w:pStyle w:val="nTable"/>
              <w:spacing w:after="40"/>
              <w:rPr>
                <w:sz w:val="19"/>
              </w:rPr>
            </w:pPr>
            <w:r>
              <w:rPr>
                <w:i/>
                <w:sz w:val="19"/>
              </w:rPr>
              <w:t xml:space="preserve">Fish Resources Management Act 1994 </w:t>
            </w:r>
            <w:r>
              <w:rPr>
                <w:sz w:val="19"/>
              </w:rPr>
              <w:t>s. 264</w:t>
            </w:r>
          </w:p>
        </w:tc>
        <w:tc>
          <w:tcPr>
            <w:tcW w:w="1129" w:type="dxa"/>
            <w:gridSpan w:val="2"/>
          </w:tcPr>
          <w:p>
            <w:pPr>
              <w:pStyle w:val="nTable"/>
              <w:spacing w:after="40"/>
              <w:rPr>
                <w:sz w:val="19"/>
              </w:rPr>
            </w:pPr>
            <w:r>
              <w:rPr>
                <w:sz w:val="19"/>
              </w:rPr>
              <w:t>53 of 1994</w:t>
            </w:r>
          </w:p>
        </w:tc>
        <w:tc>
          <w:tcPr>
            <w:tcW w:w="1129" w:type="dxa"/>
            <w:gridSpan w:val="2"/>
          </w:tcPr>
          <w:p>
            <w:pPr>
              <w:pStyle w:val="nTable"/>
              <w:spacing w:after="40"/>
              <w:rPr>
                <w:sz w:val="19"/>
              </w:rPr>
            </w:pPr>
            <w:r>
              <w:rPr>
                <w:sz w:val="19"/>
              </w:rPr>
              <w:t>2 Nov 1994</w:t>
            </w:r>
          </w:p>
        </w:tc>
        <w:tc>
          <w:tcPr>
            <w:tcW w:w="2537" w:type="dxa"/>
            <w:gridSpan w:val="2"/>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2"/>
          <w:wAfter w:w="54" w:type="dxa"/>
          <w:cantSplit/>
        </w:trPr>
        <w:tc>
          <w:tcPr>
            <w:tcW w:w="2259" w:type="dxa"/>
          </w:tcPr>
          <w:p>
            <w:pPr>
              <w:pStyle w:val="nTable"/>
              <w:spacing w:after="40"/>
              <w:rPr>
                <w:sz w:val="19"/>
              </w:rPr>
            </w:pPr>
            <w:r>
              <w:rPr>
                <w:i/>
                <w:sz w:val="19"/>
              </w:rPr>
              <w:t xml:space="preserve">Planning Legislation Amendment Act (No. 2) 1994 </w:t>
            </w:r>
            <w:r>
              <w:rPr>
                <w:sz w:val="19"/>
              </w:rPr>
              <w:t>s. 46(13)</w:t>
            </w:r>
          </w:p>
        </w:tc>
        <w:tc>
          <w:tcPr>
            <w:tcW w:w="1129" w:type="dxa"/>
            <w:gridSpan w:val="2"/>
          </w:tcPr>
          <w:p>
            <w:pPr>
              <w:pStyle w:val="nTable"/>
              <w:spacing w:after="40"/>
              <w:rPr>
                <w:sz w:val="19"/>
              </w:rPr>
            </w:pPr>
            <w:r>
              <w:rPr>
                <w:sz w:val="19"/>
              </w:rPr>
              <w:t>84 of 1994</w:t>
            </w:r>
          </w:p>
        </w:tc>
        <w:tc>
          <w:tcPr>
            <w:tcW w:w="1129" w:type="dxa"/>
            <w:gridSpan w:val="2"/>
          </w:tcPr>
          <w:p>
            <w:pPr>
              <w:pStyle w:val="nTable"/>
              <w:spacing w:after="40"/>
              <w:rPr>
                <w:sz w:val="19"/>
              </w:rPr>
            </w:pPr>
            <w:r>
              <w:rPr>
                <w:sz w:val="19"/>
              </w:rPr>
              <w:t>13 Jan 1995</w:t>
            </w:r>
          </w:p>
        </w:tc>
        <w:tc>
          <w:tcPr>
            <w:tcW w:w="253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2"/>
          <w:wAfter w:w="54" w:type="dxa"/>
          <w:cantSplit/>
        </w:trPr>
        <w:tc>
          <w:tcPr>
            <w:tcW w:w="2259" w:type="dxa"/>
          </w:tcPr>
          <w:p>
            <w:pPr>
              <w:pStyle w:val="nTable"/>
              <w:keepNext/>
              <w:spacing w:after="40"/>
              <w:rPr>
                <w:sz w:val="19"/>
              </w:rPr>
            </w:pPr>
            <w:r>
              <w:rPr>
                <w:i/>
                <w:sz w:val="19"/>
              </w:rPr>
              <w:t xml:space="preserve">Industrial Legislation Amendment Act 1995 </w:t>
            </w:r>
            <w:r>
              <w:rPr>
                <w:sz w:val="19"/>
              </w:rPr>
              <w:t>s. 35</w:t>
            </w:r>
          </w:p>
        </w:tc>
        <w:tc>
          <w:tcPr>
            <w:tcW w:w="1129" w:type="dxa"/>
            <w:gridSpan w:val="2"/>
          </w:tcPr>
          <w:p>
            <w:pPr>
              <w:pStyle w:val="nTable"/>
              <w:keepNext/>
              <w:spacing w:after="40"/>
              <w:rPr>
                <w:sz w:val="19"/>
              </w:rPr>
            </w:pPr>
            <w:r>
              <w:rPr>
                <w:sz w:val="19"/>
              </w:rPr>
              <w:t>1 of 1995</w:t>
            </w:r>
          </w:p>
        </w:tc>
        <w:tc>
          <w:tcPr>
            <w:tcW w:w="1129" w:type="dxa"/>
            <w:gridSpan w:val="2"/>
          </w:tcPr>
          <w:p>
            <w:pPr>
              <w:pStyle w:val="nTable"/>
              <w:keepNext/>
              <w:spacing w:after="40"/>
              <w:rPr>
                <w:sz w:val="19"/>
              </w:rPr>
            </w:pPr>
            <w:r>
              <w:rPr>
                <w:sz w:val="19"/>
              </w:rPr>
              <w:t>9 May 1995</w:t>
            </w:r>
          </w:p>
        </w:tc>
        <w:tc>
          <w:tcPr>
            <w:tcW w:w="2537" w:type="dxa"/>
            <w:gridSpan w:val="2"/>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2"/>
          <w:wAfter w:w="54" w:type="dxa"/>
          <w:cantSplit/>
        </w:trPr>
        <w:tc>
          <w:tcPr>
            <w:tcW w:w="2259"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29" w:type="dxa"/>
            <w:gridSpan w:val="2"/>
          </w:tcPr>
          <w:p>
            <w:pPr>
              <w:pStyle w:val="nTable"/>
              <w:keepNext/>
              <w:spacing w:after="40"/>
              <w:rPr>
                <w:sz w:val="19"/>
              </w:rPr>
            </w:pPr>
            <w:r>
              <w:rPr>
                <w:sz w:val="19"/>
              </w:rPr>
              <w:t>73 of 1995</w:t>
            </w:r>
          </w:p>
        </w:tc>
        <w:tc>
          <w:tcPr>
            <w:tcW w:w="1129" w:type="dxa"/>
            <w:gridSpan w:val="2"/>
          </w:tcPr>
          <w:p>
            <w:pPr>
              <w:pStyle w:val="nTable"/>
              <w:keepNext/>
              <w:spacing w:after="40"/>
              <w:rPr>
                <w:sz w:val="19"/>
              </w:rPr>
            </w:pPr>
            <w:r>
              <w:rPr>
                <w:sz w:val="19"/>
              </w:rPr>
              <w:t>27 Dec 1995</w:t>
            </w:r>
          </w:p>
        </w:tc>
        <w:tc>
          <w:tcPr>
            <w:tcW w:w="2537" w:type="dxa"/>
            <w:gridSpan w:val="2"/>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2"/>
          <w:wAfter w:w="54" w:type="dxa"/>
          <w:cantSplit/>
        </w:trPr>
        <w:tc>
          <w:tcPr>
            <w:tcW w:w="2259" w:type="dxa"/>
          </w:tcPr>
          <w:p>
            <w:pPr>
              <w:pStyle w:val="nTable"/>
              <w:spacing w:after="40"/>
              <w:rPr>
                <w:sz w:val="19"/>
              </w:rPr>
            </w:pPr>
            <w:r>
              <w:rPr>
                <w:i/>
                <w:sz w:val="19"/>
              </w:rPr>
              <w:t xml:space="preserve">Sentencing (Consequential Provisions) Act 1995 </w:t>
            </w:r>
            <w:r>
              <w:rPr>
                <w:sz w:val="19"/>
              </w:rPr>
              <w:t>Pt. 82</w:t>
            </w:r>
          </w:p>
        </w:tc>
        <w:tc>
          <w:tcPr>
            <w:tcW w:w="1129" w:type="dxa"/>
            <w:gridSpan w:val="2"/>
          </w:tcPr>
          <w:p>
            <w:pPr>
              <w:pStyle w:val="nTable"/>
              <w:spacing w:after="40"/>
              <w:rPr>
                <w:sz w:val="19"/>
              </w:rPr>
            </w:pPr>
            <w:r>
              <w:rPr>
                <w:sz w:val="19"/>
              </w:rPr>
              <w:t>78 of 1995</w:t>
            </w:r>
          </w:p>
        </w:tc>
        <w:tc>
          <w:tcPr>
            <w:tcW w:w="1129" w:type="dxa"/>
            <w:gridSpan w:val="2"/>
          </w:tcPr>
          <w:p>
            <w:pPr>
              <w:pStyle w:val="nTable"/>
              <w:spacing w:after="40"/>
              <w:rPr>
                <w:sz w:val="19"/>
              </w:rPr>
            </w:pPr>
            <w:r>
              <w:rPr>
                <w:sz w:val="19"/>
              </w:rPr>
              <w:t>16 Jan 1996</w:t>
            </w:r>
          </w:p>
        </w:tc>
        <w:tc>
          <w:tcPr>
            <w:tcW w:w="253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4" w:type="dxa"/>
          <w:cantSplit/>
        </w:trPr>
        <w:tc>
          <w:tcPr>
            <w:tcW w:w="7054" w:type="dxa"/>
            <w:gridSpan w:val="7"/>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2"/>
          <w:wAfter w:w="54"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gridSpan w:val="2"/>
          </w:tcPr>
          <w:p>
            <w:pPr>
              <w:pStyle w:val="nTable"/>
              <w:spacing w:after="40"/>
              <w:rPr>
                <w:sz w:val="19"/>
              </w:rPr>
            </w:pPr>
            <w:r>
              <w:rPr>
                <w:sz w:val="19"/>
              </w:rPr>
              <w:t>28 Jun 1996</w:t>
            </w:r>
          </w:p>
        </w:tc>
        <w:tc>
          <w:tcPr>
            <w:tcW w:w="2537" w:type="dxa"/>
            <w:gridSpan w:val="2"/>
          </w:tcPr>
          <w:p>
            <w:pPr>
              <w:pStyle w:val="nTable"/>
              <w:spacing w:after="40"/>
              <w:rPr>
                <w:sz w:val="19"/>
              </w:rPr>
            </w:pPr>
            <w:r>
              <w:rPr>
                <w:sz w:val="19"/>
              </w:rPr>
              <w:t>1 Jul 1996 (see s. 2)</w:t>
            </w:r>
          </w:p>
        </w:tc>
      </w:tr>
      <w:tr>
        <w:trPr>
          <w:gridAfter w:val="2"/>
          <w:wAfter w:w="54" w:type="dxa"/>
          <w:cantSplit/>
        </w:trPr>
        <w:tc>
          <w:tcPr>
            <w:tcW w:w="2259" w:type="dxa"/>
          </w:tcPr>
          <w:p>
            <w:pPr>
              <w:pStyle w:val="nTable"/>
              <w:spacing w:after="40"/>
              <w:rPr>
                <w:sz w:val="19"/>
              </w:rPr>
            </w:pPr>
            <w:r>
              <w:rPr>
                <w:i/>
                <w:sz w:val="19"/>
              </w:rPr>
              <w:t>Acts Amendment (Land Administration) Act 1997</w:t>
            </w:r>
            <w:r>
              <w:rPr>
                <w:sz w:val="19"/>
              </w:rPr>
              <w:t xml:space="preserve"> Pt. 66 and s. 141</w:t>
            </w:r>
          </w:p>
        </w:tc>
        <w:tc>
          <w:tcPr>
            <w:tcW w:w="1129" w:type="dxa"/>
            <w:gridSpan w:val="2"/>
          </w:tcPr>
          <w:p>
            <w:pPr>
              <w:pStyle w:val="nTable"/>
              <w:spacing w:after="40"/>
              <w:rPr>
                <w:sz w:val="19"/>
              </w:rPr>
            </w:pPr>
            <w:r>
              <w:rPr>
                <w:sz w:val="19"/>
              </w:rPr>
              <w:t>31 of 1997</w:t>
            </w:r>
          </w:p>
        </w:tc>
        <w:tc>
          <w:tcPr>
            <w:tcW w:w="1129" w:type="dxa"/>
            <w:gridSpan w:val="2"/>
          </w:tcPr>
          <w:p>
            <w:pPr>
              <w:pStyle w:val="nTable"/>
              <w:spacing w:after="40"/>
              <w:rPr>
                <w:sz w:val="19"/>
              </w:rPr>
            </w:pPr>
            <w:r>
              <w:rPr>
                <w:sz w:val="19"/>
              </w:rPr>
              <w:t>3 Oct 1997</w:t>
            </w:r>
          </w:p>
        </w:tc>
        <w:tc>
          <w:tcPr>
            <w:tcW w:w="253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54" w:type="dxa"/>
          <w:cantSplit/>
        </w:trPr>
        <w:tc>
          <w:tcPr>
            <w:tcW w:w="2259" w:type="dxa"/>
          </w:tcPr>
          <w:p>
            <w:pPr>
              <w:pStyle w:val="nTable"/>
              <w:spacing w:after="40"/>
              <w:rPr>
                <w:sz w:val="19"/>
              </w:rPr>
            </w:pPr>
            <w:r>
              <w:rPr>
                <w:i/>
                <w:sz w:val="19"/>
              </w:rPr>
              <w:t xml:space="preserve">Statutes (Repeals and Minor Amendments) Act 1997 </w:t>
            </w:r>
            <w:r>
              <w:rPr>
                <w:sz w:val="19"/>
              </w:rPr>
              <w:t>s. 127</w:t>
            </w:r>
          </w:p>
        </w:tc>
        <w:tc>
          <w:tcPr>
            <w:tcW w:w="1129"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2537" w:type="dxa"/>
            <w:gridSpan w:val="2"/>
          </w:tcPr>
          <w:p>
            <w:pPr>
              <w:pStyle w:val="nTable"/>
              <w:spacing w:after="40"/>
              <w:rPr>
                <w:sz w:val="19"/>
              </w:rPr>
            </w:pPr>
            <w:r>
              <w:rPr>
                <w:sz w:val="19"/>
              </w:rPr>
              <w:t>15 Dec 1997 (see s. 2(1))</w:t>
            </w:r>
          </w:p>
        </w:tc>
      </w:tr>
      <w:tr>
        <w:trPr>
          <w:gridAfter w:val="2"/>
          <w:wAfter w:w="54" w:type="dxa"/>
          <w:cantSplit/>
        </w:trPr>
        <w:tc>
          <w:tcPr>
            <w:tcW w:w="2259" w:type="dxa"/>
          </w:tcPr>
          <w:p>
            <w:pPr>
              <w:pStyle w:val="nTable"/>
              <w:spacing w:after="40"/>
              <w:rPr>
                <w:sz w:val="19"/>
              </w:rPr>
            </w:pPr>
            <w:r>
              <w:rPr>
                <w:i/>
                <w:sz w:val="19"/>
              </w:rPr>
              <w:t xml:space="preserve">Criminal Investigation (Identifying People) Act 2002 </w:t>
            </w:r>
            <w:r>
              <w:rPr>
                <w:sz w:val="19"/>
              </w:rPr>
              <w:t>s. 96</w:t>
            </w:r>
          </w:p>
        </w:tc>
        <w:tc>
          <w:tcPr>
            <w:tcW w:w="1129" w:type="dxa"/>
            <w:gridSpan w:val="2"/>
          </w:tcPr>
          <w:p>
            <w:pPr>
              <w:pStyle w:val="nTable"/>
              <w:spacing w:after="40"/>
              <w:rPr>
                <w:sz w:val="19"/>
              </w:rPr>
            </w:pPr>
            <w:r>
              <w:rPr>
                <w:sz w:val="19"/>
              </w:rPr>
              <w:t>6 of 2002</w:t>
            </w:r>
          </w:p>
        </w:tc>
        <w:tc>
          <w:tcPr>
            <w:tcW w:w="1129" w:type="dxa"/>
            <w:gridSpan w:val="2"/>
          </w:tcPr>
          <w:p>
            <w:pPr>
              <w:pStyle w:val="nTable"/>
              <w:spacing w:after="40"/>
              <w:rPr>
                <w:sz w:val="19"/>
              </w:rPr>
            </w:pPr>
            <w:r>
              <w:rPr>
                <w:sz w:val="19"/>
              </w:rPr>
              <w:t>4 Jun 2002</w:t>
            </w:r>
          </w:p>
        </w:tc>
        <w:tc>
          <w:tcPr>
            <w:tcW w:w="2537" w:type="dxa"/>
            <w:gridSpan w:val="2"/>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2"/>
          <w:wAfter w:w="54" w:type="dxa"/>
          <w:cantSplit/>
        </w:trPr>
        <w:tc>
          <w:tcPr>
            <w:tcW w:w="7054" w:type="dxa"/>
            <w:gridSpan w:val="7"/>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2"/>
          <w:wAfter w:w="54" w:type="dxa"/>
          <w:cantSplit/>
        </w:trPr>
        <w:tc>
          <w:tcPr>
            <w:tcW w:w="225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9" w:type="dxa"/>
            <w:gridSpan w:val="2"/>
          </w:tcPr>
          <w:p>
            <w:pPr>
              <w:pStyle w:val="nTable"/>
              <w:spacing w:after="40"/>
              <w:rPr>
                <w:sz w:val="19"/>
              </w:rPr>
            </w:pPr>
            <w:r>
              <w:rPr>
                <w:snapToGrid w:val="0"/>
                <w:sz w:val="19"/>
                <w:lang w:val="en-US"/>
              </w:rPr>
              <w:t>59 of 2004</w:t>
            </w:r>
          </w:p>
        </w:tc>
        <w:tc>
          <w:tcPr>
            <w:tcW w:w="1129" w:type="dxa"/>
            <w:gridSpan w:val="2"/>
          </w:tcPr>
          <w:p>
            <w:pPr>
              <w:pStyle w:val="nTable"/>
              <w:spacing w:after="40"/>
              <w:rPr>
                <w:sz w:val="19"/>
              </w:rPr>
            </w:pPr>
            <w:r>
              <w:rPr>
                <w:sz w:val="19"/>
              </w:rPr>
              <w:t>23 Nov 2004</w:t>
            </w:r>
          </w:p>
        </w:tc>
        <w:tc>
          <w:tcPr>
            <w:tcW w:w="2537"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2"/>
          <w:wAfter w:w="54" w:type="dxa"/>
          <w:cantSplit/>
        </w:trPr>
        <w:tc>
          <w:tcPr>
            <w:tcW w:w="2259"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29" w:type="dxa"/>
            <w:gridSpan w:val="2"/>
          </w:tcPr>
          <w:p>
            <w:pPr>
              <w:pStyle w:val="nTable"/>
              <w:spacing w:after="40"/>
              <w:rPr>
                <w:sz w:val="19"/>
              </w:rPr>
            </w:pPr>
            <w:r>
              <w:rPr>
                <w:sz w:val="19"/>
              </w:rPr>
              <w:t>55 of 2004</w:t>
            </w:r>
          </w:p>
        </w:tc>
        <w:tc>
          <w:tcPr>
            <w:tcW w:w="1129" w:type="dxa"/>
            <w:gridSpan w:val="2"/>
          </w:tcPr>
          <w:p>
            <w:pPr>
              <w:pStyle w:val="nTable"/>
              <w:spacing w:after="40"/>
              <w:rPr>
                <w:sz w:val="19"/>
              </w:rPr>
            </w:pPr>
            <w:r>
              <w:rPr>
                <w:sz w:val="19"/>
              </w:rPr>
              <w:t>24 Nov 2004</w:t>
            </w:r>
          </w:p>
        </w:tc>
        <w:tc>
          <w:tcPr>
            <w:tcW w:w="2537"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2"/>
          <w:wAfter w:w="54" w:type="dxa"/>
          <w:cantSplit/>
        </w:trPr>
        <w:tc>
          <w:tcPr>
            <w:tcW w:w="2259"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29" w:type="dxa"/>
            <w:gridSpan w:val="2"/>
          </w:tcPr>
          <w:p>
            <w:pPr>
              <w:pStyle w:val="nTable"/>
              <w:spacing w:after="40"/>
              <w:rPr>
                <w:snapToGrid w:val="0"/>
                <w:sz w:val="19"/>
                <w:lang w:val="en-US"/>
              </w:rPr>
            </w:pPr>
            <w:r>
              <w:rPr>
                <w:snapToGrid w:val="0"/>
                <w:sz w:val="19"/>
                <w:lang w:val="en-US"/>
              </w:rPr>
              <w:t>84 of 2004</w:t>
            </w:r>
          </w:p>
        </w:tc>
        <w:tc>
          <w:tcPr>
            <w:tcW w:w="1129" w:type="dxa"/>
            <w:gridSpan w:val="2"/>
          </w:tcPr>
          <w:p>
            <w:pPr>
              <w:pStyle w:val="nTable"/>
              <w:spacing w:after="40"/>
              <w:rPr>
                <w:sz w:val="19"/>
              </w:rPr>
            </w:pPr>
            <w:r>
              <w:rPr>
                <w:sz w:val="19"/>
              </w:rPr>
              <w:t>16 Dec 2004</w:t>
            </w:r>
          </w:p>
        </w:tc>
        <w:tc>
          <w:tcPr>
            <w:tcW w:w="2537"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gridAfter w:val="2"/>
          <w:wAfter w:w="54" w:type="dxa"/>
          <w:cantSplit/>
        </w:trPr>
        <w:tc>
          <w:tcPr>
            <w:tcW w:w="225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9" w:type="dxa"/>
            <w:gridSpan w:val="2"/>
          </w:tcPr>
          <w:p>
            <w:pPr>
              <w:pStyle w:val="nTable"/>
              <w:spacing w:after="40"/>
              <w:rPr>
                <w:snapToGrid w:val="0"/>
                <w:sz w:val="19"/>
                <w:lang w:val="en-US"/>
              </w:rPr>
            </w:pPr>
            <w:r>
              <w:rPr>
                <w:snapToGrid w:val="0"/>
                <w:sz w:val="19"/>
                <w:lang w:val="en-US"/>
              </w:rPr>
              <w:t>38 of 2005</w:t>
            </w:r>
          </w:p>
        </w:tc>
        <w:tc>
          <w:tcPr>
            <w:tcW w:w="1129" w:type="dxa"/>
            <w:gridSpan w:val="2"/>
          </w:tcPr>
          <w:p>
            <w:pPr>
              <w:pStyle w:val="nTable"/>
              <w:spacing w:after="40"/>
              <w:rPr>
                <w:sz w:val="19"/>
              </w:rPr>
            </w:pPr>
            <w:r>
              <w:rPr>
                <w:sz w:val="19"/>
              </w:rPr>
              <w:t>12 Dec 2005</w:t>
            </w:r>
          </w:p>
        </w:tc>
        <w:tc>
          <w:tcPr>
            <w:tcW w:w="2537"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21" w:type="dxa"/>
          <w:cantSplit/>
        </w:trPr>
        <w:tc>
          <w:tcPr>
            <w:tcW w:w="2259"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29" w:type="dxa"/>
            <w:gridSpan w:val="2"/>
          </w:tcPr>
          <w:p>
            <w:pPr>
              <w:pStyle w:val="nTable"/>
              <w:spacing w:after="40"/>
              <w:rPr>
                <w:snapToGrid w:val="0"/>
                <w:sz w:val="19"/>
                <w:lang w:val="en-US"/>
              </w:rPr>
            </w:pPr>
            <w:r>
              <w:rPr>
                <w:snapToGrid w:val="0"/>
                <w:lang w:val="en-US"/>
              </w:rPr>
              <w:t>52 of 2006</w:t>
            </w:r>
          </w:p>
        </w:tc>
        <w:tc>
          <w:tcPr>
            <w:tcW w:w="1129" w:type="dxa"/>
            <w:gridSpan w:val="2"/>
          </w:tcPr>
          <w:p>
            <w:pPr>
              <w:pStyle w:val="nTable"/>
              <w:spacing w:after="40"/>
              <w:rPr>
                <w:snapToGrid w:val="0"/>
                <w:sz w:val="19"/>
                <w:lang w:val="en-US"/>
              </w:rPr>
            </w:pPr>
            <w:r>
              <w:rPr>
                <w:snapToGrid w:val="0"/>
                <w:lang w:val="en-US"/>
              </w:rPr>
              <w:t>6 Oct 2006</w:t>
            </w:r>
          </w:p>
        </w:tc>
        <w:tc>
          <w:tcPr>
            <w:tcW w:w="2570"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59"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29" w:type="dxa"/>
            <w:gridSpan w:val="2"/>
          </w:tcPr>
          <w:p>
            <w:pPr>
              <w:pStyle w:val="nTable"/>
              <w:spacing w:after="40"/>
              <w:rPr>
                <w:snapToGrid w:val="0"/>
                <w:sz w:val="19"/>
                <w:lang w:val="en-US"/>
              </w:rPr>
            </w:pPr>
            <w:r>
              <w:rPr>
                <w:snapToGrid w:val="0"/>
                <w:sz w:val="19"/>
                <w:lang w:val="en-US"/>
              </w:rPr>
              <w:t>77 of 2006</w:t>
            </w:r>
          </w:p>
        </w:tc>
        <w:tc>
          <w:tcPr>
            <w:tcW w:w="1129" w:type="dxa"/>
            <w:gridSpan w:val="2"/>
          </w:tcPr>
          <w:p>
            <w:pPr>
              <w:pStyle w:val="nTable"/>
              <w:spacing w:after="40"/>
              <w:rPr>
                <w:sz w:val="19"/>
              </w:rPr>
            </w:pPr>
            <w:r>
              <w:rPr>
                <w:sz w:val="19"/>
              </w:rPr>
              <w:t>21 Dec 2006</w:t>
            </w:r>
          </w:p>
        </w:tc>
        <w:tc>
          <w:tcPr>
            <w:tcW w:w="2591" w:type="dxa"/>
            <w:gridSpan w:val="4"/>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08" w:type="dxa"/>
            <w:gridSpan w:val="9"/>
          </w:tcPr>
          <w:p>
            <w:pPr>
              <w:pStyle w:val="nTable"/>
              <w:spacing w:after="40"/>
              <w:rPr>
                <w:snapToGrid w:val="0"/>
                <w:sz w:val="19"/>
                <w:lang w:val="en-US"/>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lang w:val="en-US"/>
              </w:rPr>
              <w:t>Swan and Canning Rivers (Consequential and Transitional Provisions) Act 2006</w:t>
            </w:r>
            <w:r>
              <w:rPr>
                <w:sz w:val="19"/>
              </w:rPr>
              <w:t>)</w:t>
            </w:r>
          </w:p>
        </w:tc>
      </w:tr>
      <w:tr>
        <w:trPr>
          <w:gridAfter w:val="1"/>
          <w:wAfter w:w="21" w:type="dxa"/>
          <w:cantSplit/>
        </w:trPr>
        <w:tc>
          <w:tcPr>
            <w:tcW w:w="2272"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108</w:t>
            </w:r>
          </w:p>
        </w:tc>
        <w:tc>
          <w:tcPr>
            <w:tcW w:w="1133" w:type="dxa"/>
            <w:gridSpan w:val="2"/>
          </w:tcPr>
          <w:p>
            <w:pPr>
              <w:pStyle w:val="nTable"/>
              <w:keepNext/>
              <w:spacing w:after="40"/>
              <w:rPr>
                <w:snapToGrid w:val="0"/>
                <w:sz w:val="19"/>
                <w:lang w:val="en-US"/>
              </w:rPr>
            </w:pPr>
            <w:r>
              <w:rPr>
                <w:sz w:val="19"/>
              </w:rPr>
              <w:t>35 of 2007</w:t>
            </w:r>
          </w:p>
        </w:tc>
        <w:tc>
          <w:tcPr>
            <w:tcW w:w="1133" w:type="dxa"/>
            <w:gridSpan w:val="2"/>
          </w:tcPr>
          <w:p>
            <w:pPr>
              <w:pStyle w:val="nTable"/>
              <w:spacing w:after="40"/>
              <w:rPr>
                <w:snapToGrid w:val="0"/>
                <w:sz w:val="19"/>
                <w:lang w:val="en-US"/>
              </w:rPr>
            </w:pPr>
            <w:r>
              <w:rPr>
                <w:sz w:val="19"/>
              </w:rPr>
              <w:t>21 Dec 2007</w:t>
            </w:r>
          </w:p>
        </w:tc>
        <w:tc>
          <w:tcPr>
            <w:tcW w:w="2549"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1" w:type="dxa"/>
          <w:cantSplit/>
        </w:trPr>
        <w:tc>
          <w:tcPr>
            <w:tcW w:w="2272" w:type="dxa"/>
            <w:gridSpan w:val="2"/>
            <w:tcBorders>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Pt. 8 </w:t>
            </w:r>
          </w:p>
        </w:tc>
        <w:tc>
          <w:tcPr>
            <w:tcW w:w="1133" w:type="dxa"/>
            <w:gridSpan w:val="2"/>
            <w:tcBorders>
              <w:bottom w:val="single" w:sz="4" w:space="0" w:color="auto"/>
            </w:tcBorders>
          </w:tcPr>
          <w:p>
            <w:pPr>
              <w:pStyle w:val="nTable"/>
              <w:keepNext/>
              <w:spacing w:after="40"/>
              <w:rPr>
                <w:sz w:val="19"/>
              </w:rPr>
            </w:pPr>
            <w:r>
              <w:rPr>
                <w:snapToGrid w:val="0"/>
                <w:sz w:val="19"/>
                <w:lang w:val="en-US"/>
              </w:rPr>
              <w:t>38 of 2007</w:t>
            </w:r>
          </w:p>
        </w:tc>
        <w:tc>
          <w:tcPr>
            <w:tcW w:w="1133" w:type="dxa"/>
            <w:gridSpan w:val="2"/>
            <w:tcBorders>
              <w:bottom w:val="single" w:sz="4" w:space="0" w:color="auto"/>
            </w:tcBorders>
          </w:tcPr>
          <w:p>
            <w:pPr>
              <w:pStyle w:val="nTable"/>
              <w:spacing w:after="40"/>
              <w:rPr>
                <w:sz w:val="19"/>
              </w:rPr>
            </w:pPr>
            <w:r>
              <w:rPr>
                <w:sz w:val="19"/>
              </w:rPr>
              <w:t>21 Dec 2007</w:t>
            </w:r>
          </w:p>
        </w:tc>
        <w:tc>
          <w:tcPr>
            <w:tcW w:w="2549" w:type="dxa"/>
            <w:gridSpan w:val="2"/>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 w:name="_Toc7405065"/>
      <w:bookmarkStart w:id="77" w:name="_Toc270326561"/>
      <w:r>
        <w:t>Provisions that have not come into operation</w:t>
      </w:r>
      <w:bookmarkEnd w:id="76"/>
      <w:bookmarkEnd w:id="7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tcBorders>
          </w:tcPr>
          <w:p>
            <w:pPr>
              <w:pStyle w:val="nTable"/>
              <w:spacing w:after="40"/>
              <w:ind w:right="113"/>
            </w:pPr>
            <w:r>
              <w:rPr>
                <w:i/>
                <w:snapToGrid w:val="0"/>
                <w:sz w:val="19"/>
                <w:lang w:val="en-US"/>
              </w:rPr>
              <w:t>Approvals and Related Reforms (No. 4) (Planning) Act 2010</w:t>
            </w:r>
            <w:r>
              <w:t xml:space="preserve"> s. 39</w:t>
            </w:r>
            <w:r>
              <w:rPr>
                <w:vertAlign w:val="superscript"/>
              </w:rPr>
              <w:t> 11</w:t>
            </w:r>
          </w:p>
        </w:tc>
        <w:tc>
          <w:tcPr>
            <w:tcW w:w="1120" w:type="dxa"/>
            <w:tcBorders>
              <w:top w:val="nil"/>
            </w:tcBorders>
          </w:tcPr>
          <w:p>
            <w:pPr>
              <w:pStyle w:val="nTable"/>
              <w:spacing w:after="40"/>
              <w:rPr>
                <w:snapToGrid w:val="0"/>
                <w:sz w:val="19"/>
                <w:lang w:val="en-US"/>
              </w:rPr>
            </w:pPr>
            <w:r>
              <w:rPr>
                <w:snapToGrid w:val="0"/>
                <w:sz w:val="19"/>
                <w:lang w:val="en-US"/>
              </w:rPr>
              <w:t>28 of 2010</w:t>
            </w:r>
          </w:p>
        </w:tc>
        <w:tc>
          <w:tcPr>
            <w:tcW w:w="1135" w:type="dxa"/>
            <w:tcBorders>
              <w:top w:val="nil"/>
            </w:tcBorders>
          </w:tcPr>
          <w:p>
            <w:pPr>
              <w:pStyle w:val="nTable"/>
              <w:spacing w:after="40"/>
              <w:rPr>
                <w:snapToGrid w:val="0"/>
                <w:sz w:val="19"/>
                <w:lang w:val="en-US"/>
              </w:rPr>
            </w:pPr>
            <w:r>
              <w:rPr>
                <w:snapToGrid w:val="0"/>
                <w:sz w:val="19"/>
                <w:lang w:val="en-US"/>
              </w:rPr>
              <w:t>19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6, 7</w:t>
      </w:r>
      <w:r>
        <w:rPr>
          <w:snapToGrid w:val="0"/>
          <w:vertAlign w:val="superscript"/>
        </w:rPr>
        <w:tab/>
      </w:r>
      <w:r>
        <w:rPr>
          <w:snapToGrid w:val="0"/>
        </w:rPr>
        <w:t>Foot note no longer applicable.</w:t>
      </w:r>
    </w:p>
    <w:p>
      <w:pPr>
        <w:pStyle w:val="nSubsection"/>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78" w:name="AutoSch"/>
      <w:bookmarkEnd w:id="78"/>
      <w:r>
        <w:rPr>
          <w:snapToGrid w:val="0"/>
          <w:vertAlign w:val="superscript"/>
        </w:rPr>
        <w:t>10</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39 </w:t>
      </w:r>
      <w:bookmarkStart w:id="79" w:name="UpToHere"/>
      <w:bookmarkEnd w:id="79"/>
      <w:r>
        <w:rPr>
          <w:snapToGrid w:val="0"/>
        </w:rPr>
        <w:t>had not come into operation.  It reads as follows:</w:t>
      </w:r>
    </w:p>
    <w:p>
      <w:pPr>
        <w:pStyle w:val="BlankOpen"/>
      </w:pPr>
    </w:p>
    <w:p>
      <w:pPr>
        <w:pStyle w:val="nzHeading5"/>
      </w:pPr>
      <w:bookmarkStart w:id="80" w:name="_Toc269469402"/>
      <w:bookmarkStart w:id="81" w:name="_Toc270074579"/>
      <w:r>
        <w:rPr>
          <w:rStyle w:val="CharSectno"/>
        </w:rPr>
        <w:t>39</w:t>
      </w:r>
      <w:r>
        <w:t>.</w:t>
      </w:r>
      <w:r>
        <w:tab/>
      </w:r>
      <w:r>
        <w:rPr>
          <w:i/>
        </w:rPr>
        <w:t>Waterways Conservation Act 1976</w:t>
      </w:r>
      <w:r>
        <w:t xml:space="preserve"> amended</w:t>
      </w:r>
      <w:bookmarkEnd w:id="80"/>
      <w:bookmarkEnd w:id="81"/>
    </w:p>
    <w:p>
      <w:pPr>
        <w:pStyle w:val="nzSubsection"/>
      </w:pPr>
      <w:r>
        <w:tab/>
        <w:t>(1)</w:t>
      </w:r>
      <w:r>
        <w:tab/>
        <w:t xml:space="preserve">This section amends the </w:t>
      </w:r>
      <w:r>
        <w:rPr>
          <w:i/>
          <w:iCs/>
        </w:rPr>
        <w:t>Waterways Conservation Act 1976</w:t>
      </w:r>
      <w:r>
        <w:t>.</w:t>
      </w:r>
    </w:p>
    <w:p>
      <w:pPr>
        <w:pStyle w:val="nzSubsection"/>
      </w:pPr>
      <w:r>
        <w:tab/>
        <w:t>(2)</w:t>
      </w:r>
      <w:r>
        <w:tab/>
        <w:t>After section 36(1)(f)(i) insert:</w:t>
      </w:r>
    </w:p>
    <w:p>
      <w:pPr>
        <w:pStyle w:val="BlankOpen"/>
      </w:pPr>
    </w:p>
    <w:p>
      <w:pPr>
        <w:pStyle w:val="nzIndenti"/>
      </w:pPr>
      <w:r>
        <w:tab/>
        <w:t>(iia)</w:t>
      </w:r>
      <w:r>
        <w:tab/>
        <w:t>an improvement scheme;</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17764</Words>
  <Characters>83848</Characters>
  <Application>Microsoft Office Word</Application>
  <DocSecurity>0</DocSecurity>
  <Lines>2206</Lines>
  <Paragraphs>1129</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100483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1976 - 03-f0-01</dc:title>
  <dc:subject/>
  <dc:creator/>
  <cp:keywords/>
  <dc:description/>
  <cp:lastModifiedBy>svcMRProcess</cp:lastModifiedBy>
  <cp:revision>4</cp:revision>
  <cp:lastPrinted>2007-04-12T04:34:00Z</cp:lastPrinted>
  <dcterms:created xsi:type="dcterms:W3CDTF">2018-09-09T15:50:00Z</dcterms:created>
  <dcterms:modified xsi:type="dcterms:W3CDTF">2018-09-09T15:50:00Z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AsAtDate">
    <vt:lpwstr>19 Aug 2010</vt:lpwstr>
  </property>
  <property fmtid="{D5CDD505-2E9C-101B-9397-08002B2CF9AE}" pid="9" name="Suffix">
    <vt:lpwstr>03-f0-01</vt:lpwstr>
  </property>
</Properties>
</file>