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5" w:rsidRDefault="00CD101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10E25">
            <w:t>Western Australia</w:t>
          </w:r>
        </w:smartTag>
      </w:smartTag>
    </w:p>
    <w:p w:rsidR="00E10E25" w:rsidRDefault="00E10E25">
      <w:pPr>
        <w:pStyle w:val="NameofActRegPage1"/>
        <w:spacing w:before="3760" w:after="4200"/>
      </w:pPr>
      <w:r>
        <w:fldChar w:fldCharType="begin"/>
      </w:r>
      <w:r>
        <w:instrText xml:space="preserve"> STYLEREF "Name Of Act/Reg"</w:instrText>
      </w:r>
      <w:r>
        <w:fldChar w:fldCharType="separate"/>
      </w:r>
      <w:r w:rsidR="009A50F1">
        <w:rPr>
          <w:noProof/>
        </w:rPr>
        <w:t>Reprints Act 1984</w:t>
      </w:r>
      <w:r>
        <w:fldChar w:fldCharType="end"/>
      </w:r>
    </w:p>
    <w:p w:rsidR="00E10E25" w:rsidRDefault="00E10E25">
      <w:pPr>
        <w:jc w:val="center"/>
        <w:rPr>
          <w:b/>
        </w:rPr>
        <w:sectPr w:rsidR="00E10E2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10E25" w:rsidRDefault="00E10E25">
      <w:pPr>
        <w:pStyle w:val="WA"/>
        <w:spacing w:before="120"/>
      </w:pPr>
      <w:smartTag w:uri="urn:schemas-microsoft-com:office:smarttags" w:element="State">
        <w:smartTag w:uri="urn:schemas-microsoft-com:office:smarttags" w:element="place">
          <w:r>
            <w:lastRenderedPageBreak/>
            <w:t>Western Australia</w:t>
          </w:r>
        </w:smartTag>
      </w:smartTag>
    </w:p>
    <w:p w:rsidR="00E10E25" w:rsidRDefault="00E10E25">
      <w:pPr>
        <w:pStyle w:val="NameofActRegPage1"/>
      </w:pPr>
      <w:r>
        <w:fldChar w:fldCharType="begin"/>
      </w:r>
      <w:r>
        <w:instrText xml:space="preserve"> STYLEREF "Name Of Act/Reg"</w:instrText>
      </w:r>
      <w:r>
        <w:fldChar w:fldCharType="separate"/>
      </w:r>
      <w:r w:rsidR="009A50F1">
        <w:rPr>
          <w:noProof/>
        </w:rPr>
        <w:t>Reprints Act 1984</w:t>
      </w:r>
      <w:r>
        <w:fldChar w:fldCharType="end"/>
      </w:r>
    </w:p>
    <w:p w:rsidR="00E10E25" w:rsidRDefault="00E10E25">
      <w:pPr>
        <w:pStyle w:val="Arrangement"/>
      </w:pPr>
      <w:r>
        <w:t>CONTENTS</w:t>
      </w:r>
    </w:p>
    <w:p w:rsidR="00E10E25" w:rsidRDefault="00E10E25">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_Toc270519016 \h </w:instrText>
      </w:r>
      <w:r>
        <w:rPr>
          <w:noProof/>
        </w:rPr>
      </w:r>
      <w:r>
        <w:rPr>
          <w:noProof/>
        </w:rPr>
        <w:fldChar w:fldCharType="separate"/>
      </w:r>
      <w:r w:rsidR="009A50F1">
        <w:rPr>
          <w:noProof/>
        </w:rPr>
        <w:t>1</w:t>
      </w:r>
      <w:r>
        <w:rPr>
          <w:noProof/>
        </w:rPr>
        <w:fldChar w:fldCharType="end"/>
      </w:r>
    </w:p>
    <w:p w:rsidR="00E10E25" w:rsidRDefault="00E10E2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_Toc270519017 \h </w:instrText>
      </w:r>
      <w:r>
        <w:rPr>
          <w:noProof/>
        </w:rPr>
      </w:r>
      <w:r>
        <w:rPr>
          <w:noProof/>
        </w:rPr>
        <w:fldChar w:fldCharType="separate"/>
      </w:r>
      <w:r w:rsidR="009A50F1">
        <w:rPr>
          <w:noProof/>
        </w:rPr>
        <w:t>1</w:t>
      </w:r>
      <w:r>
        <w:rPr>
          <w:noProof/>
        </w:rPr>
        <w:fldChar w:fldCharType="end"/>
      </w:r>
    </w:p>
    <w:p w:rsidR="00E10E25" w:rsidRDefault="00E10E2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_Toc270519018 \h </w:instrText>
      </w:r>
      <w:r>
        <w:rPr>
          <w:noProof/>
        </w:rPr>
      </w:r>
      <w:r>
        <w:rPr>
          <w:noProof/>
        </w:rPr>
        <w:fldChar w:fldCharType="separate"/>
      </w:r>
      <w:r w:rsidR="009A50F1">
        <w:rPr>
          <w:noProof/>
        </w:rPr>
        <w:t>1</w:t>
      </w:r>
      <w:r>
        <w:rPr>
          <w:noProof/>
        </w:rPr>
        <w:fldChar w:fldCharType="end"/>
      </w:r>
    </w:p>
    <w:p w:rsidR="00E10E25" w:rsidRDefault="00E10E2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_Toc270519019 \h </w:instrText>
      </w:r>
      <w:r>
        <w:rPr>
          <w:noProof/>
        </w:rPr>
      </w:r>
      <w:r>
        <w:rPr>
          <w:noProof/>
        </w:rPr>
        <w:fldChar w:fldCharType="separate"/>
      </w:r>
      <w:r w:rsidR="009A50F1">
        <w:rPr>
          <w:noProof/>
        </w:rPr>
        <w:t>1</w:t>
      </w:r>
      <w:r>
        <w:rPr>
          <w:noProof/>
        </w:rPr>
        <w:fldChar w:fldCharType="end"/>
      </w:r>
    </w:p>
    <w:p w:rsidR="00E10E25" w:rsidRDefault="00E10E2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Attorney General may direct reprinting</w:t>
      </w:r>
      <w:r>
        <w:rPr>
          <w:noProof/>
        </w:rPr>
        <w:tab/>
      </w:r>
      <w:r>
        <w:rPr>
          <w:noProof/>
        </w:rPr>
        <w:fldChar w:fldCharType="begin"/>
      </w:r>
      <w:r>
        <w:rPr>
          <w:noProof/>
        </w:rPr>
        <w:instrText xml:space="preserve"> PAGEREF _Toc270519020 \h </w:instrText>
      </w:r>
      <w:r>
        <w:rPr>
          <w:noProof/>
        </w:rPr>
      </w:r>
      <w:r>
        <w:rPr>
          <w:noProof/>
        </w:rPr>
        <w:fldChar w:fldCharType="separate"/>
      </w:r>
      <w:r w:rsidR="009A50F1">
        <w:rPr>
          <w:noProof/>
        </w:rPr>
        <w:t>2</w:t>
      </w:r>
      <w:r>
        <w:rPr>
          <w:noProof/>
        </w:rPr>
        <w:fldChar w:fldCharType="end"/>
      </w:r>
    </w:p>
    <w:p w:rsidR="00E10E25" w:rsidRDefault="00E10E2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Annotations to be included in reprint</w:t>
      </w:r>
      <w:r>
        <w:rPr>
          <w:noProof/>
        </w:rPr>
        <w:tab/>
      </w:r>
      <w:r>
        <w:rPr>
          <w:noProof/>
        </w:rPr>
        <w:fldChar w:fldCharType="begin"/>
      </w:r>
      <w:r>
        <w:rPr>
          <w:noProof/>
        </w:rPr>
        <w:instrText xml:space="preserve"> PAGEREF _Toc270519021 \h </w:instrText>
      </w:r>
      <w:r>
        <w:rPr>
          <w:noProof/>
        </w:rPr>
      </w:r>
      <w:r>
        <w:rPr>
          <w:noProof/>
        </w:rPr>
        <w:fldChar w:fldCharType="separate"/>
      </w:r>
      <w:r w:rsidR="009A50F1">
        <w:rPr>
          <w:noProof/>
        </w:rPr>
        <w:t>3</w:t>
      </w:r>
      <w:r>
        <w:rPr>
          <w:noProof/>
        </w:rPr>
        <w:fldChar w:fldCharType="end"/>
      </w:r>
    </w:p>
    <w:p w:rsidR="00E10E25" w:rsidRDefault="00E10E2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Amendments of a formal nature</w:t>
      </w:r>
      <w:r>
        <w:rPr>
          <w:noProof/>
        </w:rPr>
        <w:tab/>
      </w:r>
      <w:r>
        <w:rPr>
          <w:noProof/>
        </w:rPr>
        <w:fldChar w:fldCharType="begin"/>
      </w:r>
      <w:r>
        <w:rPr>
          <w:noProof/>
        </w:rPr>
        <w:instrText xml:space="preserve"> PAGEREF _Toc270519022 \h </w:instrText>
      </w:r>
      <w:r>
        <w:rPr>
          <w:noProof/>
        </w:rPr>
      </w:r>
      <w:r>
        <w:rPr>
          <w:noProof/>
        </w:rPr>
        <w:fldChar w:fldCharType="separate"/>
      </w:r>
      <w:r w:rsidR="009A50F1">
        <w:rPr>
          <w:noProof/>
        </w:rPr>
        <w:t>3</w:t>
      </w:r>
      <w:r>
        <w:rPr>
          <w:noProof/>
        </w:rPr>
        <w:fldChar w:fldCharType="end"/>
      </w:r>
    </w:p>
    <w:p w:rsidR="00E10E25" w:rsidRDefault="00E10E25">
      <w:pPr>
        <w:pStyle w:val="TOC4"/>
        <w:tabs>
          <w:tab w:val="left" w:pos="1701"/>
        </w:tabs>
        <w:rPr>
          <w:noProof/>
          <w:sz w:val="24"/>
          <w:szCs w:val="24"/>
        </w:rPr>
      </w:pPr>
      <w:r>
        <w:rPr>
          <w:noProof/>
          <w:szCs w:val="24"/>
        </w:rPr>
        <w:t>7A.</w:t>
      </w:r>
      <w:r>
        <w:rPr>
          <w:noProof/>
          <w:sz w:val="24"/>
          <w:szCs w:val="24"/>
        </w:rPr>
        <w:tab/>
      </w:r>
      <w:r>
        <w:rPr>
          <w:noProof/>
          <w:szCs w:val="24"/>
        </w:rPr>
        <w:t>Delegation</w:t>
      </w:r>
      <w:r>
        <w:rPr>
          <w:noProof/>
        </w:rPr>
        <w:tab/>
      </w:r>
      <w:r>
        <w:rPr>
          <w:noProof/>
        </w:rPr>
        <w:fldChar w:fldCharType="begin"/>
      </w:r>
      <w:r>
        <w:rPr>
          <w:noProof/>
        </w:rPr>
        <w:instrText xml:space="preserve"> PAGEREF _Toc270519023 \h </w:instrText>
      </w:r>
      <w:r>
        <w:rPr>
          <w:noProof/>
        </w:rPr>
      </w:r>
      <w:r>
        <w:rPr>
          <w:noProof/>
        </w:rPr>
        <w:fldChar w:fldCharType="separate"/>
      </w:r>
      <w:r w:rsidR="009A50F1">
        <w:rPr>
          <w:noProof/>
        </w:rPr>
        <w:t>8</w:t>
      </w:r>
      <w:r>
        <w:rPr>
          <w:noProof/>
        </w:rPr>
        <w:fldChar w:fldCharType="end"/>
      </w:r>
    </w:p>
    <w:p w:rsidR="00E10E25" w:rsidRDefault="00E10E2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Proof of written law as reprinted</w:t>
      </w:r>
      <w:r>
        <w:rPr>
          <w:noProof/>
        </w:rPr>
        <w:tab/>
      </w:r>
      <w:r>
        <w:rPr>
          <w:noProof/>
        </w:rPr>
        <w:fldChar w:fldCharType="begin"/>
      </w:r>
      <w:r>
        <w:rPr>
          <w:noProof/>
        </w:rPr>
        <w:instrText xml:space="preserve"> PAGEREF _Toc270519024 \h </w:instrText>
      </w:r>
      <w:r>
        <w:rPr>
          <w:noProof/>
        </w:rPr>
      </w:r>
      <w:r>
        <w:rPr>
          <w:noProof/>
        </w:rPr>
        <w:fldChar w:fldCharType="separate"/>
      </w:r>
      <w:r w:rsidR="009A50F1">
        <w:rPr>
          <w:noProof/>
        </w:rPr>
        <w:t>9</w:t>
      </w:r>
      <w:r>
        <w:rPr>
          <w:noProof/>
        </w:rPr>
        <w:fldChar w:fldCharType="end"/>
      </w:r>
    </w:p>
    <w:p w:rsidR="00E10E25" w:rsidRDefault="00E10E2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Repeals and savings</w:t>
      </w:r>
      <w:r>
        <w:rPr>
          <w:noProof/>
        </w:rPr>
        <w:tab/>
      </w:r>
      <w:r>
        <w:rPr>
          <w:noProof/>
        </w:rPr>
        <w:fldChar w:fldCharType="begin"/>
      </w:r>
      <w:r>
        <w:rPr>
          <w:noProof/>
        </w:rPr>
        <w:instrText xml:space="preserve"> PAGEREF _Toc270519025 \h </w:instrText>
      </w:r>
      <w:r>
        <w:rPr>
          <w:noProof/>
        </w:rPr>
      </w:r>
      <w:r>
        <w:rPr>
          <w:noProof/>
        </w:rPr>
        <w:fldChar w:fldCharType="separate"/>
      </w:r>
      <w:r w:rsidR="009A50F1">
        <w:rPr>
          <w:noProof/>
        </w:rPr>
        <w:t>9</w:t>
      </w:r>
      <w:r>
        <w:rPr>
          <w:noProof/>
        </w:rPr>
        <w:fldChar w:fldCharType="end"/>
      </w:r>
    </w:p>
    <w:p w:rsidR="00E10E25" w:rsidRDefault="00E10E25">
      <w:pPr>
        <w:pStyle w:val="TOC2"/>
        <w:tabs>
          <w:tab w:val="right" w:leader="dot" w:pos="7086"/>
        </w:tabs>
        <w:rPr>
          <w:b w:val="0"/>
          <w:noProof/>
          <w:sz w:val="24"/>
          <w:szCs w:val="24"/>
        </w:rPr>
      </w:pPr>
      <w:r>
        <w:rPr>
          <w:noProof/>
          <w:szCs w:val="26"/>
        </w:rPr>
        <w:t>Notes</w:t>
      </w:r>
    </w:p>
    <w:p w:rsidR="00E10E25" w:rsidRDefault="00E10E2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_Toc270519027 \h </w:instrText>
      </w:r>
      <w:r>
        <w:rPr>
          <w:noProof/>
        </w:rPr>
      </w:r>
      <w:r>
        <w:rPr>
          <w:noProof/>
        </w:rPr>
        <w:fldChar w:fldCharType="separate"/>
      </w:r>
      <w:r w:rsidR="009A50F1">
        <w:rPr>
          <w:noProof/>
        </w:rPr>
        <w:t>10</w:t>
      </w:r>
      <w:r>
        <w:rPr>
          <w:noProof/>
        </w:rPr>
        <w:fldChar w:fldCharType="end"/>
      </w:r>
    </w:p>
    <w:p w:rsidR="00E10E25" w:rsidRDefault="00E10E25">
      <w:pPr>
        <w:pStyle w:val="TOC4"/>
      </w:pPr>
      <w:r>
        <w:fldChar w:fldCharType="end"/>
      </w:r>
    </w:p>
    <w:p w:rsidR="00E10E25" w:rsidRDefault="00E10E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10E25" w:rsidRDefault="00E10E25">
      <w:pPr>
        <w:pStyle w:val="NoteHeading"/>
        <w:sectPr w:rsidR="00E10E2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10E25" w:rsidRDefault="00E10E25">
      <w:pPr>
        <w:pStyle w:val="WA"/>
        <w:spacing w:before="120"/>
      </w:pPr>
      <w:smartTag w:uri="urn:schemas-microsoft-com:office:smarttags" w:element="State">
        <w:smartTag w:uri="urn:schemas-microsoft-com:office:smarttags" w:element="place">
          <w:r>
            <w:lastRenderedPageBreak/>
            <w:t>Western Australia</w:t>
          </w:r>
        </w:smartTag>
      </w:smartTag>
    </w:p>
    <w:p w:rsidR="00E10E25" w:rsidRDefault="00E10E25">
      <w:pPr>
        <w:pStyle w:val="NameofActReg"/>
      </w:pPr>
      <w:r>
        <w:t xml:space="preserve">Reprints Act 1984 </w:t>
      </w:r>
    </w:p>
    <w:p w:rsidR="00E10E25" w:rsidRDefault="00E10E25">
      <w:pPr>
        <w:pStyle w:val="LongTitle"/>
        <w:rPr>
          <w:snapToGrid w:val="0"/>
        </w:rPr>
      </w:pPr>
      <w:r>
        <w:rPr>
          <w:snapToGrid w:val="0"/>
        </w:rPr>
        <w:t xml:space="preserve">An Act to make provision for the reprinting of Acts of Parliament, and subsidiary legislation made thereunder, and to provide for the incorporation of certain formal amendments in reprints. </w:t>
      </w:r>
    </w:p>
    <w:p w:rsidR="00E10E25" w:rsidRDefault="00E10E25">
      <w:pPr>
        <w:pStyle w:val="Heading5"/>
        <w:spacing w:before="400"/>
        <w:rPr>
          <w:snapToGrid w:val="0"/>
        </w:rPr>
      </w:pPr>
      <w:bookmarkStart w:id="1" w:name="_Toc487864987"/>
      <w:bookmarkStart w:id="2" w:name="_Toc65310985"/>
      <w:bookmarkStart w:id="3" w:name="_Toc270519016"/>
      <w:r>
        <w:rPr>
          <w:rStyle w:val="CharSectno"/>
        </w:rPr>
        <w:t>1</w:t>
      </w:r>
      <w:r>
        <w:rPr>
          <w:snapToGrid w:val="0"/>
        </w:rPr>
        <w:t>.</w:t>
      </w:r>
      <w:r>
        <w:rPr>
          <w:snapToGrid w:val="0"/>
        </w:rPr>
        <w:tab/>
        <w:t>Short title</w:t>
      </w:r>
      <w:bookmarkEnd w:id="1"/>
      <w:bookmarkEnd w:id="2"/>
      <w:bookmarkEnd w:id="3"/>
      <w:r>
        <w:rPr>
          <w:snapToGrid w:val="0"/>
        </w:rPr>
        <w:t xml:space="preserve"> </w:t>
      </w:r>
    </w:p>
    <w:p w:rsidR="00E10E25" w:rsidRDefault="00E10E25">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 xml:space="preserve"> </w:t>
      </w:r>
      <w:r>
        <w:rPr>
          <w:snapToGrid w:val="0"/>
          <w:vertAlign w:val="superscript"/>
        </w:rPr>
        <w:t>1</w:t>
      </w:r>
      <w:r>
        <w:rPr>
          <w:snapToGrid w:val="0"/>
        </w:rPr>
        <w:t>.</w:t>
      </w:r>
    </w:p>
    <w:p w:rsidR="00E10E25" w:rsidRDefault="00E10E25">
      <w:pPr>
        <w:pStyle w:val="Heading5"/>
        <w:rPr>
          <w:snapToGrid w:val="0"/>
        </w:rPr>
      </w:pPr>
      <w:bookmarkStart w:id="4" w:name="_Toc487864988"/>
      <w:bookmarkStart w:id="5" w:name="_Toc65310986"/>
      <w:bookmarkStart w:id="6" w:name="_Toc270519017"/>
      <w:r>
        <w:rPr>
          <w:rStyle w:val="CharSectno"/>
        </w:rPr>
        <w:t>2</w:t>
      </w:r>
      <w:r>
        <w:rPr>
          <w:snapToGrid w:val="0"/>
        </w:rPr>
        <w:t>.</w:t>
      </w:r>
      <w:r>
        <w:rPr>
          <w:snapToGrid w:val="0"/>
        </w:rPr>
        <w:tab/>
        <w:t>Commencement</w:t>
      </w:r>
      <w:bookmarkEnd w:id="4"/>
      <w:bookmarkEnd w:id="5"/>
      <w:bookmarkEnd w:id="6"/>
      <w:r>
        <w:rPr>
          <w:snapToGrid w:val="0"/>
        </w:rPr>
        <w:t xml:space="preserve"> </w:t>
      </w:r>
    </w:p>
    <w:p w:rsidR="00E10E25" w:rsidRDefault="00E10E2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E10E25" w:rsidRDefault="00E10E25">
      <w:pPr>
        <w:pStyle w:val="Heading5"/>
        <w:rPr>
          <w:snapToGrid w:val="0"/>
        </w:rPr>
      </w:pPr>
      <w:bookmarkStart w:id="7" w:name="_Toc487864989"/>
      <w:bookmarkStart w:id="8" w:name="_Toc65310987"/>
      <w:bookmarkStart w:id="9" w:name="_Toc270519018"/>
      <w:r>
        <w:rPr>
          <w:rStyle w:val="CharSectno"/>
        </w:rPr>
        <w:t>3</w:t>
      </w:r>
      <w:r>
        <w:rPr>
          <w:snapToGrid w:val="0"/>
        </w:rPr>
        <w:t>.</w:t>
      </w:r>
      <w:r>
        <w:rPr>
          <w:snapToGrid w:val="0"/>
        </w:rPr>
        <w:tab/>
        <w:t>Application</w:t>
      </w:r>
      <w:bookmarkEnd w:id="7"/>
      <w:bookmarkEnd w:id="8"/>
      <w:bookmarkEnd w:id="9"/>
      <w:r>
        <w:rPr>
          <w:snapToGrid w:val="0"/>
        </w:rPr>
        <w:t xml:space="preserve"> </w:t>
      </w:r>
    </w:p>
    <w:p w:rsidR="00E10E25" w:rsidRDefault="00E10E25">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rsidR="00E10E25" w:rsidRDefault="00E10E25">
      <w:pPr>
        <w:pStyle w:val="Heading5"/>
        <w:rPr>
          <w:snapToGrid w:val="0"/>
        </w:rPr>
      </w:pPr>
      <w:bookmarkStart w:id="10" w:name="_Toc487864990"/>
      <w:bookmarkStart w:id="11" w:name="_Toc65310988"/>
      <w:bookmarkStart w:id="12" w:name="_Toc270519019"/>
      <w:r>
        <w:rPr>
          <w:rStyle w:val="CharSectno"/>
        </w:rPr>
        <w:t>4</w:t>
      </w:r>
      <w:r>
        <w:rPr>
          <w:snapToGrid w:val="0"/>
        </w:rPr>
        <w:t>.</w:t>
      </w:r>
      <w:r>
        <w:rPr>
          <w:snapToGrid w:val="0"/>
        </w:rPr>
        <w:tab/>
        <w:t>Interpretation</w:t>
      </w:r>
      <w:bookmarkEnd w:id="10"/>
      <w:bookmarkEnd w:id="11"/>
      <w:bookmarkEnd w:id="12"/>
      <w:r>
        <w:rPr>
          <w:snapToGrid w:val="0"/>
        </w:rPr>
        <w:t xml:space="preserve"> </w:t>
      </w:r>
    </w:p>
    <w:p w:rsidR="00E10E25" w:rsidRDefault="00E10E25">
      <w:pPr>
        <w:pStyle w:val="Subsection"/>
        <w:rPr>
          <w:snapToGrid w:val="0"/>
        </w:rPr>
      </w:pPr>
      <w:r>
        <w:rPr>
          <w:snapToGrid w:val="0"/>
        </w:rPr>
        <w:tab/>
        <w:t>(1)</w:t>
      </w:r>
      <w:r>
        <w:rPr>
          <w:snapToGrid w:val="0"/>
        </w:rPr>
        <w:tab/>
        <w:t>In this Act, unless the contrary intention appears — </w:t>
      </w:r>
    </w:p>
    <w:p w:rsidR="00E10E25" w:rsidRDefault="00E10E25">
      <w:pPr>
        <w:pStyle w:val="Defstart"/>
      </w:pPr>
      <w:r>
        <w:rPr>
          <w:b/>
        </w:rPr>
        <w:tab/>
      </w:r>
      <w:r>
        <w:rPr>
          <w:rStyle w:val="CharDefText"/>
        </w:rPr>
        <w:t>authorised officer</w:t>
      </w:r>
      <w:r>
        <w:t xml:space="preserve"> means a person who is empowered under section 5(3) to sign a statement under section 5(2);</w:t>
      </w:r>
    </w:p>
    <w:p w:rsidR="00E10E25" w:rsidRDefault="00E10E25">
      <w:pPr>
        <w:pStyle w:val="Defstart"/>
        <w:keepNext/>
        <w:keepLines/>
      </w:pPr>
      <w:r>
        <w:rPr>
          <w:b/>
        </w:rPr>
        <w:tab/>
      </w:r>
      <w:r>
        <w:rPr>
          <w:rStyle w:val="CharDefText"/>
        </w:rPr>
        <w:t>referential expression</w:t>
      </w:r>
      <w:r>
        <w:t xml:space="preserve"> means an expression in or to the effect of the words — </w:t>
      </w:r>
    </w:p>
    <w:p w:rsidR="00E10E25" w:rsidRDefault="00E10E25">
      <w:pPr>
        <w:pStyle w:val="Defpara"/>
      </w:pPr>
      <w:r>
        <w:tab/>
        <w:t>(a)</w:t>
      </w:r>
      <w:r>
        <w:tab/>
        <w:t>“of this Act”;</w:t>
      </w:r>
    </w:p>
    <w:p w:rsidR="00E10E25" w:rsidRDefault="00E10E25">
      <w:pPr>
        <w:pStyle w:val="Defpara"/>
      </w:pPr>
      <w:r>
        <w:tab/>
        <w:t>(b)</w:t>
      </w:r>
      <w:r>
        <w:tab/>
        <w:t>“to this Act”;</w:t>
      </w:r>
    </w:p>
    <w:p w:rsidR="00E10E25" w:rsidRDefault="00E10E25">
      <w:pPr>
        <w:pStyle w:val="Defpara"/>
      </w:pPr>
      <w:r>
        <w:tab/>
        <w:t>(c)</w:t>
      </w:r>
      <w:r>
        <w:tab/>
        <w:t>“of this Schedule”;</w:t>
      </w:r>
    </w:p>
    <w:p w:rsidR="00E10E25" w:rsidRDefault="00E10E25">
      <w:pPr>
        <w:pStyle w:val="Defpara"/>
      </w:pPr>
      <w:r>
        <w:tab/>
        <w:t>(d)</w:t>
      </w:r>
      <w:r>
        <w:tab/>
        <w:t>“of this Part”;</w:t>
      </w:r>
    </w:p>
    <w:p w:rsidR="00E10E25" w:rsidRDefault="00E10E25">
      <w:pPr>
        <w:pStyle w:val="Defpara"/>
      </w:pPr>
      <w:r>
        <w:lastRenderedPageBreak/>
        <w:tab/>
        <w:t>(e)</w:t>
      </w:r>
      <w:r>
        <w:tab/>
        <w:t>“of this Division”;</w:t>
      </w:r>
    </w:p>
    <w:p w:rsidR="00E10E25" w:rsidRDefault="00E10E25">
      <w:pPr>
        <w:pStyle w:val="Defpara"/>
      </w:pPr>
      <w:r>
        <w:tab/>
        <w:t>(f)</w:t>
      </w:r>
      <w:r>
        <w:tab/>
        <w:t>“of this section”;</w:t>
      </w:r>
    </w:p>
    <w:p w:rsidR="00E10E25" w:rsidRDefault="00E10E25">
      <w:pPr>
        <w:pStyle w:val="Defpara"/>
      </w:pPr>
      <w:r>
        <w:tab/>
        <w:t>(g)</w:t>
      </w:r>
      <w:r>
        <w:tab/>
        <w:t>“of this subsection”;</w:t>
      </w:r>
    </w:p>
    <w:p w:rsidR="00E10E25" w:rsidRDefault="00E10E25">
      <w:pPr>
        <w:pStyle w:val="Defpara"/>
      </w:pPr>
      <w:r>
        <w:tab/>
        <w:t>(h)</w:t>
      </w:r>
      <w:r>
        <w:tab/>
        <w:t>“of this paragraph”;</w:t>
      </w:r>
    </w:p>
    <w:p w:rsidR="00E10E25" w:rsidRDefault="00E10E25">
      <w:pPr>
        <w:pStyle w:val="Defpara"/>
      </w:pPr>
      <w:r>
        <w:tab/>
        <w:t>(i)</w:t>
      </w:r>
      <w:r>
        <w:tab/>
        <w:t>“of this subparagraph”;</w:t>
      </w:r>
    </w:p>
    <w:p w:rsidR="00E10E25" w:rsidRDefault="00E10E25">
      <w:pPr>
        <w:pStyle w:val="Defpara"/>
      </w:pPr>
      <w:r>
        <w:tab/>
        <w:t>(j)</w:t>
      </w:r>
      <w:r>
        <w:tab/>
        <w:t>“of this clause”;</w:t>
      </w:r>
    </w:p>
    <w:p w:rsidR="00E10E25" w:rsidRDefault="00E10E25">
      <w:pPr>
        <w:pStyle w:val="Defpara"/>
      </w:pPr>
      <w:r>
        <w:tab/>
        <w:t>(k)</w:t>
      </w:r>
      <w:r>
        <w:tab/>
        <w:t>“of this subclause”;</w:t>
      </w:r>
    </w:p>
    <w:p w:rsidR="00E10E25" w:rsidRDefault="00E10E25">
      <w:pPr>
        <w:pStyle w:val="Defpara"/>
      </w:pPr>
      <w:r>
        <w:tab/>
        <w:t>(ka)</w:t>
      </w:r>
      <w:r>
        <w:tab/>
        <w:t>“of this definition”;</w:t>
      </w:r>
    </w:p>
    <w:p w:rsidR="00E10E25" w:rsidRDefault="00E10E25">
      <w:pPr>
        <w:pStyle w:val="Defpara"/>
      </w:pPr>
      <w:r>
        <w:tab/>
        <w:t>(l)</w:t>
      </w:r>
      <w:r>
        <w:tab/>
        <w:t>“of this item”;</w:t>
      </w:r>
    </w:p>
    <w:p w:rsidR="00E10E25" w:rsidRDefault="00E10E25">
      <w:pPr>
        <w:pStyle w:val="Defpara"/>
      </w:pPr>
      <w:r>
        <w:tab/>
        <w:t>(m)</w:t>
      </w:r>
      <w:r>
        <w:tab/>
        <w:t>“before</w:t>
      </w:r>
      <w:r>
        <w:noBreakHyphen/>
        <w:t>mentioned” or “afore</w:t>
      </w:r>
      <w:r>
        <w:noBreakHyphen/>
        <w:t>mentioned”;</w:t>
      </w:r>
    </w:p>
    <w:p w:rsidR="00E10E25" w:rsidRDefault="00E10E25">
      <w:pPr>
        <w:pStyle w:val="Defpara"/>
      </w:pPr>
      <w:r>
        <w:tab/>
        <w:t>(n)</w:t>
      </w:r>
      <w:r>
        <w:tab/>
        <w:t>“hereof ”;</w:t>
      </w:r>
    </w:p>
    <w:p w:rsidR="00E10E25" w:rsidRDefault="00E10E25">
      <w:pPr>
        <w:pStyle w:val="Defpara"/>
      </w:pPr>
      <w:r>
        <w:tab/>
        <w:t>(o)</w:t>
      </w:r>
      <w:r>
        <w:tab/>
        <w:t>“hereto”; or</w:t>
      </w:r>
    </w:p>
    <w:p w:rsidR="00E10E25" w:rsidRDefault="00E10E25">
      <w:pPr>
        <w:pStyle w:val="Defpara"/>
      </w:pPr>
      <w:r>
        <w:tab/>
        <w:t>(p)</w:t>
      </w:r>
      <w:r>
        <w:tab/>
        <w:t>“said”, “the said”, “aforesaid” or “the aforesaid”,</w:t>
      </w:r>
    </w:p>
    <w:p w:rsidR="00E10E25" w:rsidRDefault="00E10E25">
      <w:pPr>
        <w:pStyle w:val="Defstart"/>
      </w:pPr>
      <w:r>
        <w:tab/>
        <w:t>and corresponding expressions appearing in subsidiary legislation, occurring in conjunction with a number or a letter or both to designate a provision of the written law in which the expression appears;</w:t>
      </w:r>
    </w:p>
    <w:p w:rsidR="00E10E25" w:rsidRDefault="00E10E25">
      <w:pPr>
        <w:pStyle w:val="Defstart"/>
      </w:pPr>
      <w:r>
        <w:rPr>
          <w:b/>
        </w:rPr>
        <w:tab/>
      </w:r>
      <w:r>
        <w:rPr>
          <w:rStyle w:val="CharDefText"/>
        </w:rPr>
        <w:t>written law</w:t>
      </w:r>
      <w:r>
        <w:t xml:space="preserve"> or </w:t>
      </w:r>
      <w:r>
        <w:rPr>
          <w:rStyle w:val="CharDefText"/>
        </w:rPr>
        <w:t>law</w:t>
      </w:r>
      <w:r>
        <w:t xml:space="preserve"> includes any portion of a written law or law.</w:t>
      </w:r>
    </w:p>
    <w:p w:rsidR="00E10E25" w:rsidRDefault="00E10E25">
      <w:pPr>
        <w:pStyle w:val="Subsection"/>
      </w:pPr>
      <w:r>
        <w:tab/>
        <w:t>(2)</w:t>
      </w:r>
      <w:r>
        <w:tab/>
        <w:t xml:space="preserve">For the purposes of this Act, </w:t>
      </w:r>
      <w:r>
        <w:rPr>
          <w:b/>
        </w:rPr>
        <w:t>“written law”</w:t>
      </w:r>
      <w:r>
        <w:t xml:space="preserve"> includes rules made under the Royal Prerogative in relation to Queen’s Counsel.</w:t>
      </w:r>
    </w:p>
    <w:p w:rsidR="00E10E25" w:rsidRDefault="00E10E25">
      <w:pPr>
        <w:pStyle w:val="Footnotesection"/>
      </w:pPr>
      <w:r>
        <w:tab/>
        <w:t xml:space="preserve">[Section 4 amended by No. 15 of 1994 s. 4; No. 10 of 1998 s. 61(1); No. 74 of 2003 s. 102(2).] </w:t>
      </w:r>
    </w:p>
    <w:p w:rsidR="00E10E25" w:rsidRDefault="00E10E25">
      <w:pPr>
        <w:pStyle w:val="Heading5"/>
        <w:rPr>
          <w:snapToGrid w:val="0"/>
        </w:rPr>
      </w:pPr>
      <w:bookmarkStart w:id="13" w:name="_Toc487864991"/>
      <w:bookmarkStart w:id="14" w:name="_Toc65310989"/>
      <w:bookmarkStart w:id="15" w:name="_Toc270519020"/>
      <w:r>
        <w:rPr>
          <w:rStyle w:val="CharSectno"/>
        </w:rPr>
        <w:t>5</w:t>
      </w:r>
      <w:r>
        <w:rPr>
          <w:snapToGrid w:val="0"/>
        </w:rPr>
        <w:t>.</w:t>
      </w:r>
      <w:r>
        <w:rPr>
          <w:snapToGrid w:val="0"/>
        </w:rPr>
        <w:tab/>
        <w:t>Attorney General may direct reprinting</w:t>
      </w:r>
      <w:bookmarkEnd w:id="13"/>
      <w:bookmarkEnd w:id="14"/>
      <w:bookmarkEnd w:id="15"/>
      <w:r>
        <w:rPr>
          <w:snapToGrid w:val="0"/>
        </w:rPr>
        <w:t xml:space="preserve"> </w:t>
      </w:r>
    </w:p>
    <w:p w:rsidR="00E10E25" w:rsidRDefault="00E10E25">
      <w:pPr>
        <w:pStyle w:val="Subsection"/>
        <w:rPr>
          <w:snapToGrid w:val="0"/>
        </w:rPr>
      </w:pPr>
      <w:r>
        <w:rPr>
          <w:snapToGrid w:val="0"/>
        </w:rPr>
        <w:tab/>
        <w:t>(1)</w:t>
      </w:r>
      <w:r>
        <w:rPr>
          <w:snapToGrid w:val="0"/>
        </w:rPr>
        <w:tab/>
        <w:t>The Attorney General may, in writing — </w:t>
      </w:r>
    </w:p>
    <w:p w:rsidR="00E10E25" w:rsidRDefault="00E10E25">
      <w:pPr>
        <w:pStyle w:val="Indenta"/>
        <w:rPr>
          <w:snapToGrid w:val="0"/>
        </w:rPr>
      </w:pPr>
      <w:r>
        <w:rPr>
          <w:snapToGrid w:val="0"/>
        </w:rPr>
        <w:tab/>
        <w:t>(a)</w:t>
      </w:r>
      <w:r>
        <w:rPr>
          <w:snapToGrid w:val="0"/>
        </w:rPr>
        <w:tab/>
        <w:t>direct the Government Printer to reprint any written law;</w:t>
      </w:r>
    </w:p>
    <w:p w:rsidR="00E10E25" w:rsidRDefault="00E10E25">
      <w:pPr>
        <w:pStyle w:val="Indenta"/>
        <w:rPr>
          <w:snapToGrid w:val="0"/>
        </w:rPr>
      </w:pPr>
      <w:r>
        <w:rPr>
          <w:snapToGrid w:val="0"/>
        </w:rPr>
        <w:tab/>
        <w:t>(b)</w:t>
      </w:r>
      <w:r>
        <w:rPr>
          <w:snapToGrid w:val="0"/>
        </w:rPr>
        <w:tab/>
        <w:t>revoke or amend a direction given under paragraph (a).</w:t>
      </w:r>
    </w:p>
    <w:p w:rsidR="00E10E25" w:rsidRDefault="00E10E25">
      <w:pPr>
        <w:pStyle w:val="Subsection"/>
        <w:rPr>
          <w:snapToGrid w:val="0"/>
        </w:rPr>
      </w:pPr>
      <w:r>
        <w:rPr>
          <w:snapToGrid w:val="0"/>
        </w:rPr>
        <w:tab/>
        <w:t>(2)</w:t>
      </w:r>
      <w:r>
        <w:rPr>
          <w:snapToGrid w:val="0"/>
        </w:rPr>
        <w:tab/>
        <w:t>A direction under subsection (1)(a), or an amendment to such a direction, shall be accompanied by — </w:t>
      </w:r>
    </w:p>
    <w:p w:rsidR="00E10E25" w:rsidRDefault="00E10E25">
      <w:pPr>
        <w:pStyle w:val="Indenta"/>
        <w:rPr>
          <w:snapToGrid w:val="0"/>
        </w:rPr>
      </w:pPr>
      <w:r>
        <w:rPr>
          <w:snapToGrid w:val="0"/>
        </w:rPr>
        <w:lastRenderedPageBreak/>
        <w:tab/>
        <w:t>(a)</w:t>
      </w:r>
      <w:r>
        <w:rPr>
          <w:snapToGrid w:val="0"/>
        </w:rPr>
        <w:tab/>
        <w:t>a copy of the written law in the form in which it is required to be so reprinted; and</w:t>
      </w:r>
    </w:p>
    <w:p w:rsidR="00E10E25" w:rsidRDefault="00E10E25">
      <w:pPr>
        <w:pStyle w:val="Indenta"/>
        <w:rPr>
          <w:snapToGrid w:val="0"/>
        </w:rPr>
      </w:pPr>
      <w:r>
        <w:rPr>
          <w:snapToGrid w:val="0"/>
        </w:rPr>
        <w:tab/>
        <w:t>(b)</w:t>
      </w:r>
      <w:r>
        <w:rPr>
          <w:snapToGrid w:val="0"/>
        </w:rPr>
        <w:tab/>
        <w:t>a statement that such form has been prepared in the Parliamentary Counsel’s Office.</w:t>
      </w:r>
    </w:p>
    <w:p w:rsidR="00E10E25" w:rsidRDefault="00E10E25">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w:t>
      </w:r>
    </w:p>
    <w:p w:rsidR="00E10E25" w:rsidRDefault="00E10E25">
      <w:pPr>
        <w:pStyle w:val="Subsection"/>
        <w:rPr>
          <w:snapToGrid w:val="0"/>
        </w:rPr>
      </w:pPr>
      <w:r>
        <w:rPr>
          <w:snapToGrid w:val="0"/>
        </w:rPr>
        <w:tab/>
        <w:t>(4)</w:t>
      </w:r>
      <w:r>
        <w:rPr>
          <w:snapToGrid w:val="0"/>
        </w:rPr>
        <w:tab/>
        <w:t>The Government Printer shall comply with any direction given to him under this section.</w:t>
      </w:r>
    </w:p>
    <w:p w:rsidR="00E10E25" w:rsidRDefault="00E10E25">
      <w:pPr>
        <w:pStyle w:val="Footnotesection"/>
      </w:pPr>
      <w:r>
        <w:tab/>
        <w:t xml:space="preserve">[Section 5 amended by No. 31 of 1993 s. 61; No. 15 of 1994 s. 5.] </w:t>
      </w:r>
    </w:p>
    <w:p w:rsidR="00E10E25" w:rsidRDefault="00E10E25">
      <w:pPr>
        <w:pStyle w:val="Heading5"/>
        <w:rPr>
          <w:snapToGrid w:val="0"/>
        </w:rPr>
      </w:pPr>
      <w:bookmarkStart w:id="16" w:name="_Toc487864992"/>
      <w:bookmarkStart w:id="17" w:name="_Toc65310990"/>
      <w:bookmarkStart w:id="18" w:name="_Toc270519021"/>
      <w:r>
        <w:rPr>
          <w:rStyle w:val="CharSectno"/>
        </w:rPr>
        <w:t>6</w:t>
      </w:r>
      <w:r>
        <w:rPr>
          <w:snapToGrid w:val="0"/>
        </w:rPr>
        <w:t>.</w:t>
      </w:r>
      <w:r>
        <w:rPr>
          <w:snapToGrid w:val="0"/>
        </w:rPr>
        <w:tab/>
        <w:t>Annotations to be included in reprint</w:t>
      </w:r>
      <w:bookmarkEnd w:id="16"/>
      <w:bookmarkEnd w:id="17"/>
      <w:bookmarkEnd w:id="18"/>
      <w:r>
        <w:rPr>
          <w:snapToGrid w:val="0"/>
        </w:rPr>
        <w:t xml:space="preserve"> </w:t>
      </w:r>
    </w:p>
    <w:p w:rsidR="00E10E25" w:rsidRDefault="00E10E25">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rsidR="00E10E25" w:rsidRDefault="00E10E25">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rsidR="00E10E25" w:rsidRDefault="00E10E25">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rsidR="00E10E25" w:rsidRDefault="00E10E25">
      <w:pPr>
        <w:pStyle w:val="Heading5"/>
        <w:rPr>
          <w:snapToGrid w:val="0"/>
        </w:rPr>
      </w:pPr>
      <w:bookmarkStart w:id="19" w:name="_Toc487864993"/>
      <w:bookmarkStart w:id="20" w:name="_Toc65310991"/>
      <w:bookmarkStart w:id="21" w:name="_Toc270519022"/>
      <w:r>
        <w:rPr>
          <w:rStyle w:val="CharSectno"/>
        </w:rPr>
        <w:t>7</w:t>
      </w:r>
      <w:r>
        <w:rPr>
          <w:snapToGrid w:val="0"/>
        </w:rPr>
        <w:t>.</w:t>
      </w:r>
      <w:r>
        <w:rPr>
          <w:snapToGrid w:val="0"/>
        </w:rPr>
        <w:tab/>
        <w:t>Amendments of a formal nature</w:t>
      </w:r>
      <w:bookmarkEnd w:id="19"/>
      <w:bookmarkEnd w:id="20"/>
      <w:bookmarkEnd w:id="21"/>
      <w:r>
        <w:rPr>
          <w:snapToGrid w:val="0"/>
        </w:rPr>
        <w:t xml:space="preserve"> </w:t>
      </w:r>
    </w:p>
    <w:p w:rsidR="00E10E25" w:rsidRDefault="00E10E25">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rsidR="00E10E25" w:rsidRDefault="00E10E25">
      <w:pPr>
        <w:pStyle w:val="Subsection"/>
        <w:rPr>
          <w:snapToGrid w:val="0"/>
        </w:rPr>
      </w:pPr>
      <w:r>
        <w:rPr>
          <w:snapToGrid w:val="0"/>
        </w:rPr>
        <w:lastRenderedPageBreak/>
        <w:tab/>
        <w:t>(2)</w:t>
      </w:r>
      <w:r>
        <w:rPr>
          <w:snapToGrid w:val="0"/>
        </w:rPr>
        <w:tab/>
        <w:t>The exercise of a power conferred by this section shall not have effect to alter or otherwise affect the substance or operation of any written law.</w:t>
      </w:r>
    </w:p>
    <w:p w:rsidR="00E10E25" w:rsidRDefault="00E10E25">
      <w:pPr>
        <w:pStyle w:val="Subsection"/>
        <w:rPr>
          <w:snapToGrid w:val="0"/>
        </w:rPr>
      </w:pPr>
      <w:r>
        <w:rPr>
          <w:snapToGrid w:val="0"/>
        </w:rPr>
        <w:tab/>
        <w:t>(3)</w:t>
      </w:r>
      <w:r>
        <w:rPr>
          <w:snapToGrid w:val="0"/>
        </w:rPr>
        <w:tab/>
        <w:t>An authorised officer may substitute — </w:t>
      </w:r>
    </w:p>
    <w:p w:rsidR="00E10E25" w:rsidRDefault="00E10E25">
      <w:pPr>
        <w:pStyle w:val="Indenta"/>
        <w:rPr>
          <w:snapToGrid w:val="0"/>
        </w:rPr>
      </w:pPr>
      <w:r>
        <w:rPr>
          <w:snapToGrid w:val="0"/>
        </w:rPr>
        <w:tab/>
        <w:t>(a)</w:t>
      </w:r>
      <w:r>
        <w:rPr>
          <w:snapToGrid w:val="0"/>
        </w:rPr>
        <w:tab/>
        <w:t>for words that designate cardinal numbers, figures that designate the same numbers;</w:t>
      </w:r>
    </w:p>
    <w:p w:rsidR="00E10E25" w:rsidRDefault="00E10E25">
      <w:pPr>
        <w:pStyle w:val="Indenta"/>
        <w:rPr>
          <w:snapToGrid w:val="0"/>
        </w:rPr>
      </w:pPr>
      <w:r>
        <w:rPr>
          <w:snapToGrid w:val="0"/>
        </w:rPr>
        <w:tab/>
        <w:t>(b)</w:t>
      </w:r>
      <w:r>
        <w:rPr>
          <w:snapToGrid w:val="0"/>
        </w:rPr>
        <w:tab/>
        <w:t>for words that designate ordinal numbers, figures and letters that designate the same numbers;</w:t>
      </w:r>
    </w:p>
    <w:p w:rsidR="00E10E25" w:rsidRDefault="00E10E25">
      <w:pPr>
        <w:pStyle w:val="Indenta"/>
        <w:rPr>
          <w:snapToGrid w:val="0"/>
        </w:rPr>
      </w:pPr>
      <w:r>
        <w:rPr>
          <w:snapToGrid w:val="0"/>
        </w:rPr>
        <w:tab/>
        <w:t>(c)</w:t>
      </w:r>
      <w:r>
        <w:rPr>
          <w:snapToGrid w:val="0"/>
        </w:rPr>
        <w:tab/>
        <w:t>for words that designate a sum of money, figures, together with the appropriate symbol, that designate the same sum;</w:t>
      </w:r>
    </w:p>
    <w:p w:rsidR="00E10E25" w:rsidRDefault="00E10E25">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rsidR="00E10E25" w:rsidRDefault="00E10E25">
      <w:pPr>
        <w:pStyle w:val="Indenta"/>
        <w:rPr>
          <w:snapToGrid w:val="0"/>
        </w:rPr>
      </w:pPr>
      <w:r>
        <w:rPr>
          <w:snapToGrid w:val="0"/>
        </w:rPr>
        <w:tab/>
        <w:t>(d)</w:t>
      </w:r>
      <w:r>
        <w:rPr>
          <w:snapToGrid w:val="0"/>
        </w:rPr>
        <w:tab/>
        <w:t>for words, or words and figures, that designate a date, an expression that designates the same date by means of — </w:t>
      </w:r>
    </w:p>
    <w:p w:rsidR="00E10E25" w:rsidRDefault="00E10E25">
      <w:pPr>
        <w:pStyle w:val="Indenti"/>
        <w:rPr>
          <w:snapToGrid w:val="0"/>
        </w:rPr>
      </w:pPr>
      <w:r>
        <w:rPr>
          <w:snapToGrid w:val="0"/>
        </w:rPr>
        <w:tab/>
        <w:t>(i)</w:t>
      </w:r>
      <w:r>
        <w:rPr>
          <w:snapToGrid w:val="0"/>
        </w:rPr>
        <w:tab/>
        <w:t>the number designating the day of the month;</w:t>
      </w:r>
    </w:p>
    <w:p w:rsidR="00E10E25" w:rsidRDefault="00E10E25">
      <w:pPr>
        <w:pStyle w:val="Indenti"/>
        <w:rPr>
          <w:snapToGrid w:val="0"/>
        </w:rPr>
      </w:pPr>
      <w:r>
        <w:rPr>
          <w:snapToGrid w:val="0"/>
        </w:rPr>
        <w:tab/>
        <w:t>(ii)</w:t>
      </w:r>
      <w:r>
        <w:rPr>
          <w:snapToGrid w:val="0"/>
        </w:rPr>
        <w:tab/>
        <w:t>the name of the month; and</w:t>
      </w:r>
    </w:p>
    <w:p w:rsidR="00E10E25" w:rsidRDefault="00E10E25">
      <w:pPr>
        <w:pStyle w:val="Indenti"/>
        <w:rPr>
          <w:snapToGrid w:val="0"/>
        </w:rPr>
      </w:pPr>
      <w:r>
        <w:rPr>
          <w:snapToGrid w:val="0"/>
        </w:rPr>
        <w:tab/>
        <w:t>(iii)</w:t>
      </w:r>
      <w:r>
        <w:rPr>
          <w:snapToGrid w:val="0"/>
        </w:rPr>
        <w:tab/>
        <w:t>where required, the year expressed in figures;</w:t>
      </w:r>
    </w:p>
    <w:p w:rsidR="00E10E25" w:rsidRDefault="00E10E25">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rsidR="00E10E25" w:rsidRDefault="00E10E25">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rsidR="00E10E25" w:rsidRDefault="00E10E25">
      <w:pPr>
        <w:pStyle w:val="Indenta"/>
        <w:rPr>
          <w:snapToGrid w:val="0"/>
        </w:rPr>
      </w:pPr>
      <w:r>
        <w:rPr>
          <w:snapToGrid w:val="0"/>
        </w:rPr>
        <w:tab/>
        <w:t>(ea)</w:t>
      </w:r>
      <w:r>
        <w:rPr>
          <w:snapToGrid w:val="0"/>
        </w:rPr>
        <w:tab/>
        <w:t>for “per centum”, or “percent” or “per cent”, the symbol “%”;</w:t>
      </w:r>
    </w:p>
    <w:p w:rsidR="00E10E25" w:rsidRDefault="00E10E25">
      <w:pPr>
        <w:pStyle w:val="Indenta"/>
        <w:rPr>
          <w:snapToGrid w:val="0"/>
        </w:rPr>
      </w:pPr>
      <w:r>
        <w:rPr>
          <w:snapToGrid w:val="0"/>
        </w:rPr>
        <w:tab/>
        <w:t>(f)</w:t>
      </w:r>
      <w:r>
        <w:rPr>
          <w:snapToGrid w:val="0"/>
        </w:rPr>
        <w:tab/>
        <w:t>for a reference to His Majesty the King or Her Majesty the Queen, a reference to the Crown or the Sovereign;</w:t>
      </w:r>
    </w:p>
    <w:p w:rsidR="00E10E25" w:rsidRDefault="00E10E25">
      <w:pPr>
        <w:pStyle w:val="Indenta"/>
        <w:rPr>
          <w:snapToGrid w:val="0"/>
        </w:rPr>
      </w:pPr>
      <w:r>
        <w:rPr>
          <w:snapToGrid w:val="0"/>
        </w:rPr>
        <w:lastRenderedPageBreak/>
        <w:tab/>
        <w:t>(g)</w:t>
      </w:r>
      <w:r>
        <w:rPr>
          <w:snapToGrid w:val="0"/>
        </w:rPr>
        <w:tab/>
        <w:t>for a reference to a written law or a law made by or under the authority of any legislature outside the State, a reference to any other written law or law so made if the effect of — </w:t>
      </w:r>
    </w:p>
    <w:p w:rsidR="00E10E25" w:rsidRDefault="00E10E25">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rsidR="00E10E25" w:rsidRDefault="00E10E25">
      <w:pPr>
        <w:pStyle w:val="Indenti"/>
        <w:rPr>
          <w:snapToGrid w:val="0"/>
        </w:rPr>
      </w:pPr>
      <w:r>
        <w:rPr>
          <w:snapToGrid w:val="0"/>
        </w:rPr>
        <w:tab/>
        <w:t>(ii)</w:t>
      </w:r>
      <w:r>
        <w:rPr>
          <w:snapToGrid w:val="0"/>
        </w:rPr>
        <w:tab/>
        <w:t>any other written law,</w:t>
      </w:r>
    </w:p>
    <w:p w:rsidR="00E10E25" w:rsidRDefault="00E10E25">
      <w:pPr>
        <w:pStyle w:val="Indenta"/>
        <w:rPr>
          <w:snapToGrid w:val="0"/>
        </w:rPr>
      </w:pPr>
      <w:r>
        <w:rPr>
          <w:snapToGrid w:val="0"/>
        </w:rPr>
        <w:tab/>
      </w:r>
      <w:r>
        <w:rPr>
          <w:snapToGrid w:val="0"/>
        </w:rPr>
        <w:tab/>
        <w:t>is that the former is to be read, or to be taken to be amended to read, as the latter;</w:t>
      </w:r>
    </w:p>
    <w:p w:rsidR="00E10E25" w:rsidRDefault="00E10E25">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rsidR="00E10E25" w:rsidRDefault="00E10E25">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rsidR="00E10E25" w:rsidRDefault="00E10E25">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rsidR="00E10E25" w:rsidRDefault="00E10E25">
      <w:pPr>
        <w:pStyle w:val="Indenta"/>
        <w:rPr>
          <w:snapToGrid w:val="0"/>
        </w:rPr>
      </w:pPr>
      <w:r>
        <w:rPr>
          <w:snapToGrid w:val="0"/>
        </w:rPr>
        <w:tab/>
        <w:t>(i)</w:t>
      </w:r>
      <w:r>
        <w:rPr>
          <w:snapToGrid w:val="0"/>
        </w:rPr>
        <w:tab/>
        <w:t>for a reference to — </w:t>
      </w:r>
    </w:p>
    <w:p w:rsidR="00E10E25" w:rsidRDefault="00E10E25">
      <w:pPr>
        <w:pStyle w:val="Indenti"/>
        <w:rPr>
          <w:snapToGrid w:val="0"/>
        </w:rPr>
      </w:pPr>
      <w:r>
        <w:rPr>
          <w:snapToGrid w:val="0"/>
        </w:rPr>
        <w:tab/>
        <w:t>(i)</w:t>
      </w:r>
      <w:r>
        <w:rPr>
          <w:snapToGrid w:val="0"/>
        </w:rPr>
        <w:tab/>
        <w:t>a subsection of a section of an Act or a subclause of a clause of a Schedule to an Act; or</w:t>
      </w:r>
    </w:p>
    <w:p w:rsidR="00E10E25" w:rsidRDefault="00E10E25">
      <w:pPr>
        <w:pStyle w:val="Indenti"/>
        <w:rPr>
          <w:snapToGrid w:val="0"/>
        </w:rPr>
      </w:pPr>
      <w:r>
        <w:rPr>
          <w:snapToGrid w:val="0"/>
        </w:rPr>
        <w:tab/>
        <w:t>(ii)</w:t>
      </w:r>
      <w:r>
        <w:rPr>
          <w:snapToGrid w:val="0"/>
        </w:rPr>
        <w:tab/>
        <w:t>any lesser subdivision of a section or clause; or</w:t>
      </w:r>
    </w:p>
    <w:p w:rsidR="00E10E25" w:rsidRDefault="00E10E25">
      <w:pPr>
        <w:pStyle w:val="Indenti"/>
        <w:rPr>
          <w:snapToGrid w:val="0"/>
        </w:rPr>
      </w:pPr>
      <w:r>
        <w:rPr>
          <w:snapToGrid w:val="0"/>
        </w:rPr>
        <w:tab/>
        <w:t>(iii)</w:t>
      </w:r>
      <w:r>
        <w:rPr>
          <w:snapToGrid w:val="0"/>
        </w:rPr>
        <w:tab/>
        <w:t>any corresponding provision of subsidiary legislation,</w:t>
      </w:r>
    </w:p>
    <w:p w:rsidR="00E10E25" w:rsidRDefault="00E10E25">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rsidR="00E10E25" w:rsidRDefault="00E10E25">
      <w:pPr>
        <w:pStyle w:val="Subsection"/>
        <w:keepNext/>
        <w:rPr>
          <w:snapToGrid w:val="0"/>
        </w:rPr>
      </w:pPr>
      <w:r>
        <w:rPr>
          <w:snapToGrid w:val="0"/>
        </w:rPr>
        <w:tab/>
        <w:t>(4)</w:t>
      </w:r>
      <w:r>
        <w:rPr>
          <w:snapToGrid w:val="0"/>
        </w:rPr>
        <w:tab/>
        <w:t>An authorised officer may omit — </w:t>
      </w:r>
    </w:p>
    <w:p w:rsidR="00E10E25" w:rsidRDefault="00E10E25">
      <w:pPr>
        <w:pStyle w:val="Indenta"/>
        <w:rPr>
          <w:snapToGrid w:val="0"/>
        </w:rPr>
      </w:pPr>
      <w:r>
        <w:rPr>
          <w:snapToGrid w:val="0"/>
        </w:rPr>
        <w:tab/>
        <w:t>(a)</w:t>
      </w:r>
      <w:r>
        <w:rPr>
          <w:snapToGrid w:val="0"/>
        </w:rPr>
        <w:tab/>
        <w:t>any referential expression;</w:t>
      </w:r>
    </w:p>
    <w:p w:rsidR="00E10E25" w:rsidRDefault="00E10E25">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rsidR="00E10E25" w:rsidRDefault="00E10E25">
      <w:pPr>
        <w:pStyle w:val="Indenta"/>
        <w:rPr>
          <w:snapToGrid w:val="0"/>
        </w:rPr>
      </w:pPr>
      <w:r>
        <w:rPr>
          <w:snapToGrid w:val="0"/>
        </w:rPr>
        <w:lastRenderedPageBreak/>
        <w:tab/>
        <w:t>(c)</w:t>
      </w:r>
      <w:r>
        <w:rPr>
          <w:snapToGrid w:val="0"/>
        </w:rPr>
        <w:tab/>
        <w:t>a provision as to the commencement of a written law;</w:t>
      </w:r>
    </w:p>
    <w:p w:rsidR="00E10E25" w:rsidRDefault="00E10E25">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rsidR="00E10E25" w:rsidRDefault="00E10E25">
      <w:pPr>
        <w:pStyle w:val="Indenta"/>
        <w:rPr>
          <w:snapToGrid w:val="0"/>
        </w:rPr>
      </w:pPr>
      <w:r>
        <w:rPr>
          <w:snapToGrid w:val="0"/>
        </w:rPr>
        <w:tab/>
        <w:t>(e)</w:t>
      </w:r>
      <w:r>
        <w:rPr>
          <w:snapToGrid w:val="0"/>
        </w:rPr>
        <w:tab/>
        <w:t>a provision that has expired or become spent or had its effect;</w:t>
      </w:r>
    </w:p>
    <w:p w:rsidR="00E10E25" w:rsidRDefault="00E10E25">
      <w:pPr>
        <w:pStyle w:val="Indenta"/>
        <w:rPr>
          <w:snapToGrid w:val="0"/>
        </w:rPr>
      </w:pPr>
      <w:r>
        <w:rPr>
          <w:snapToGrid w:val="0"/>
        </w:rPr>
        <w:tab/>
        <w:t>(f)</w:t>
      </w:r>
      <w:r>
        <w:rPr>
          <w:snapToGrid w:val="0"/>
        </w:rPr>
        <w:tab/>
        <w:t>any repealing provision, including any list of repealed laws;</w:t>
      </w:r>
    </w:p>
    <w:p w:rsidR="00E10E25" w:rsidRDefault="00E10E25">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rsidR="00E10E25" w:rsidRDefault="00E10E25">
      <w:pPr>
        <w:pStyle w:val="Subsection"/>
      </w:pPr>
      <w:r>
        <w:tab/>
        <w:t>(4A)</w:t>
      </w:r>
      <w:r>
        <w:tab/>
        <w:t>If in a series of 3 paragraphs in a written law —</w:t>
      </w:r>
    </w:p>
    <w:p w:rsidR="00E10E25" w:rsidRDefault="00E10E25">
      <w:pPr>
        <w:pStyle w:val="Indenta"/>
      </w:pPr>
      <w:r>
        <w:tab/>
        <w:t>(a)</w:t>
      </w:r>
      <w:r>
        <w:tab/>
        <w:t xml:space="preserve">“and” or “or” (the </w:t>
      </w:r>
      <w:r>
        <w:rPr>
          <w:rStyle w:val="CharDefText"/>
        </w:rPr>
        <w:t>relevant conjunction</w:t>
      </w:r>
      <w:r>
        <w:t>) appears after the second paragraph; and</w:t>
      </w:r>
    </w:p>
    <w:p w:rsidR="00E10E25" w:rsidRDefault="00E10E25">
      <w:pPr>
        <w:pStyle w:val="Indenta"/>
      </w:pPr>
      <w:r>
        <w:tab/>
        <w:t>(b)</w:t>
      </w:r>
      <w:r>
        <w:tab/>
        <w:t>there is no conjunction after the first paragraph,</w:t>
      </w:r>
    </w:p>
    <w:p w:rsidR="00E10E25" w:rsidRDefault="00E10E25">
      <w:pPr>
        <w:pStyle w:val="Subsection"/>
      </w:pPr>
      <w:r>
        <w:tab/>
      </w:r>
      <w:r>
        <w:tab/>
        <w:t>an authorised officer may insert the relevant conjunction after the first paragraph.</w:t>
      </w:r>
    </w:p>
    <w:p w:rsidR="00E10E25" w:rsidRDefault="00E10E25">
      <w:pPr>
        <w:pStyle w:val="Subsection"/>
      </w:pPr>
      <w:r>
        <w:tab/>
        <w:t>(4B)</w:t>
      </w:r>
      <w:r>
        <w:tab/>
        <w:t>If in a series of 4 or more paragraphs in a written law —</w:t>
      </w:r>
    </w:p>
    <w:p w:rsidR="00E10E25" w:rsidRDefault="00E10E25">
      <w:pPr>
        <w:pStyle w:val="Indenta"/>
      </w:pPr>
      <w:r>
        <w:tab/>
        <w:t>(a)</w:t>
      </w:r>
      <w:r>
        <w:tab/>
        <w:t xml:space="preserve">“and” or “or” (the </w:t>
      </w:r>
      <w:r>
        <w:rPr>
          <w:rStyle w:val="CharDefText"/>
        </w:rPr>
        <w:t>relevant conjunction</w:t>
      </w:r>
      <w:r>
        <w:t>) appears after the paragraph that is next before the last paragraph; and</w:t>
      </w:r>
    </w:p>
    <w:p w:rsidR="00E10E25" w:rsidRDefault="00E10E25">
      <w:pPr>
        <w:pStyle w:val="Indenta"/>
      </w:pPr>
      <w:r>
        <w:tab/>
        <w:t>(b)</w:t>
      </w:r>
      <w:r>
        <w:tab/>
        <w:t>there is no conjunction after any preceding paragraph,</w:t>
      </w:r>
    </w:p>
    <w:p w:rsidR="00E10E25" w:rsidRDefault="00E10E25">
      <w:pPr>
        <w:pStyle w:val="Subsection"/>
      </w:pPr>
      <w:r>
        <w:tab/>
      </w:r>
      <w:r>
        <w:tab/>
        <w:t>an authorised officer may insert the relevant conjunction after each preceding paragraph.</w:t>
      </w:r>
    </w:p>
    <w:p w:rsidR="00E10E25" w:rsidRDefault="00E10E25">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rsidR="00E10E25" w:rsidRDefault="00E10E25">
      <w:pPr>
        <w:pStyle w:val="Subsection"/>
      </w:pPr>
      <w:r>
        <w:tab/>
        <w:t>(4D)</w:t>
      </w:r>
      <w:r>
        <w:tab/>
        <w:t>In subsections (4A) to (4C) —</w:t>
      </w:r>
    </w:p>
    <w:p w:rsidR="00E10E25" w:rsidRDefault="00E10E25">
      <w:pPr>
        <w:pStyle w:val="Defstart"/>
      </w:pPr>
      <w:r>
        <w:rPr>
          <w:b/>
        </w:rPr>
        <w:tab/>
      </w:r>
      <w:r>
        <w:rPr>
          <w:rStyle w:val="CharDefText"/>
        </w:rPr>
        <w:t>paragraph</w:t>
      </w:r>
      <w:r>
        <w:t xml:space="preserve"> includes a subparagraph, item, subitem and any other similar provision.</w:t>
      </w:r>
    </w:p>
    <w:p w:rsidR="00E10E25" w:rsidRDefault="00E10E25">
      <w:pPr>
        <w:pStyle w:val="Subsection"/>
        <w:rPr>
          <w:snapToGrid w:val="0"/>
        </w:rPr>
      </w:pPr>
      <w:r>
        <w:rPr>
          <w:snapToGrid w:val="0"/>
        </w:rPr>
        <w:lastRenderedPageBreak/>
        <w:tab/>
        <w:t>(5)</w:t>
      </w:r>
      <w:r>
        <w:rPr>
          <w:snapToGrid w:val="0"/>
        </w:rPr>
        <w:tab/>
        <w:t>An authorised officer may — </w:t>
      </w:r>
    </w:p>
    <w:p w:rsidR="00E10E25" w:rsidRDefault="00E10E25">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rsidR="00E10E25" w:rsidRDefault="00E10E25">
      <w:pPr>
        <w:pStyle w:val="Indenta"/>
      </w:pPr>
      <w:r>
        <w:tab/>
        <w:t>(aa)</w:t>
      </w:r>
      <w:r>
        <w:tab/>
        <w:t>amend a list of definitions in a written law by changing the sequence in which the definitions are listed;</w:t>
      </w:r>
    </w:p>
    <w:p w:rsidR="00E10E25" w:rsidRDefault="00E10E25">
      <w:pPr>
        <w:pStyle w:val="Indenta"/>
      </w:pPr>
      <w:r>
        <w:tab/>
        <w:t>(ab)</w:t>
      </w:r>
      <w:r>
        <w:tab/>
        <w:t>amend an address, a telephone number or other contact details in a written law to reflect changes or additions to those details;</w:t>
      </w:r>
    </w:p>
    <w:p w:rsidR="00E10E25" w:rsidRDefault="00E10E25">
      <w:pPr>
        <w:pStyle w:val="Indenta"/>
        <w:keepNext/>
        <w:rPr>
          <w:snapToGrid w:val="0"/>
        </w:rPr>
      </w:pPr>
      <w:r>
        <w:rPr>
          <w:snapToGrid w:val="0"/>
        </w:rPr>
        <w:tab/>
        <w:t>(b)</w:t>
      </w:r>
      <w:r>
        <w:rPr>
          <w:snapToGrid w:val="0"/>
        </w:rPr>
        <w:tab/>
        <w:t>correct any error in — </w:t>
      </w:r>
    </w:p>
    <w:p w:rsidR="00E10E25" w:rsidRDefault="00E10E25">
      <w:pPr>
        <w:pStyle w:val="Indenti"/>
        <w:rPr>
          <w:snapToGrid w:val="0"/>
        </w:rPr>
      </w:pPr>
      <w:r>
        <w:rPr>
          <w:snapToGrid w:val="0"/>
        </w:rPr>
        <w:tab/>
        <w:t>(i)</w:t>
      </w:r>
      <w:r>
        <w:rPr>
          <w:snapToGrid w:val="0"/>
        </w:rPr>
        <w:tab/>
        <w:t>spelling;</w:t>
      </w:r>
    </w:p>
    <w:p w:rsidR="00E10E25" w:rsidRDefault="00E10E25">
      <w:pPr>
        <w:pStyle w:val="Indenti"/>
        <w:rPr>
          <w:snapToGrid w:val="0"/>
        </w:rPr>
      </w:pPr>
      <w:r>
        <w:rPr>
          <w:snapToGrid w:val="0"/>
        </w:rPr>
        <w:tab/>
        <w:t>(ii)</w:t>
      </w:r>
      <w:r>
        <w:rPr>
          <w:snapToGrid w:val="0"/>
        </w:rPr>
        <w:tab/>
        <w:t>grammar;</w:t>
      </w:r>
    </w:p>
    <w:p w:rsidR="00E10E25" w:rsidRDefault="00E10E25">
      <w:pPr>
        <w:pStyle w:val="Indenti"/>
        <w:rPr>
          <w:snapToGrid w:val="0"/>
        </w:rPr>
      </w:pPr>
      <w:r>
        <w:rPr>
          <w:snapToGrid w:val="0"/>
        </w:rPr>
        <w:tab/>
        <w:t>(iii)</w:t>
      </w:r>
      <w:r>
        <w:rPr>
          <w:snapToGrid w:val="0"/>
        </w:rPr>
        <w:tab/>
        <w:t>punctuation;</w:t>
      </w:r>
    </w:p>
    <w:p w:rsidR="00E10E25" w:rsidRDefault="00E10E25">
      <w:pPr>
        <w:pStyle w:val="Indenti"/>
        <w:rPr>
          <w:snapToGrid w:val="0"/>
        </w:rPr>
      </w:pPr>
      <w:r>
        <w:rPr>
          <w:snapToGrid w:val="0"/>
        </w:rPr>
        <w:tab/>
        <w:t>(iv)</w:t>
      </w:r>
      <w:r>
        <w:rPr>
          <w:snapToGrid w:val="0"/>
        </w:rPr>
        <w:tab/>
        <w:t>the use of upper or lower case; or</w:t>
      </w:r>
    </w:p>
    <w:p w:rsidR="00E10E25" w:rsidRDefault="00E10E25">
      <w:pPr>
        <w:pStyle w:val="Indenti"/>
        <w:rPr>
          <w:snapToGrid w:val="0"/>
        </w:rPr>
      </w:pPr>
      <w:r>
        <w:rPr>
          <w:snapToGrid w:val="0"/>
        </w:rPr>
        <w:tab/>
        <w:t>(v)</w:t>
      </w:r>
      <w:r>
        <w:rPr>
          <w:snapToGrid w:val="0"/>
        </w:rPr>
        <w:tab/>
        <w:t>the typing or printing,</w:t>
      </w:r>
    </w:p>
    <w:p w:rsidR="00E10E25" w:rsidRDefault="00E10E25">
      <w:pPr>
        <w:pStyle w:val="Indenta"/>
        <w:rPr>
          <w:snapToGrid w:val="0"/>
        </w:rPr>
      </w:pPr>
      <w:r>
        <w:rPr>
          <w:snapToGrid w:val="0"/>
        </w:rPr>
        <w:tab/>
      </w:r>
      <w:r>
        <w:rPr>
          <w:snapToGrid w:val="0"/>
        </w:rPr>
        <w:tab/>
        <w:t>in or of a written law;</w:t>
      </w:r>
    </w:p>
    <w:p w:rsidR="00E10E25" w:rsidRDefault="00E10E25">
      <w:pPr>
        <w:pStyle w:val="Indenta"/>
        <w:rPr>
          <w:snapToGrid w:val="0"/>
        </w:rPr>
      </w:pPr>
      <w:r>
        <w:rPr>
          <w:snapToGrid w:val="0"/>
        </w:rPr>
        <w:tab/>
        <w:t>(ba)</w:t>
      </w:r>
      <w:r>
        <w:rPr>
          <w:snapToGrid w:val="0"/>
        </w:rPr>
        <w:tab/>
        <w:t>correct any inconsistency within a written law in respect of any matter mentioned in paragraph (b);</w:t>
      </w:r>
    </w:p>
    <w:p w:rsidR="00E10E25" w:rsidRDefault="00E10E25">
      <w:pPr>
        <w:pStyle w:val="Indenta"/>
        <w:keepNext/>
        <w:rPr>
          <w:snapToGrid w:val="0"/>
        </w:rPr>
      </w:pPr>
      <w:r>
        <w:rPr>
          <w:snapToGrid w:val="0"/>
        </w:rPr>
        <w:tab/>
        <w:t>(c)</w:t>
      </w:r>
      <w:r>
        <w:rPr>
          <w:snapToGrid w:val="0"/>
        </w:rPr>
        <w:tab/>
        <w:t>correct any error or anomaly in — </w:t>
      </w:r>
    </w:p>
    <w:p w:rsidR="00E10E25" w:rsidRDefault="00E10E25">
      <w:pPr>
        <w:pStyle w:val="Indenti"/>
        <w:rPr>
          <w:snapToGrid w:val="0"/>
        </w:rPr>
      </w:pPr>
      <w:r>
        <w:rPr>
          <w:snapToGrid w:val="0"/>
        </w:rPr>
        <w:tab/>
        <w:t>(i)</w:t>
      </w:r>
      <w:r>
        <w:rPr>
          <w:snapToGrid w:val="0"/>
        </w:rPr>
        <w:tab/>
        <w:t>the way in which a written law is referred to; or</w:t>
      </w:r>
    </w:p>
    <w:p w:rsidR="00E10E25" w:rsidRDefault="00E10E25">
      <w:pPr>
        <w:pStyle w:val="Indenti"/>
        <w:rPr>
          <w:snapToGrid w:val="0"/>
        </w:rPr>
      </w:pPr>
      <w:r>
        <w:rPr>
          <w:snapToGrid w:val="0"/>
        </w:rPr>
        <w:tab/>
        <w:t>(ii)</w:t>
      </w:r>
      <w:r>
        <w:rPr>
          <w:snapToGrid w:val="0"/>
        </w:rPr>
        <w:tab/>
        <w:t>the way in which a provision is</w:t>
      </w:r>
      <w:r>
        <w:t xml:space="preserve"> designated;</w:t>
      </w:r>
    </w:p>
    <w:p w:rsidR="00E10E25" w:rsidRDefault="00E10E25">
      <w:pPr>
        <w:pStyle w:val="Indenta"/>
        <w:rPr>
          <w:lang w:val="en-US"/>
        </w:rPr>
      </w:pPr>
      <w:r>
        <w:rPr>
          <w:lang w:val="en-US"/>
        </w:rPr>
        <w:tab/>
        <w:t>(d)</w:t>
      </w:r>
      <w:r>
        <w:rPr>
          <w:lang w:val="en-US"/>
        </w:rPr>
        <w:tab/>
        <w:t>where in a provision a term that is being defined appears in bold italic text and begins with a definite or indefinite article, amend the provision to —</w:t>
      </w:r>
    </w:p>
    <w:p w:rsidR="00E10E25" w:rsidRDefault="00E10E25">
      <w:pPr>
        <w:pStyle w:val="Indenti"/>
        <w:rPr>
          <w:lang w:val="en-US"/>
        </w:rPr>
      </w:pPr>
      <w:r>
        <w:tab/>
        <w:t>(i)</w:t>
      </w:r>
      <w:r>
        <w:tab/>
      </w:r>
      <w:r>
        <w:rPr>
          <w:lang w:val="en-US"/>
        </w:rPr>
        <w:t>delete the article; or</w:t>
      </w:r>
    </w:p>
    <w:p w:rsidR="00E10E25" w:rsidRDefault="00E10E25">
      <w:pPr>
        <w:pStyle w:val="Indenti"/>
      </w:pPr>
      <w:r>
        <w:tab/>
        <w:t>(ii)</w:t>
      </w:r>
      <w:r>
        <w:tab/>
        <w:t xml:space="preserve">change the appearance of the text so that the </w:t>
      </w:r>
      <w:r>
        <w:rPr>
          <w:lang w:val="en-US"/>
        </w:rPr>
        <w:t>article is not in bold or italics.</w:t>
      </w:r>
    </w:p>
    <w:p w:rsidR="00E10E25" w:rsidRDefault="00E10E25">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rsidR="00E10E25" w:rsidRDefault="00E10E25">
      <w:pPr>
        <w:pStyle w:val="Subsection"/>
        <w:rPr>
          <w:snapToGrid w:val="0"/>
        </w:rPr>
      </w:pPr>
      <w:r>
        <w:rPr>
          <w:snapToGrid w:val="0"/>
        </w:rPr>
        <w:lastRenderedPageBreak/>
        <w:tab/>
        <w:t>(5b)</w:t>
      </w:r>
      <w:r>
        <w:rPr>
          <w:snapToGrid w:val="0"/>
        </w:rPr>
        <w:tab/>
        <w:t>Despite anything in subsection (2) or (5a), an authorised officer may make a clerk’s amendment to an Act even if the amendment affects the operation or meaning of the Act.</w:t>
      </w:r>
    </w:p>
    <w:p w:rsidR="00E10E25" w:rsidRDefault="00E10E25">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rsidR="00E10E25" w:rsidRDefault="00E10E25">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rsidR="00E10E25" w:rsidRDefault="00E10E25">
      <w:pPr>
        <w:pStyle w:val="Indenta"/>
        <w:rPr>
          <w:snapToGrid w:val="0"/>
        </w:rPr>
      </w:pPr>
      <w:r>
        <w:rPr>
          <w:snapToGrid w:val="0"/>
        </w:rPr>
        <w:tab/>
        <w:t>(b)</w:t>
      </w:r>
      <w:r>
        <w:rPr>
          <w:snapToGrid w:val="0"/>
        </w:rPr>
        <w:tab/>
        <w:t>is necessary in order to enable an Act to have the operation and meaning that Parliament intended it to have.</w:t>
      </w:r>
    </w:p>
    <w:p w:rsidR="00E10E25" w:rsidRDefault="00E10E25">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rsidR="00E10E25" w:rsidRDefault="00E10E25">
      <w:pPr>
        <w:pStyle w:val="Footnotesection"/>
      </w:pPr>
      <w:r>
        <w:tab/>
        <w:t xml:space="preserve">[Section 7 amended by No. 15 of 1994 s. 6; No. 10 of 1998 s. 61(2); No. 24 of 2000 s. 38; No. 74 of 2003 s. 102(3); No. 31 of 2010 s. 9.] </w:t>
      </w:r>
    </w:p>
    <w:p w:rsidR="00E10E25" w:rsidRDefault="00E10E25">
      <w:pPr>
        <w:pStyle w:val="Heading5"/>
      </w:pPr>
      <w:bookmarkStart w:id="22" w:name="_Toc487864994"/>
      <w:bookmarkStart w:id="23" w:name="_Toc65310992"/>
      <w:bookmarkStart w:id="24" w:name="_Toc270519023"/>
      <w:r>
        <w:rPr>
          <w:rStyle w:val="CharSectno"/>
        </w:rPr>
        <w:t>7A</w:t>
      </w:r>
      <w:r>
        <w:t>.</w:t>
      </w:r>
      <w:r>
        <w:tab/>
        <w:t>Delegation</w:t>
      </w:r>
      <w:bookmarkEnd w:id="22"/>
      <w:bookmarkEnd w:id="23"/>
      <w:bookmarkEnd w:id="24"/>
    </w:p>
    <w:p w:rsidR="00E10E25" w:rsidRDefault="00E10E25">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rsidR="00E10E25" w:rsidRDefault="00E10E25">
      <w:pPr>
        <w:pStyle w:val="Footnotesection"/>
      </w:pPr>
      <w:r>
        <w:tab/>
        <w:t>[Section 7A inserted by No. 10 of 1998 s. 61(3).]</w:t>
      </w:r>
    </w:p>
    <w:p w:rsidR="00E10E25" w:rsidRDefault="00E10E25">
      <w:pPr>
        <w:pStyle w:val="Heading5"/>
        <w:rPr>
          <w:snapToGrid w:val="0"/>
        </w:rPr>
      </w:pPr>
      <w:bookmarkStart w:id="25" w:name="_Toc487864995"/>
      <w:bookmarkStart w:id="26" w:name="_Toc65310993"/>
      <w:bookmarkStart w:id="27" w:name="_Toc270519024"/>
      <w:r>
        <w:rPr>
          <w:rStyle w:val="CharSectno"/>
        </w:rPr>
        <w:lastRenderedPageBreak/>
        <w:t>8</w:t>
      </w:r>
      <w:r>
        <w:rPr>
          <w:snapToGrid w:val="0"/>
        </w:rPr>
        <w:t>.</w:t>
      </w:r>
      <w:r>
        <w:rPr>
          <w:snapToGrid w:val="0"/>
        </w:rPr>
        <w:tab/>
        <w:t>Proof of written law as reprinted</w:t>
      </w:r>
      <w:bookmarkEnd w:id="25"/>
      <w:bookmarkEnd w:id="26"/>
      <w:bookmarkEnd w:id="27"/>
      <w:r>
        <w:rPr>
          <w:snapToGrid w:val="0"/>
        </w:rPr>
        <w:t xml:space="preserve"> </w:t>
      </w:r>
    </w:p>
    <w:p w:rsidR="00E10E25" w:rsidRDefault="00E10E25">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rsidR="00E10E25" w:rsidRDefault="00E10E25">
      <w:pPr>
        <w:pStyle w:val="Subsection"/>
        <w:keepNext/>
        <w:rPr>
          <w:snapToGrid w:val="0"/>
        </w:rPr>
      </w:pPr>
      <w:r>
        <w:rPr>
          <w:snapToGrid w:val="0"/>
        </w:rPr>
        <w:tab/>
        <w:t>(2)</w:t>
      </w:r>
      <w:r>
        <w:rPr>
          <w:snapToGrid w:val="0"/>
        </w:rPr>
        <w:tab/>
        <w:t>Where any paper purporting to be — </w:t>
      </w:r>
    </w:p>
    <w:p w:rsidR="00E10E25" w:rsidRDefault="00E10E25">
      <w:pPr>
        <w:pStyle w:val="Indenta"/>
        <w:rPr>
          <w:snapToGrid w:val="0"/>
        </w:rPr>
      </w:pPr>
      <w:r>
        <w:rPr>
          <w:snapToGrid w:val="0"/>
        </w:rPr>
        <w:tab/>
        <w:t>(a)</w:t>
      </w:r>
      <w:r>
        <w:rPr>
          <w:snapToGrid w:val="0"/>
        </w:rPr>
        <w:tab/>
        <w:t>a copy of a written law, or a written law as amended; and</w:t>
      </w:r>
    </w:p>
    <w:p w:rsidR="00E10E25" w:rsidRDefault="00E10E25">
      <w:pPr>
        <w:pStyle w:val="Indenta"/>
        <w:rPr>
          <w:snapToGrid w:val="0"/>
        </w:rPr>
      </w:pPr>
      <w:r>
        <w:rPr>
          <w:snapToGrid w:val="0"/>
        </w:rPr>
        <w:tab/>
        <w:t>(b)</w:t>
      </w:r>
      <w:r>
        <w:rPr>
          <w:snapToGrid w:val="0"/>
        </w:rPr>
        <w:tab/>
        <w:t>a reprint made under this Act, or an Act repealed by section 9,</w:t>
      </w:r>
    </w:p>
    <w:p w:rsidR="00E10E25" w:rsidRDefault="00E10E25">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rsidR="00E10E25" w:rsidRDefault="00E10E25">
      <w:pPr>
        <w:pStyle w:val="Heading5"/>
        <w:rPr>
          <w:snapToGrid w:val="0"/>
        </w:rPr>
      </w:pPr>
      <w:bookmarkStart w:id="28" w:name="_Toc487864996"/>
      <w:bookmarkStart w:id="29" w:name="_Toc65310994"/>
      <w:bookmarkStart w:id="30" w:name="_Toc270519025"/>
      <w:r>
        <w:rPr>
          <w:rStyle w:val="CharSectno"/>
        </w:rPr>
        <w:t>9</w:t>
      </w:r>
      <w:r>
        <w:rPr>
          <w:snapToGrid w:val="0"/>
        </w:rPr>
        <w:t>.</w:t>
      </w:r>
      <w:r>
        <w:rPr>
          <w:snapToGrid w:val="0"/>
        </w:rPr>
        <w:tab/>
        <w:t>Repeals and savings</w:t>
      </w:r>
      <w:bookmarkEnd w:id="28"/>
      <w:bookmarkEnd w:id="29"/>
      <w:bookmarkEnd w:id="30"/>
      <w:r>
        <w:rPr>
          <w:snapToGrid w:val="0"/>
        </w:rPr>
        <w:t xml:space="preserve"> </w:t>
      </w:r>
    </w:p>
    <w:p w:rsidR="00E10E25" w:rsidRDefault="00E10E25">
      <w:pPr>
        <w:pStyle w:val="Subsection"/>
        <w:rPr>
          <w:snapToGrid w:val="0"/>
        </w:rPr>
      </w:pPr>
      <w:r>
        <w:rPr>
          <w:snapToGrid w:val="0"/>
        </w:rPr>
        <w:tab/>
        <w:t>(1)</w:t>
      </w:r>
      <w:r>
        <w:rPr>
          <w:snapToGrid w:val="0"/>
        </w:rPr>
        <w:tab/>
        <w:t>The following Acts are repealed — </w:t>
      </w:r>
    </w:p>
    <w:p w:rsidR="00E10E25" w:rsidRDefault="00E10E25">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rsidR="00E10E25" w:rsidRDefault="00E10E25">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rsidR="00E10E25" w:rsidRDefault="00E10E25">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rsidR="00E10E25" w:rsidRDefault="00E10E25">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rsidR="00E10E25" w:rsidRDefault="00E10E25">
      <w:pPr>
        <w:pStyle w:val="Ednotesubsection"/>
        <w:rPr>
          <w:i w:val="0"/>
        </w:rPr>
      </w:pPr>
      <w:r>
        <w:tab/>
        <w:t>[(2)</w:t>
      </w:r>
      <w:r>
        <w:tab/>
        <w:t>Omitted under the</w:t>
      </w:r>
      <w:r>
        <w:rPr>
          <w:i w:val="0"/>
        </w:rPr>
        <w:t xml:space="preserve"> </w:t>
      </w:r>
      <w:r>
        <w:t>Reprints Act 1984 s. 7(4)(f).]</w:t>
      </w:r>
    </w:p>
    <w:p w:rsidR="00E10E25" w:rsidRDefault="00E10E25">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rsidR="00E10E25" w:rsidRDefault="00E10E25">
      <w:pPr>
        <w:rPr>
          <w:rStyle w:val="CharDivText"/>
        </w:rPr>
        <w:sectPr w:rsidR="00E10E2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10E25" w:rsidRDefault="00E10E25">
      <w:pPr>
        <w:pStyle w:val="nHeading2"/>
      </w:pPr>
      <w:bookmarkStart w:id="31" w:name="_Toc69185992"/>
      <w:bookmarkStart w:id="32" w:name="_Toc270519026"/>
      <w:r>
        <w:lastRenderedPageBreak/>
        <w:t>Notes</w:t>
      </w:r>
      <w:bookmarkEnd w:id="31"/>
      <w:bookmarkEnd w:id="32"/>
    </w:p>
    <w:p w:rsidR="00E10E25" w:rsidRDefault="00E10E25">
      <w:pPr>
        <w:pStyle w:val="nSubsection"/>
        <w:rPr>
          <w:snapToGrid w:val="0"/>
        </w:rPr>
      </w:pPr>
      <w:r>
        <w:rPr>
          <w:snapToGrid w:val="0"/>
          <w:vertAlign w:val="superscript"/>
        </w:rPr>
        <w:t>1</w:t>
      </w:r>
      <w:r>
        <w:rPr>
          <w:snapToGrid w:val="0"/>
        </w:rPr>
        <w:tab/>
        <w:t xml:space="preserve">This is a compilation of the </w:t>
      </w:r>
      <w:r>
        <w:rPr>
          <w:i/>
          <w:noProof/>
          <w:snapToGrid w:val="0"/>
        </w:rPr>
        <w:t>Reprints Act 1984</w:t>
      </w:r>
      <w:r>
        <w:rPr>
          <w:snapToGrid w:val="0"/>
        </w:rPr>
        <w:t xml:space="preserve"> and includes the amendments made by the other written laws referred to in the following table.  The table also contains information about any reprint.</w:t>
      </w:r>
    </w:p>
    <w:p w:rsidR="00E10E25" w:rsidRDefault="00E10E25">
      <w:pPr>
        <w:pStyle w:val="nHeading3"/>
        <w:rPr>
          <w:snapToGrid w:val="0"/>
        </w:rPr>
      </w:pPr>
      <w:bookmarkStart w:id="33" w:name="_Toc65310995"/>
      <w:bookmarkStart w:id="34" w:name="_Toc270519027"/>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E10E25">
        <w:trPr>
          <w:tblHeader/>
        </w:trPr>
        <w:tc>
          <w:tcPr>
            <w:tcW w:w="2268" w:type="dxa"/>
            <w:tcBorders>
              <w:top w:val="single" w:sz="8" w:space="0" w:color="auto"/>
              <w:bottom w:val="single" w:sz="8" w:space="0" w:color="auto"/>
            </w:tcBorders>
          </w:tcPr>
          <w:p w:rsidR="00E10E25" w:rsidRDefault="00E10E25">
            <w:pPr>
              <w:pStyle w:val="nTable"/>
              <w:rPr>
                <w:b/>
                <w:sz w:val="19"/>
              </w:rPr>
            </w:pPr>
            <w:r>
              <w:rPr>
                <w:b/>
                <w:sz w:val="19"/>
              </w:rPr>
              <w:t>Short title</w:t>
            </w:r>
          </w:p>
        </w:tc>
        <w:tc>
          <w:tcPr>
            <w:tcW w:w="1134" w:type="dxa"/>
            <w:tcBorders>
              <w:top w:val="single" w:sz="8" w:space="0" w:color="auto"/>
              <w:bottom w:val="single" w:sz="8" w:space="0" w:color="auto"/>
            </w:tcBorders>
          </w:tcPr>
          <w:p w:rsidR="00E10E25" w:rsidRDefault="00E10E2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10E25" w:rsidRDefault="00E10E25">
            <w:pPr>
              <w:pStyle w:val="nTable"/>
              <w:rPr>
                <w:b/>
                <w:sz w:val="19"/>
              </w:rPr>
            </w:pPr>
            <w:r>
              <w:rPr>
                <w:b/>
                <w:sz w:val="19"/>
              </w:rPr>
              <w:t>Assent</w:t>
            </w:r>
          </w:p>
        </w:tc>
        <w:tc>
          <w:tcPr>
            <w:tcW w:w="2551" w:type="dxa"/>
            <w:tcBorders>
              <w:top w:val="single" w:sz="8" w:space="0" w:color="auto"/>
              <w:bottom w:val="single" w:sz="8" w:space="0" w:color="auto"/>
            </w:tcBorders>
          </w:tcPr>
          <w:p w:rsidR="00E10E25" w:rsidRDefault="00E10E25">
            <w:pPr>
              <w:pStyle w:val="nTable"/>
              <w:rPr>
                <w:b/>
                <w:sz w:val="19"/>
              </w:rPr>
            </w:pPr>
            <w:r>
              <w:rPr>
                <w:b/>
                <w:sz w:val="19"/>
              </w:rPr>
              <w:t>Commencement</w:t>
            </w:r>
          </w:p>
        </w:tc>
      </w:tr>
      <w:tr w:rsidR="00E10E25">
        <w:tc>
          <w:tcPr>
            <w:tcW w:w="2268" w:type="dxa"/>
          </w:tcPr>
          <w:p w:rsidR="00E10E25" w:rsidRDefault="00E10E25">
            <w:pPr>
              <w:pStyle w:val="nTable"/>
              <w:rPr>
                <w:sz w:val="19"/>
              </w:rPr>
            </w:pPr>
            <w:r>
              <w:rPr>
                <w:i/>
                <w:sz w:val="19"/>
              </w:rPr>
              <w:t>Reprints Act 1984</w:t>
            </w:r>
          </w:p>
        </w:tc>
        <w:tc>
          <w:tcPr>
            <w:tcW w:w="1134" w:type="dxa"/>
          </w:tcPr>
          <w:p w:rsidR="00E10E25" w:rsidRDefault="00E10E25">
            <w:pPr>
              <w:pStyle w:val="nTable"/>
              <w:rPr>
                <w:sz w:val="19"/>
              </w:rPr>
            </w:pPr>
            <w:r>
              <w:rPr>
                <w:sz w:val="19"/>
              </w:rPr>
              <w:t>13 of 1984</w:t>
            </w:r>
          </w:p>
        </w:tc>
        <w:tc>
          <w:tcPr>
            <w:tcW w:w="1134" w:type="dxa"/>
          </w:tcPr>
          <w:p w:rsidR="00E10E25" w:rsidRDefault="00E10E25">
            <w:pPr>
              <w:pStyle w:val="nTable"/>
              <w:rPr>
                <w:sz w:val="19"/>
              </w:rPr>
            </w:pPr>
            <w:r>
              <w:rPr>
                <w:sz w:val="19"/>
              </w:rPr>
              <w:t>31 May 1984</w:t>
            </w:r>
          </w:p>
        </w:tc>
        <w:tc>
          <w:tcPr>
            <w:tcW w:w="2551" w:type="dxa"/>
          </w:tcPr>
          <w:p w:rsidR="00E10E25" w:rsidRDefault="00E10E25">
            <w:pPr>
              <w:pStyle w:val="nTable"/>
              <w:rPr>
                <w:sz w:val="19"/>
              </w:rPr>
            </w:pPr>
            <w:r>
              <w:rPr>
                <w:sz w:val="19"/>
              </w:rPr>
              <w:t xml:space="preserve">1 Feb 1985 (see s. 2 and </w:t>
            </w:r>
            <w:r>
              <w:rPr>
                <w:i/>
                <w:sz w:val="19"/>
              </w:rPr>
              <w:t>Gazette</w:t>
            </w:r>
            <w:r>
              <w:rPr>
                <w:sz w:val="19"/>
              </w:rPr>
              <w:t xml:space="preserve"> 11 Jan 1985 p. 175)</w:t>
            </w:r>
          </w:p>
        </w:tc>
      </w:tr>
      <w:tr w:rsidR="00E10E25">
        <w:tc>
          <w:tcPr>
            <w:tcW w:w="2268" w:type="dxa"/>
          </w:tcPr>
          <w:p w:rsidR="00E10E25" w:rsidRDefault="00E10E25">
            <w:pPr>
              <w:pStyle w:val="nTable"/>
              <w:spacing w:before="0"/>
              <w:rPr>
                <w:sz w:val="19"/>
                <w:vertAlign w:val="superscript"/>
              </w:rPr>
            </w:pPr>
            <w:r>
              <w:rPr>
                <w:i/>
                <w:sz w:val="19"/>
              </w:rPr>
              <w:t xml:space="preserve">Acts Amendment (Ministry of Justice) Act 1993 </w:t>
            </w:r>
            <w:r>
              <w:rPr>
                <w:sz w:val="19"/>
              </w:rPr>
              <w:t>Pt. 16</w:t>
            </w:r>
            <w:r>
              <w:rPr>
                <w:sz w:val="19"/>
                <w:vertAlign w:val="superscript"/>
              </w:rPr>
              <w:t> 2</w:t>
            </w:r>
          </w:p>
        </w:tc>
        <w:tc>
          <w:tcPr>
            <w:tcW w:w="1134" w:type="dxa"/>
          </w:tcPr>
          <w:p w:rsidR="00E10E25" w:rsidRDefault="00E10E25">
            <w:pPr>
              <w:pStyle w:val="nTable"/>
              <w:rPr>
                <w:sz w:val="19"/>
              </w:rPr>
            </w:pPr>
            <w:r>
              <w:rPr>
                <w:sz w:val="19"/>
              </w:rPr>
              <w:t>31 of 1993</w:t>
            </w:r>
          </w:p>
        </w:tc>
        <w:tc>
          <w:tcPr>
            <w:tcW w:w="1134" w:type="dxa"/>
          </w:tcPr>
          <w:p w:rsidR="00E10E25" w:rsidRDefault="00E10E25">
            <w:pPr>
              <w:pStyle w:val="nTable"/>
              <w:rPr>
                <w:sz w:val="19"/>
              </w:rPr>
            </w:pPr>
            <w:r>
              <w:rPr>
                <w:sz w:val="19"/>
              </w:rPr>
              <w:t>15 Dec 1993</w:t>
            </w:r>
          </w:p>
        </w:tc>
        <w:tc>
          <w:tcPr>
            <w:tcW w:w="2551" w:type="dxa"/>
          </w:tcPr>
          <w:p w:rsidR="00E10E25" w:rsidRDefault="00E10E25">
            <w:pPr>
              <w:pStyle w:val="nTable"/>
              <w:rPr>
                <w:sz w:val="19"/>
              </w:rPr>
            </w:pPr>
            <w:r>
              <w:rPr>
                <w:sz w:val="19"/>
              </w:rPr>
              <w:t>1 Jul 1993 (see s. 2)</w:t>
            </w:r>
          </w:p>
        </w:tc>
      </w:tr>
      <w:tr w:rsidR="00E10E25">
        <w:tc>
          <w:tcPr>
            <w:tcW w:w="2268" w:type="dxa"/>
          </w:tcPr>
          <w:p w:rsidR="00E10E25" w:rsidRDefault="00E10E25">
            <w:pPr>
              <w:pStyle w:val="nTable"/>
              <w:rPr>
                <w:sz w:val="19"/>
              </w:rPr>
            </w:pPr>
            <w:r>
              <w:rPr>
                <w:i/>
                <w:sz w:val="19"/>
              </w:rPr>
              <w:t>Reprints Amendment Act 1994</w:t>
            </w:r>
          </w:p>
        </w:tc>
        <w:tc>
          <w:tcPr>
            <w:tcW w:w="1134" w:type="dxa"/>
          </w:tcPr>
          <w:p w:rsidR="00E10E25" w:rsidRDefault="00E10E25">
            <w:pPr>
              <w:pStyle w:val="nTable"/>
              <w:rPr>
                <w:sz w:val="19"/>
              </w:rPr>
            </w:pPr>
            <w:r>
              <w:rPr>
                <w:sz w:val="19"/>
              </w:rPr>
              <w:t>15 of 1994</w:t>
            </w:r>
          </w:p>
        </w:tc>
        <w:tc>
          <w:tcPr>
            <w:tcW w:w="1134" w:type="dxa"/>
          </w:tcPr>
          <w:p w:rsidR="00E10E25" w:rsidRDefault="00E10E25">
            <w:pPr>
              <w:pStyle w:val="nTable"/>
              <w:rPr>
                <w:sz w:val="19"/>
              </w:rPr>
            </w:pPr>
            <w:r>
              <w:rPr>
                <w:sz w:val="19"/>
              </w:rPr>
              <w:t>22 Apr 1994</w:t>
            </w:r>
          </w:p>
        </w:tc>
        <w:tc>
          <w:tcPr>
            <w:tcW w:w="2551" w:type="dxa"/>
          </w:tcPr>
          <w:p w:rsidR="00E10E25" w:rsidRDefault="00E10E25">
            <w:pPr>
              <w:pStyle w:val="nTable"/>
              <w:rPr>
                <w:sz w:val="19"/>
              </w:rPr>
            </w:pPr>
            <w:r>
              <w:rPr>
                <w:sz w:val="19"/>
              </w:rPr>
              <w:t>22 Apr 1994 (see s. 2)</w:t>
            </w:r>
          </w:p>
        </w:tc>
      </w:tr>
      <w:tr w:rsidR="00E10E25">
        <w:trPr>
          <w:cantSplit/>
        </w:trPr>
        <w:tc>
          <w:tcPr>
            <w:tcW w:w="7087" w:type="dxa"/>
            <w:gridSpan w:val="4"/>
          </w:tcPr>
          <w:p w:rsidR="00E10E25" w:rsidRDefault="00E10E25">
            <w:pPr>
              <w:pStyle w:val="nTable"/>
              <w:spacing w:after="40"/>
              <w:rPr>
                <w:sz w:val="19"/>
              </w:rPr>
            </w:pPr>
            <w:r>
              <w:rPr>
                <w:b/>
                <w:sz w:val="19"/>
              </w:rPr>
              <w:t xml:space="preserve">Reprint of the </w:t>
            </w:r>
            <w:r>
              <w:rPr>
                <w:b/>
                <w:i/>
                <w:sz w:val="19"/>
              </w:rPr>
              <w:t>Reprints Act 1984</w:t>
            </w:r>
            <w:r>
              <w:rPr>
                <w:b/>
                <w:sz w:val="19"/>
              </w:rPr>
              <w:t xml:space="preserve"> as at 18 Sep 1996</w:t>
            </w:r>
            <w:r>
              <w:rPr>
                <w:sz w:val="19"/>
              </w:rPr>
              <w:t xml:space="preserve"> (includes amendments listed above)</w:t>
            </w:r>
          </w:p>
        </w:tc>
      </w:tr>
      <w:tr w:rsidR="00E10E25">
        <w:tc>
          <w:tcPr>
            <w:tcW w:w="2268" w:type="dxa"/>
          </w:tcPr>
          <w:p w:rsidR="00E10E25" w:rsidRDefault="00E10E25">
            <w:pPr>
              <w:pStyle w:val="nTable"/>
              <w:spacing w:before="0"/>
              <w:rPr>
                <w:sz w:val="19"/>
              </w:rPr>
            </w:pPr>
            <w:r>
              <w:rPr>
                <w:i/>
                <w:sz w:val="19"/>
              </w:rPr>
              <w:t xml:space="preserve">Statutes (Repeals and Minor Amendments) Act (No. 2) 1998 </w:t>
            </w:r>
            <w:r>
              <w:rPr>
                <w:sz w:val="19"/>
              </w:rPr>
              <w:t>s. 61</w:t>
            </w:r>
          </w:p>
        </w:tc>
        <w:tc>
          <w:tcPr>
            <w:tcW w:w="1134" w:type="dxa"/>
          </w:tcPr>
          <w:p w:rsidR="00E10E25" w:rsidRDefault="00E10E25">
            <w:pPr>
              <w:pStyle w:val="nTable"/>
              <w:rPr>
                <w:sz w:val="19"/>
              </w:rPr>
            </w:pPr>
            <w:r>
              <w:rPr>
                <w:sz w:val="19"/>
              </w:rPr>
              <w:t>10 of 1998</w:t>
            </w:r>
          </w:p>
        </w:tc>
        <w:tc>
          <w:tcPr>
            <w:tcW w:w="1134" w:type="dxa"/>
          </w:tcPr>
          <w:p w:rsidR="00E10E25" w:rsidRDefault="00E10E25">
            <w:pPr>
              <w:pStyle w:val="nTable"/>
              <w:rPr>
                <w:sz w:val="19"/>
              </w:rPr>
            </w:pPr>
            <w:r>
              <w:rPr>
                <w:sz w:val="19"/>
              </w:rPr>
              <w:t>30 Apr 1998</w:t>
            </w:r>
          </w:p>
        </w:tc>
        <w:tc>
          <w:tcPr>
            <w:tcW w:w="2551" w:type="dxa"/>
          </w:tcPr>
          <w:p w:rsidR="00E10E25" w:rsidRDefault="00E10E25">
            <w:pPr>
              <w:pStyle w:val="nTable"/>
              <w:rPr>
                <w:sz w:val="19"/>
              </w:rPr>
            </w:pPr>
            <w:r>
              <w:rPr>
                <w:sz w:val="19"/>
              </w:rPr>
              <w:t>30 Apr 1998 (see s. 2(1))</w:t>
            </w:r>
          </w:p>
        </w:tc>
      </w:tr>
      <w:tr w:rsidR="00E10E25">
        <w:tc>
          <w:tcPr>
            <w:tcW w:w="2268" w:type="dxa"/>
          </w:tcPr>
          <w:p w:rsidR="00E10E25" w:rsidRDefault="00E10E25">
            <w:pPr>
              <w:pStyle w:val="nTable"/>
              <w:rPr>
                <w:i/>
                <w:sz w:val="19"/>
              </w:rPr>
            </w:pPr>
            <w:r>
              <w:rPr>
                <w:i/>
                <w:sz w:val="19"/>
              </w:rPr>
              <w:t xml:space="preserve">Statutes (Repeals and Minor Amendments) Act 2000 </w:t>
            </w:r>
            <w:r>
              <w:rPr>
                <w:sz w:val="19"/>
              </w:rPr>
              <w:t>s. 38</w:t>
            </w:r>
          </w:p>
        </w:tc>
        <w:tc>
          <w:tcPr>
            <w:tcW w:w="1134" w:type="dxa"/>
          </w:tcPr>
          <w:p w:rsidR="00E10E25" w:rsidRDefault="00E10E25">
            <w:pPr>
              <w:pStyle w:val="nTable"/>
              <w:rPr>
                <w:sz w:val="19"/>
              </w:rPr>
            </w:pPr>
            <w:r>
              <w:rPr>
                <w:sz w:val="19"/>
              </w:rPr>
              <w:t>24 of 2000</w:t>
            </w:r>
          </w:p>
        </w:tc>
        <w:tc>
          <w:tcPr>
            <w:tcW w:w="1134" w:type="dxa"/>
          </w:tcPr>
          <w:p w:rsidR="00E10E25" w:rsidRDefault="00E10E25">
            <w:pPr>
              <w:pStyle w:val="nTable"/>
              <w:rPr>
                <w:sz w:val="19"/>
              </w:rPr>
            </w:pPr>
            <w:r>
              <w:rPr>
                <w:sz w:val="19"/>
              </w:rPr>
              <w:t>4 Jul 2000</w:t>
            </w:r>
          </w:p>
        </w:tc>
        <w:tc>
          <w:tcPr>
            <w:tcW w:w="2551" w:type="dxa"/>
          </w:tcPr>
          <w:p w:rsidR="00E10E25" w:rsidRDefault="00E10E25">
            <w:pPr>
              <w:pStyle w:val="nTable"/>
              <w:rPr>
                <w:sz w:val="19"/>
              </w:rPr>
            </w:pPr>
            <w:r>
              <w:rPr>
                <w:sz w:val="19"/>
              </w:rPr>
              <w:t>4 Jul 2000 (see s. 2)</w:t>
            </w:r>
          </w:p>
        </w:tc>
      </w:tr>
      <w:tr w:rsidR="00E10E25">
        <w:tc>
          <w:tcPr>
            <w:tcW w:w="2268" w:type="dxa"/>
          </w:tcPr>
          <w:p w:rsidR="00E10E25" w:rsidRDefault="00E10E25">
            <w:pPr>
              <w:pStyle w:val="nTable"/>
              <w:rPr>
                <w:sz w:val="19"/>
              </w:rPr>
            </w:pPr>
            <w:r>
              <w:rPr>
                <w:i/>
                <w:sz w:val="19"/>
              </w:rPr>
              <w:t>Statutes (Repeals and Minor Amendments) Act 2003</w:t>
            </w:r>
            <w:r>
              <w:rPr>
                <w:sz w:val="19"/>
              </w:rPr>
              <w:t xml:space="preserve"> s. 102</w:t>
            </w:r>
          </w:p>
        </w:tc>
        <w:tc>
          <w:tcPr>
            <w:tcW w:w="1134" w:type="dxa"/>
          </w:tcPr>
          <w:p w:rsidR="00E10E25" w:rsidRDefault="00E10E25">
            <w:pPr>
              <w:pStyle w:val="nTable"/>
              <w:rPr>
                <w:sz w:val="19"/>
              </w:rPr>
            </w:pPr>
            <w:r>
              <w:rPr>
                <w:sz w:val="19"/>
              </w:rPr>
              <w:t>74 of 2003</w:t>
            </w:r>
          </w:p>
        </w:tc>
        <w:tc>
          <w:tcPr>
            <w:tcW w:w="1134" w:type="dxa"/>
          </w:tcPr>
          <w:p w:rsidR="00E10E25" w:rsidRDefault="00E10E25">
            <w:pPr>
              <w:pStyle w:val="nTable"/>
              <w:rPr>
                <w:sz w:val="19"/>
              </w:rPr>
            </w:pPr>
            <w:r>
              <w:rPr>
                <w:sz w:val="19"/>
              </w:rPr>
              <w:t>15 Dec 2003</w:t>
            </w:r>
          </w:p>
        </w:tc>
        <w:tc>
          <w:tcPr>
            <w:tcW w:w="2551" w:type="dxa"/>
          </w:tcPr>
          <w:p w:rsidR="00E10E25" w:rsidRDefault="00E10E25">
            <w:pPr>
              <w:pStyle w:val="nTable"/>
              <w:rPr>
                <w:sz w:val="19"/>
              </w:rPr>
            </w:pPr>
            <w:r>
              <w:rPr>
                <w:spacing w:val="-2"/>
                <w:sz w:val="19"/>
              </w:rPr>
              <w:t>15 Dec 2003 (see s. 2)</w:t>
            </w:r>
          </w:p>
        </w:tc>
      </w:tr>
      <w:tr w:rsidR="00E10E25">
        <w:trPr>
          <w:cantSplit/>
        </w:trPr>
        <w:tc>
          <w:tcPr>
            <w:tcW w:w="7087" w:type="dxa"/>
            <w:gridSpan w:val="4"/>
          </w:tcPr>
          <w:p w:rsidR="00E10E25" w:rsidRDefault="00E10E25">
            <w:pPr>
              <w:pStyle w:val="nTable"/>
              <w:spacing w:after="40"/>
              <w:rPr>
                <w:sz w:val="19"/>
              </w:rPr>
            </w:pPr>
            <w:r>
              <w:rPr>
                <w:b/>
                <w:sz w:val="19"/>
              </w:rPr>
              <w:t xml:space="preserve">Reprint 2: The </w:t>
            </w:r>
            <w:r>
              <w:rPr>
                <w:b/>
                <w:i/>
                <w:sz w:val="19"/>
              </w:rPr>
              <w:t>Reprints Act 1984</w:t>
            </w:r>
            <w:r>
              <w:rPr>
                <w:b/>
                <w:sz w:val="19"/>
              </w:rPr>
              <w:t xml:space="preserve"> as at 19 Mar 2004</w:t>
            </w:r>
            <w:r>
              <w:rPr>
                <w:sz w:val="19"/>
              </w:rPr>
              <w:t xml:space="preserve"> (includes amendments listed above)</w:t>
            </w:r>
          </w:p>
        </w:tc>
      </w:tr>
      <w:tr w:rsidR="00E10E25">
        <w:trPr>
          <w:cantSplit/>
        </w:trPr>
        <w:tc>
          <w:tcPr>
            <w:tcW w:w="2269" w:type="dxa"/>
            <w:tcBorders>
              <w:bottom w:val="single" w:sz="4" w:space="0" w:color="auto"/>
            </w:tcBorders>
          </w:tcPr>
          <w:p w:rsidR="00E10E25" w:rsidRDefault="00E10E25">
            <w:pPr>
              <w:pStyle w:val="nTable"/>
              <w:spacing w:after="40"/>
              <w:rPr>
                <w:iCs/>
                <w:snapToGrid w:val="0"/>
                <w:sz w:val="19"/>
              </w:rPr>
            </w:pPr>
            <w:r>
              <w:rPr>
                <w:i/>
                <w:snapToGrid w:val="0"/>
                <w:sz w:val="19"/>
              </w:rPr>
              <w:t>Interpretation and Reprints Amendment Act 2010</w:t>
            </w:r>
            <w:r>
              <w:rPr>
                <w:iCs/>
                <w:snapToGrid w:val="0"/>
                <w:sz w:val="19"/>
              </w:rPr>
              <w:t xml:space="preserve"> Pt. 3</w:t>
            </w:r>
          </w:p>
        </w:tc>
        <w:tc>
          <w:tcPr>
            <w:tcW w:w="1134" w:type="dxa"/>
            <w:tcBorders>
              <w:bottom w:val="single" w:sz="4" w:space="0" w:color="auto"/>
            </w:tcBorders>
          </w:tcPr>
          <w:p w:rsidR="00E10E25" w:rsidRDefault="00E10E25">
            <w:pPr>
              <w:pStyle w:val="nTable"/>
              <w:spacing w:after="40"/>
              <w:rPr>
                <w:sz w:val="19"/>
              </w:rPr>
            </w:pPr>
            <w:r>
              <w:rPr>
                <w:sz w:val="19"/>
              </w:rPr>
              <w:t>31 of 2010</w:t>
            </w:r>
          </w:p>
        </w:tc>
        <w:tc>
          <w:tcPr>
            <w:tcW w:w="1134" w:type="dxa"/>
            <w:tcBorders>
              <w:bottom w:val="single" w:sz="4" w:space="0" w:color="auto"/>
            </w:tcBorders>
          </w:tcPr>
          <w:p w:rsidR="00E10E25" w:rsidRDefault="00E10E25">
            <w:pPr>
              <w:pStyle w:val="nTable"/>
              <w:spacing w:after="40"/>
              <w:rPr>
                <w:sz w:val="19"/>
              </w:rPr>
            </w:pPr>
            <w:r>
              <w:rPr>
                <w:sz w:val="19"/>
              </w:rPr>
              <w:t>25 Aug 2010</w:t>
            </w:r>
          </w:p>
        </w:tc>
        <w:tc>
          <w:tcPr>
            <w:tcW w:w="2552" w:type="dxa"/>
            <w:tcBorders>
              <w:bottom w:val="single" w:sz="4" w:space="0" w:color="auto"/>
            </w:tcBorders>
          </w:tcPr>
          <w:p w:rsidR="00E10E25" w:rsidRDefault="00E10E25">
            <w:pPr>
              <w:pStyle w:val="nTable"/>
              <w:spacing w:after="40"/>
              <w:rPr>
                <w:sz w:val="19"/>
              </w:rPr>
            </w:pPr>
            <w:r>
              <w:rPr>
                <w:sz w:val="19"/>
              </w:rPr>
              <w:t>26 Aug 2010 (see s. 2(b))</w:t>
            </w:r>
          </w:p>
        </w:tc>
      </w:tr>
    </w:tbl>
    <w:p w:rsidR="00E10E25" w:rsidRDefault="00E10E25">
      <w:pPr>
        <w:pStyle w:val="nSubsection"/>
        <w:spacing w:before="120"/>
        <w:rPr>
          <w:snapToGrid w:val="0"/>
        </w:rPr>
      </w:pPr>
      <w:bookmarkStart w:id="35" w:name="UpToHere"/>
      <w:bookmarkEnd w:id="35"/>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rsidR="00E10E25" w:rsidRDefault="00E10E25">
      <w:pPr>
        <w:pStyle w:val="MiscOpen"/>
        <w:rPr>
          <w:snapToGrid w:val="0"/>
        </w:rPr>
      </w:pPr>
      <w:r>
        <w:rPr>
          <w:snapToGrid w:val="0"/>
        </w:rPr>
        <w:t>“</w:t>
      </w:r>
    </w:p>
    <w:p w:rsidR="00E10E25" w:rsidRDefault="00E10E25">
      <w:pPr>
        <w:pStyle w:val="nzHeading2"/>
      </w:pPr>
      <w:r>
        <w:t>Part 19 — Savings and transitional</w:t>
      </w:r>
    </w:p>
    <w:p w:rsidR="00E10E25" w:rsidRDefault="00E10E25">
      <w:pPr>
        <w:pStyle w:val="nzHeading5"/>
        <w:rPr>
          <w:snapToGrid w:val="0"/>
        </w:rPr>
      </w:pPr>
      <w:r>
        <w:rPr>
          <w:snapToGrid w:val="0"/>
        </w:rPr>
        <w:t>68.</w:t>
      </w:r>
      <w:r>
        <w:rPr>
          <w:snapToGrid w:val="0"/>
        </w:rPr>
        <w:tab/>
        <w:t xml:space="preserve">Savings </w:t>
      </w:r>
    </w:p>
    <w:p w:rsidR="00E10E25" w:rsidRDefault="00E10E25">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E10E25" w:rsidRDefault="00E10E25">
      <w:pPr>
        <w:pStyle w:val="nzHeading5"/>
        <w:rPr>
          <w:snapToGrid w:val="0"/>
        </w:rPr>
      </w:pPr>
      <w:r>
        <w:rPr>
          <w:snapToGrid w:val="0"/>
        </w:rPr>
        <w:lastRenderedPageBreak/>
        <w:t>69.</w:t>
      </w:r>
      <w:r>
        <w:rPr>
          <w:snapToGrid w:val="0"/>
        </w:rPr>
        <w:tab/>
        <w:t xml:space="preserve">Transitional </w:t>
      </w:r>
    </w:p>
    <w:p w:rsidR="00E10E25" w:rsidRDefault="00E10E25">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E10E25" w:rsidRDefault="00E10E25">
      <w:pPr>
        <w:pStyle w:val="MiscClose"/>
        <w:rPr>
          <w:snapToGrid w:val="0"/>
        </w:rPr>
      </w:pPr>
      <w:r>
        <w:rPr>
          <w:snapToGrid w:val="0"/>
        </w:rPr>
        <w:t>”.</w:t>
      </w:r>
    </w:p>
    <w:p w:rsidR="00E10E25" w:rsidRDefault="00E10E25"/>
    <w:p w:rsidR="00E10E25" w:rsidRDefault="00E10E25">
      <w:pPr>
        <w:sectPr w:rsidR="00E10E25">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E10E25" w:rsidRDefault="00E10E25"/>
    <w:sectPr w:rsidR="00E10E25">
      <w:headerReference w:type="even" r:id="rId30"/>
      <w:headerReference w:type="defaul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25" w:rsidRDefault="00E10E25">
      <w:r>
        <w:separator/>
      </w:r>
    </w:p>
  </w:endnote>
  <w:endnote w:type="continuationSeparator" w:id="0">
    <w:p w:rsidR="00E10E25" w:rsidRDefault="00E1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p>
  <w:p w:rsidR="00E10E25" w:rsidRDefault="00E10E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E10E25" w:rsidRDefault="00E10E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E10E25" w:rsidRDefault="00E10E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p>
  <w:p w:rsidR="00E10E25" w:rsidRDefault="00E10E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10E25" w:rsidRDefault="00E10E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50F1">
      <w:rPr>
        <w:rStyle w:val="PageNumber"/>
        <w:rFonts w:ascii="Arial" w:hAnsi="Arial" w:cs="Arial"/>
        <w:noProof/>
      </w:rPr>
      <w:t>i</w:t>
    </w:r>
    <w:r>
      <w:rPr>
        <w:rStyle w:val="PageNumber"/>
        <w:rFonts w:ascii="Arial" w:hAnsi="Arial" w:cs="Arial"/>
      </w:rPr>
      <w:fldChar w:fldCharType="end"/>
    </w:r>
  </w:p>
  <w:p w:rsidR="00E10E25" w:rsidRDefault="00E10E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50F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 xml:space="preserve"> </w:t>
    </w:r>
  </w:p>
  <w:p w:rsidR="00E10E25" w:rsidRDefault="00E10E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50F1">
      <w:rPr>
        <w:rStyle w:val="CharPageNo"/>
        <w:rFonts w:ascii="Arial" w:hAnsi="Arial"/>
        <w:noProof/>
      </w:rPr>
      <w:t>11</w:t>
    </w:r>
    <w:r>
      <w:rPr>
        <w:rStyle w:val="CharPageNo"/>
        <w:rFonts w:ascii="Arial" w:hAnsi="Arial"/>
      </w:rPr>
      <w:fldChar w:fldCharType="end"/>
    </w:r>
  </w:p>
  <w:p w:rsidR="00E10E25" w:rsidRDefault="00E10E2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Footer"/>
      <w:tabs>
        <w:tab w:val="clear" w:pos="4153"/>
        <w:tab w:val="right" w:pos="7088"/>
      </w:tabs>
      <w:rPr>
        <w:rStyle w:val="PageNumber"/>
      </w:rPr>
    </w:pPr>
  </w:p>
  <w:p w:rsidR="00E10E25" w:rsidRDefault="00E10E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50F1">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50F1">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50F1">
      <w:rPr>
        <w:rStyle w:val="CharPageNo"/>
        <w:rFonts w:ascii="Arial" w:hAnsi="Arial"/>
        <w:noProof/>
      </w:rPr>
      <w:t>1</w:t>
    </w:r>
    <w:r>
      <w:rPr>
        <w:rStyle w:val="CharPageNo"/>
        <w:rFonts w:ascii="Arial" w:hAnsi="Arial"/>
      </w:rPr>
      <w:fldChar w:fldCharType="end"/>
    </w:r>
  </w:p>
  <w:p w:rsidR="00E10E25" w:rsidRDefault="00E10E2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25" w:rsidRDefault="00E10E25">
      <w:r>
        <w:separator/>
      </w:r>
    </w:p>
  </w:footnote>
  <w:footnote w:type="continuationSeparator" w:id="0">
    <w:p w:rsidR="00E10E25" w:rsidRDefault="00E1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0E25">
      <w:trPr>
        <w:cantSplit/>
      </w:trPr>
      <w:tc>
        <w:tcPr>
          <w:tcW w:w="7312" w:type="dxa"/>
          <w:gridSpan w:val="2"/>
        </w:tcPr>
        <w:p w:rsidR="00E10E25" w:rsidRDefault="00E10E25">
          <w:pPr>
            <w:pStyle w:val="HeaderActNameLeft"/>
          </w:pPr>
          <w:fldSimple w:instr=" Styleref &quot;Name of Act/Reg&quot; ">
            <w:r w:rsidR="009A50F1">
              <w:rPr>
                <w:noProof/>
              </w:rPr>
              <w:t>Reprints Act 1984</w:t>
            </w:r>
          </w:fldSimple>
        </w:p>
      </w:tc>
    </w:tr>
    <w:tr w:rsidR="00E10E25">
      <w:tc>
        <w:tcPr>
          <w:tcW w:w="1548" w:type="dxa"/>
        </w:tcPr>
        <w:p w:rsidR="00E10E25" w:rsidRDefault="00E10E25">
          <w:pPr>
            <w:pStyle w:val="HeaderNumberLeft"/>
          </w:pPr>
        </w:p>
      </w:tc>
      <w:tc>
        <w:tcPr>
          <w:tcW w:w="5764" w:type="dxa"/>
        </w:tcPr>
        <w:p w:rsidR="00E10E25" w:rsidRDefault="00E10E25">
          <w:pPr>
            <w:pStyle w:val="HeaderTextLeft"/>
          </w:pPr>
        </w:p>
      </w:tc>
    </w:tr>
    <w:tr w:rsidR="00E10E25">
      <w:tc>
        <w:tcPr>
          <w:tcW w:w="1548" w:type="dxa"/>
        </w:tcPr>
        <w:p w:rsidR="00E10E25" w:rsidRDefault="00E10E25">
          <w:pPr>
            <w:pStyle w:val="HeaderNumberLeft"/>
          </w:pPr>
        </w:p>
      </w:tc>
      <w:tc>
        <w:tcPr>
          <w:tcW w:w="5764" w:type="dxa"/>
        </w:tcPr>
        <w:p w:rsidR="00E10E25" w:rsidRDefault="00E10E25">
          <w:pPr>
            <w:pStyle w:val="HeaderTextLeft"/>
          </w:pPr>
        </w:p>
      </w:tc>
    </w:tr>
    <w:tr w:rsidR="00E10E25">
      <w:trPr>
        <w:cantSplit/>
      </w:trPr>
      <w:tc>
        <w:tcPr>
          <w:tcW w:w="7312" w:type="dxa"/>
          <w:gridSpan w:val="2"/>
        </w:tcPr>
        <w:p w:rsidR="00E10E25" w:rsidRDefault="00E10E25">
          <w:pPr>
            <w:pStyle w:val="HeaderSectionLeft"/>
          </w:pPr>
        </w:p>
      </w:tc>
    </w:tr>
  </w:tbl>
  <w:p w:rsidR="00E10E25" w:rsidRDefault="00E10E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0E25">
      <w:trPr>
        <w:cantSplit/>
      </w:trPr>
      <w:tc>
        <w:tcPr>
          <w:tcW w:w="7312" w:type="dxa"/>
          <w:gridSpan w:val="2"/>
        </w:tcPr>
        <w:p w:rsidR="00E10E25" w:rsidRDefault="00E10E25">
          <w:pPr>
            <w:pStyle w:val="HeaderActNameRight"/>
          </w:pPr>
          <w:fldSimple w:instr=" Styleref &quot;Name of Act/Reg&quot; ">
            <w:r w:rsidR="009A50F1">
              <w:rPr>
                <w:noProof/>
              </w:rPr>
              <w:t>Reprints Act 1984</w:t>
            </w:r>
          </w:fldSimple>
        </w:p>
      </w:tc>
    </w:tr>
    <w:tr w:rsidR="00E10E25">
      <w:tc>
        <w:tcPr>
          <w:tcW w:w="5760" w:type="dxa"/>
        </w:tcPr>
        <w:p w:rsidR="00E10E25" w:rsidRDefault="00E10E25">
          <w:pPr>
            <w:pStyle w:val="HeaderTextRight"/>
          </w:pPr>
        </w:p>
      </w:tc>
      <w:tc>
        <w:tcPr>
          <w:tcW w:w="1552" w:type="dxa"/>
        </w:tcPr>
        <w:p w:rsidR="00E10E25" w:rsidRDefault="00E10E25">
          <w:pPr>
            <w:pStyle w:val="HeaderNumberRight"/>
          </w:pPr>
        </w:p>
      </w:tc>
    </w:tr>
    <w:tr w:rsidR="00E10E25">
      <w:tc>
        <w:tcPr>
          <w:tcW w:w="5760" w:type="dxa"/>
        </w:tcPr>
        <w:p w:rsidR="00E10E25" w:rsidRDefault="00E10E25">
          <w:pPr>
            <w:pStyle w:val="HeaderTextRight"/>
          </w:pPr>
        </w:p>
      </w:tc>
      <w:tc>
        <w:tcPr>
          <w:tcW w:w="1552" w:type="dxa"/>
        </w:tcPr>
        <w:p w:rsidR="00E10E25" w:rsidRDefault="00E10E25">
          <w:pPr>
            <w:pStyle w:val="HeaderNumberRight"/>
          </w:pPr>
        </w:p>
      </w:tc>
    </w:tr>
    <w:tr w:rsidR="00E10E25">
      <w:trPr>
        <w:cantSplit/>
      </w:trPr>
      <w:tc>
        <w:tcPr>
          <w:tcW w:w="7312" w:type="dxa"/>
          <w:gridSpan w:val="2"/>
        </w:tcPr>
        <w:p w:rsidR="00E10E25" w:rsidRDefault="00E10E25">
          <w:pPr>
            <w:pStyle w:val="HeaderSectionRight"/>
          </w:pPr>
        </w:p>
      </w:tc>
    </w:tr>
  </w:tbl>
  <w:p w:rsidR="00E10E25" w:rsidRDefault="00E10E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partodd"/>
      <w:ind w:left="0" w:firstLine="0"/>
      <w:rPr>
        <w:i/>
      </w:rPr>
    </w:pPr>
    <w:r>
      <w:rPr>
        <w:i/>
      </w:rPr>
      <w:fldChar w:fldCharType="begin"/>
    </w:r>
    <w:r>
      <w:rPr>
        <w:i/>
      </w:rPr>
      <w:instrText xml:space="preserve"> Styleref "Name of Act/Reg" </w:instrText>
    </w:r>
    <w:r>
      <w:rPr>
        <w:i/>
      </w:rPr>
      <w:fldChar w:fldCharType="separate"/>
    </w:r>
    <w:r w:rsidR="009A50F1">
      <w:rPr>
        <w:i/>
        <w:noProof/>
      </w:rPr>
      <w:t>Reprints Act 1984</w:t>
    </w:r>
    <w:r>
      <w:rPr>
        <w:i/>
      </w:rPr>
      <w:fldChar w:fldCharType="end"/>
    </w:r>
  </w:p>
  <w:p w:rsidR="00E10E25" w:rsidRDefault="00E10E25">
    <w:pPr>
      <w:pStyle w:val="headerpartodd"/>
      <w:ind w:left="0" w:firstLine="0"/>
      <w:rPr>
        <w:b w:val="0"/>
        <w:i/>
      </w:rPr>
    </w:pPr>
  </w:p>
  <w:p w:rsidR="00E10E25" w:rsidRDefault="00E10E25">
    <w:pPr>
      <w:pStyle w:val="headerpart"/>
    </w:pPr>
  </w:p>
  <w:p w:rsidR="00E10E25" w:rsidRDefault="00E10E25">
    <w:pPr>
      <w:pStyle w:val="headerpart"/>
    </w:pPr>
  </w:p>
  <w:p w:rsidR="00E10E25" w:rsidRDefault="00E10E25">
    <w:pPr>
      <w:pBdr>
        <w:bottom w:val="single" w:sz="6" w:space="1" w:color="auto"/>
      </w:pBdr>
      <w:rPr>
        <w:b/>
      </w:rPr>
    </w:pPr>
  </w:p>
  <w:p w:rsidR="00E10E25" w:rsidRDefault="00E10E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partodd"/>
      <w:ind w:left="0" w:firstLine="0"/>
      <w:jc w:val="right"/>
      <w:rPr>
        <w:i/>
      </w:rPr>
    </w:pPr>
    <w:r>
      <w:rPr>
        <w:i/>
      </w:rPr>
      <w:fldChar w:fldCharType="begin"/>
    </w:r>
    <w:r>
      <w:rPr>
        <w:i/>
      </w:rPr>
      <w:instrText xml:space="preserve"> Styleref "Name of Act/Reg" </w:instrText>
    </w:r>
    <w:r>
      <w:rPr>
        <w:i/>
      </w:rPr>
      <w:fldChar w:fldCharType="separate"/>
    </w:r>
    <w:r w:rsidR="009A50F1">
      <w:rPr>
        <w:i/>
        <w:noProof/>
      </w:rPr>
      <w:t>Reprints Act 1984</w:t>
    </w:r>
    <w:r>
      <w:rPr>
        <w:i/>
      </w:rPr>
      <w:fldChar w:fldCharType="end"/>
    </w:r>
  </w:p>
  <w:p w:rsidR="00E10E25" w:rsidRDefault="00E10E25">
    <w:pPr>
      <w:pStyle w:val="headerpartodd"/>
      <w:ind w:left="0" w:firstLine="0"/>
      <w:jc w:val="right"/>
      <w:rPr>
        <w:b w:val="0"/>
        <w:i/>
      </w:rPr>
    </w:pPr>
  </w:p>
  <w:p w:rsidR="00E10E25" w:rsidRDefault="00E10E25">
    <w:pPr>
      <w:pStyle w:val="headerpart"/>
      <w:jc w:val="right"/>
    </w:pPr>
  </w:p>
  <w:p w:rsidR="00E10E25" w:rsidRDefault="00E10E25">
    <w:pPr>
      <w:pStyle w:val="headerpart"/>
      <w:jc w:val="right"/>
    </w:pPr>
  </w:p>
  <w:p w:rsidR="00E10E25" w:rsidRDefault="00E10E25">
    <w:pPr>
      <w:pBdr>
        <w:bottom w:val="single" w:sz="6" w:space="1" w:color="auto"/>
      </w:pBdr>
      <w:jc w:val="right"/>
      <w:rPr>
        <w:b/>
      </w:rPr>
    </w:pPr>
  </w:p>
  <w:p w:rsidR="00E10E25" w:rsidRDefault="00E10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0E25">
      <w:trPr>
        <w:cantSplit/>
      </w:trPr>
      <w:tc>
        <w:tcPr>
          <w:tcW w:w="7312" w:type="dxa"/>
          <w:gridSpan w:val="2"/>
        </w:tcPr>
        <w:p w:rsidR="00E10E25" w:rsidRDefault="00E10E25">
          <w:pPr>
            <w:pStyle w:val="HeaderActNameLeft"/>
          </w:pPr>
          <w:r>
            <w:rPr>
              <w:i w:val="0"/>
            </w:rPr>
            <w:fldChar w:fldCharType="begin"/>
          </w:r>
          <w:r>
            <w:rPr>
              <w:i w:val="0"/>
            </w:rPr>
            <w:instrText xml:space="preserve"> Styleref "Name of Act/Reg" </w:instrText>
          </w:r>
          <w:r>
            <w:rPr>
              <w:i w:val="0"/>
            </w:rPr>
            <w:fldChar w:fldCharType="separate"/>
          </w:r>
          <w:r w:rsidR="009A50F1">
            <w:rPr>
              <w:i w:val="0"/>
              <w:noProof/>
            </w:rPr>
            <w:t>Reprints Act 1984</w:t>
          </w:r>
          <w:r>
            <w:rPr>
              <w:i w:val="0"/>
            </w:rPr>
            <w:fldChar w:fldCharType="end"/>
          </w:r>
        </w:p>
      </w:tc>
    </w:tr>
    <w:tr w:rsidR="00E10E25">
      <w:tc>
        <w:tcPr>
          <w:tcW w:w="1548" w:type="dxa"/>
        </w:tcPr>
        <w:p w:rsidR="00E10E25" w:rsidRDefault="00E10E25">
          <w:pPr>
            <w:pStyle w:val="HeaderNumberLeft"/>
          </w:pPr>
        </w:p>
      </w:tc>
      <w:tc>
        <w:tcPr>
          <w:tcW w:w="5764" w:type="dxa"/>
        </w:tcPr>
        <w:p w:rsidR="00E10E25" w:rsidRDefault="00E10E25">
          <w:pPr>
            <w:pStyle w:val="HeaderTextLeft"/>
          </w:pPr>
        </w:p>
      </w:tc>
    </w:tr>
    <w:tr w:rsidR="00E10E25">
      <w:tc>
        <w:tcPr>
          <w:tcW w:w="1548" w:type="dxa"/>
        </w:tcPr>
        <w:p w:rsidR="00E10E25" w:rsidRDefault="00E10E25">
          <w:pPr>
            <w:pStyle w:val="HeaderNumberLeft"/>
          </w:pPr>
        </w:p>
      </w:tc>
      <w:tc>
        <w:tcPr>
          <w:tcW w:w="5764" w:type="dxa"/>
        </w:tcPr>
        <w:p w:rsidR="00E10E25" w:rsidRDefault="00E10E25">
          <w:pPr>
            <w:pStyle w:val="HeaderTextLeft"/>
          </w:pPr>
        </w:p>
      </w:tc>
    </w:tr>
    <w:tr w:rsidR="00E10E25">
      <w:trPr>
        <w:cantSplit/>
      </w:trPr>
      <w:tc>
        <w:tcPr>
          <w:tcW w:w="7312" w:type="dxa"/>
          <w:gridSpan w:val="2"/>
        </w:tcPr>
        <w:p w:rsidR="00E10E25" w:rsidRDefault="00E10E25">
          <w:pPr>
            <w:pStyle w:val="HeaderSectionLeft"/>
          </w:pPr>
        </w:p>
      </w:tc>
    </w:tr>
  </w:tbl>
  <w:p w:rsidR="00E10E25" w:rsidRDefault="00E10E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0E25">
      <w:trPr>
        <w:cantSplit/>
      </w:trPr>
      <w:tc>
        <w:tcPr>
          <w:tcW w:w="7312" w:type="dxa"/>
          <w:gridSpan w:val="2"/>
        </w:tcPr>
        <w:p w:rsidR="00E10E25" w:rsidRDefault="00E10E25">
          <w:pPr>
            <w:pStyle w:val="HeaderActNameRight"/>
          </w:pPr>
          <w:fldSimple w:instr=" Styleref &quot;Name of Act/Reg&quot; ">
            <w:r w:rsidR="009A50F1">
              <w:rPr>
                <w:noProof/>
              </w:rPr>
              <w:t>Reprints Act 1984</w:t>
            </w:r>
          </w:fldSimple>
        </w:p>
      </w:tc>
    </w:tr>
    <w:tr w:rsidR="00E10E25">
      <w:tc>
        <w:tcPr>
          <w:tcW w:w="5760" w:type="dxa"/>
        </w:tcPr>
        <w:p w:rsidR="00E10E25" w:rsidRDefault="00E10E25">
          <w:pPr>
            <w:pStyle w:val="HeaderTextRight"/>
          </w:pPr>
        </w:p>
      </w:tc>
      <w:tc>
        <w:tcPr>
          <w:tcW w:w="1552" w:type="dxa"/>
        </w:tcPr>
        <w:p w:rsidR="00E10E25" w:rsidRDefault="00E10E25">
          <w:pPr>
            <w:pStyle w:val="HeaderNumberRight"/>
          </w:pPr>
        </w:p>
      </w:tc>
    </w:tr>
    <w:tr w:rsidR="00E10E25">
      <w:tc>
        <w:tcPr>
          <w:tcW w:w="5760" w:type="dxa"/>
        </w:tcPr>
        <w:p w:rsidR="00E10E25" w:rsidRDefault="00E10E25">
          <w:pPr>
            <w:pStyle w:val="HeaderTextRight"/>
          </w:pPr>
        </w:p>
      </w:tc>
      <w:tc>
        <w:tcPr>
          <w:tcW w:w="1552" w:type="dxa"/>
        </w:tcPr>
        <w:p w:rsidR="00E10E25" w:rsidRDefault="00E10E25">
          <w:pPr>
            <w:pStyle w:val="HeaderNumberRight"/>
          </w:pPr>
        </w:p>
      </w:tc>
    </w:tr>
    <w:tr w:rsidR="00E10E25">
      <w:trPr>
        <w:cantSplit/>
      </w:trPr>
      <w:tc>
        <w:tcPr>
          <w:tcW w:w="7312" w:type="dxa"/>
          <w:gridSpan w:val="2"/>
        </w:tcPr>
        <w:p w:rsidR="00E10E25" w:rsidRDefault="00E10E25">
          <w:pPr>
            <w:pStyle w:val="HeaderSectionRight"/>
          </w:pPr>
        </w:p>
      </w:tc>
    </w:tr>
  </w:tbl>
  <w:p w:rsidR="00E10E25" w:rsidRDefault="00E10E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10E25">
      <w:trPr>
        <w:cantSplit/>
      </w:trPr>
      <w:tc>
        <w:tcPr>
          <w:tcW w:w="7312" w:type="dxa"/>
          <w:gridSpan w:val="2"/>
        </w:tcPr>
        <w:p w:rsidR="00E10E25" w:rsidRDefault="00E10E25">
          <w:pPr>
            <w:pStyle w:val="HeaderActNameLeft"/>
          </w:pPr>
          <w:fldSimple w:instr=" Styleref &quot;Name of Act/Reg&quot; ">
            <w:r w:rsidR="009A50F1">
              <w:rPr>
                <w:noProof/>
              </w:rPr>
              <w:t>Reprints Act 1984</w:t>
            </w:r>
          </w:fldSimple>
        </w:p>
      </w:tc>
    </w:tr>
    <w:tr w:rsidR="00E10E25">
      <w:tc>
        <w:tcPr>
          <w:tcW w:w="1305" w:type="dxa"/>
        </w:tcPr>
        <w:p w:rsidR="00E10E25" w:rsidRDefault="00E10E25">
          <w:pPr>
            <w:pStyle w:val="HeaderNumberLeft"/>
          </w:pPr>
          <w:r>
            <w:fldChar w:fldCharType="begin"/>
          </w:r>
          <w:r>
            <w:instrText xml:space="preserve"> styleref CharPartNo </w:instrText>
          </w:r>
          <w:r>
            <w:fldChar w:fldCharType="end"/>
          </w:r>
        </w:p>
      </w:tc>
      <w:tc>
        <w:tcPr>
          <w:tcW w:w="6007" w:type="dxa"/>
        </w:tcPr>
        <w:p w:rsidR="00E10E25" w:rsidRDefault="00E10E25">
          <w:pPr>
            <w:pStyle w:val="HeaderTextLeft"/>
          </w:pPr>
          <w:r>
            <w:fldChar w:fldCharType="begin"/>
          </w:r>
          <w:r>
            <w:instrText xml:space="preserve"> styleref CharPartText </w:instrText>
          </w:r>
          <w:r>
            <w:fldChar w:fldCharType="end"/>
          </w:r>
        </w:p>
      </w:tc>
    </w:tr>
    <w:tr w:rsidR="00E10E25">
      <w:tc>
        <w:tcPr>
          <w:tcW w:w="1305" w:type="dxa"/>
        </w:tcPr>
        <w:p w:rsidR="00E10E25" w:rsidRDefault="00E10E25">
          <w:pPr>
            <w:pStyle w:val="HeaderNumberLeft"/>
          </w:pPr>
          <w:r>
            <w:fldChar w:fldCharType="begin"/>
          </w:r>
          <w:r>
            <w:instrText xml:space="preserve"> styleref CharDivNo </w:instrText>
          </w:r>
          <w:r>
            <w:fldChar w:fldCharType="end"/>
          </w:r>
        </w:p>
      </w:tc>
      <w:tc>
        <w:tcPr>
          <w:tcW w:w="6007" w:type="dxa"/>
        </w:tcPr>
        <w:p w:rsidR="00E10E25" w:rsidRDefault="00E10E25">
          <w:pPr>
            <w:pStyle w:val="HeaderTextLeft"/>
          </w:pPr>
          <w:r>
            <w:fldChar w:fldCharType="begin"/>
          </w:r>
          <w:r>
            <w:instrText xml:space="preserve"> styleref CharDivText </w:instrText>
          </w:r>
          <w:r>
            <w:fldChar w:fldCharType="end"/>
          </w:r>
        </w:p>
      </w:tc>
    </w:tr>
    <w:tr w:rsidR="00E10E25">
      <w:trPr>
        <w:cantSplit/>
      </w:trPr>
      <w:tc>
        <w:tcPr>
          <w:tcW w:w="7312" w:type="dxa"/>
          <w:gridSpan w:val="2"/>
        </w:tcPr>
        <w:p w:rsidR="00E10E25" w:rsidRDefault="00E10E25">
          <w:pPr>
            <w:pStyle w:val="HeaderSectionLeft"/>
          </w:pPr>
          <w:r>
            <w:t xml:space="preserve">s. </w:t>
          </w:r>
          <w:fldSimple w:instr=" styleref CharSectno ">
            <w:r w:rsidR="009A50F1">
              <w:rPr>
                <w:noProof/>
              </w:rPr>
              <w:t>1</w:t>
            </w:r>
          </w:fldSimple>
        </w:p>
      </w:tc>
    </w:tr>
  </w:tbl>
  <w:p w:rsidR="00E10E25" w:rsidRDefault="00E10E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10E25">
      <w:trPr>
        <w:cantSplit/>
      </w:trPr>
      <w:tc>
        <w:tcPr>
          <w:tcW w:w="7312" w:type="dxa"/>
          <w:gridSpan w:val="2"/>
        </w:tcPr>
        <w:p w:rsidR="00E10E25" w:rsidRDefault="00E10E25">
          <w:pPr>
            <w:pStyle w:val="HeaderActNameRight"/>
          </w:pPr>
          <w:fldSimple w:instr=" Styleref &quot;Name of Act/Reg&quot; ">
            <w:r w:rsidR="009A50F1">
              <w:rPr>
                <w:noProof/>
              </w:rPr>
              <w:t>Reprints Act 1984</w:t>
            </w:r>
          </w:fldSimple>
        </w:p>
      </w:tc>
    </w:tr>
    <w:tr w:rsidR="00E10E25">
      <w:tc>
        <w:tcPr>
          <w:tcW w:w="5985" w:type="dxa"/>
        </w:tcPr>
        <w:p w:rsidR="00E10E25" w:rsidRDefault="00E10E25">
          <w:pPr>
            <w:pStyle w:val="HeaderTextRight"/>
          </w:pPr>
          <w:r>
            <w:fldChar w:fldCharType="begin"/>
          </w:r>
          <w:r>
            <w:instrText xml:space="preserve"> styleref CharPartText </w:instrText>
          </w:r>
          <w:r>
            <w:fldChar w:fldCharType="end"/>
          </w:r>
        </w:p>
      </w:tc>
      <w:tc>
        <w:tcPr>
          <w:tcW w:w="1327" w:type="dxa"/>
        </w:tcPr>
        <w:p w:rsidR="00E10E25" w:rsidRDefault="00E10E25">
          <w:pPr>
            <w:pStyle w:val="HeaderNumberRight"/>
          </w:pPr>
          <w:r>
            <w:fldChar w:fldCharType="begin"/>
          </w:r>
          <w:r>
            <w:instrText xml:space="preserve"> styleref CharPartNo </w:instrText>
          </w:r>
          <w:r>
            <w:fldChar w:fldCharType="end"/>
          </w:r>
        </w:p>
      </w:tc>
    </w:tr>
    <w:tr w:rsidR="00E10E25">
      <w:tc>
        <w:tcPr>
          <w:tcW w:w="5985" w:type="dxa"/>
        </w:tcPr>
        <w:p w:rsidR="00E10E25" w:rsidRDefault="00E10E25">
          <w:pPr>
            <w:pStyle w:val="HeaderTextRight"/>
          </w:pPr>
          <w:r>
            <w:fldChar w:fldCharType="begin"/>
          </w:r>
          <w:r>
            <w:instrText xml:space="preserve"> styleref CharDivText </w:instrText>
          </w:r>
          <w:r>
            <w:fldChar w:fldCharType="end"/>
          </w:r>
        </w:p>
      </w:tc>
      <w:tc>
        <w:tcPr>
          <w:tcW w:w="1327" w:type="dxa"/>
        </w:tcPr>
        <w:p w:rsidR="00E10E25" w:rsidRDefault="00E10E25">
          <w:pPr>
            <w:pStyle w:val="HeaderNumberRight"/>
          </w:pPr>
          <w:r>
            <w:fldChar w:fldCharType="begin"/>
          </w:r>
          <w:r>
            <w:instrText xml:space="preserve"> styleref CharDivNo </w:instrText>
          </w:r>
          <w:r>
            <w:fldChar w:fldCharType="end"/>
          </w:r>
        </w:p>
      </w:tc>
    </w:tr>
    <w:tr w:rsidR="00E10E25">
      <w:trPr>
        <w:cantSplit/>
      </w:trPr>
      <w:tc>
        <w:tcPr>
          <w:tcW w:w="7312" w:type="dxa"/>
          <w:gridSpan w:val="2"/>
        </w:tcPr>
        <w:p w:rsidR="00E10E25" w:rsidRDefault="00E10E25">
          <w:pPr>
            <w:pStyle w:val="HeaderSectionRight"/>
          </w:pPr>
          <w:r>
            <w:t xml:space="preserve">s. </w:t>
          </w:r>
          <w:fldSimple w:instr=" styleref CharSectno ">
            <w:r w:rsidR="009A50F1">
              <w:rPr>
                <w:noProof/>
              </w:rPr>
              <w:t>1</w:t>
            </w:r>
          </w:fldSimple>
        </w:p>
      </w:tc>
    </w:tr>
  </w:tbl>
  <w:p w:rsidR="00E10E25" w:rsidRDefault="00E10E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25" w:rsidRDefault="00E10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73"/>
    <w:rsid w:val="00536BD1"/>
    <w:rsid w:val="00827A8C"/>
    <w:rsid w:val="009A50F1"/>
    <w:rsid w:val="00CD1012"/>
    <w:rsid w:val="00D02B73"/>
    <w:rsid w:val="00E10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2702</Words>
  <Characters>12567</Characters>
  <Application>Microsoft Office Word</Application>
  <DocSecurity>0</DocSecurity>
  <Lines>380</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1984 - 02-b0-03</dc:title>
  <dc:subject/>
  <dc:creator>harroldd</dc:creator>
  <cp:keywords/>
  <cp:lastModifiedBy>svcMRProcess</cp:lastModifiedBy>
  <cp:revision>4</cp:revision>
  <cp:lastPrinted>2004-02-25T07:49:00Z</cp:lastPrinted>
  <dcterms:created xsi:type="dcterms:W3CDTF">2013-02-20T07:05:00Z</dcterms:created>
  <dcterms:modified xsi:type="dcterms:W3CDTF">2013-02-20T07:05:00Z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684</vt:i4>
  </property>
  <property fmtid="{D5CDD505-2E9C-101B-9397-08002B2CF9AE}" pid="6" name="AsAtDate">
    <vt:lpwstr>26 Aug 2010</vt:lpwstr>
  </property>
  <property fmtid="{D5CDD505-2E9C-101B-9397-08002B2CF9AE}" pid="7" name="Suffix">
    <vt:lpwstr>02-b0-03</vt:lpwstr>
  </property>
</Properties>
</file>