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Retail Trading Hours Act 1987</w:t>
      </w:r>
    </w:p>
    <w:p>
      <w:pPr>
        <w:pStyle w:val="NameofActRegPage1"/>
        <w:spacing w:before="1800" w:after="4200"/>
      </w:pPr>
      <w:r>
        <w:fldChar w:fldCharType="begin"/>
      </w:r>
      <w:r>
        <w:instrText xml:space="preserve"> STYLEREF "Name Of Act/Reg"</w:instrText>
      </w:r>
      <w:r>
        <w:fldChar w:fldCharType="separate"/>
      </w:r>
      <w:r>
        <w:rPr>
          <w:noProof/>
        </w:rPr>
        <w:t>Retail Trading Hours (Special Trading Precincts and Holiday Resorts)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(Special Trading Precincts and Holiday Resorts) Regulations 2010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_Toc271268781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_Toc271268782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Fremantle special trading precinct prescribed</w:t>
      </w:r>
      <w:r>
        <w:tab/>
      </w:r>
      <w:r>
        <w:fldChar w:fldCharType="begin"/>
      </w:r>
      <w:r>
        <w:instrText xml:space="preserve"> PAGEREF _Toc271268783 \h </w:instrText>
      </w:r>
      <w:r>
        <w:fldChar w:fldCharType="separate"/>
      </w:r>
      <w:r>
        <w:t>1</w:t>
      </w:r>
      <w:r>
        <w:fldChar w:fldCharType="end"/>
      </w:r>
    </w:p>
    <w:p>
      <w:pPr>
        <w:pStyle w:val="TOC8"/>
        <w:rPr>
          <w:sz w:val="24"/>
          <w:szCs w:val="24"/>
        </w:rPr>
      </w:pPr>
      <w:r>
        <w:rPr>
          <w:szCs w:val="24"/>
        </w:rPr>
        <w:t>4.</w:t>
      </w:r>
      <w:r>
        <w:rPr>
          <w:szCs w:val="24"/>
        </w:rPr>
        <w:tab/>
        <w:t>Joondalup special trading precinct prescribed</w:t>
      </w:r>
      <w:r>
        <w:tab/>
      </w:r>
      <w:r>
        <w:fldChar w:fldCharType="begin"/>
      </w:r>
      <w:r>
        <w:instrText xml:space="preserve"> PAGEREF _Toc271268784 \h </w:instrText>
      </w:r>
      <w:r>
        <w:fldChar w:fldCharType="separate"/>
      </w:r>
      <w:r>
        <w:t>1</w:t>
      </w:r>
      <w:r>
        <w:fldChar w:fldCharType="end"/>
      </w:r>
    </w:p>
    <w:p>
      <w:pPr>
        <w:pStyle w:val="TOC8"/>
        <w:rPr>
          <w:sz w:val="24"/>
          <w:szCs w:val="24"/>
        </w:rPr>
      </w:pPr>
      <w:r>
        <w:rPr>
          <w:szCs w:val="24"/>
        </w:rPr>
        <w:t>5.</w:t>
      </w:r>
      <w:r>
        <w:rPr>
          <w:szCs w:val="24"/>
        </w:rPr>
        <w:tab/>
        <w:t xml:space="preserve">Perth </w:t>
      </w:r>
      <w:r>
        <w:rPr>
          <w:snapToGrid w:val="0"/>
          <w:szCs w:val="24"/>
        </w:rPr>
        <w:t>special trading precinct prescribed</w:t>
      </w:r>
      <w:r>
        <w:tab/>
      </w:r>
      <w:r>
        <w:fldChar w:fldCharType="begin"/>
      </w:r>
      <w:r>
        <w:instrText xml:space="preserve"> PAGEREF _Toc271268785 \h </w:instrText>
      </w:r>
      <w:r>
        <w:fldChar w:fldCharType="separate"/>
      </w:r>
      <w:r>
        <w:t>2</w:t>
      </w:r>
      <w:r>
        <w:fldChar w:fldCharType="end"/>
      </w:r>
    </w:p>
    <w:p>
      <w:pPr>
        <w:pStyle w:val="TOC8"/>
        <w:rPr>
          <w:sz w:val="24"/>
          <w:szCs w:val="24"/>
        </w:rPr>
      </w:pPr>
      <w:r>
        <w:rPr>
          <w:szCs w:val="24"/>
        </w:rPr>
        <w:t>6.</w:t>
      </w:r>
      <w:r>
        <w:rPr>
          <w:szCs w:val="24"/>
        </w:rPr>
        <w:tab/>
        <w:t>Holiday resorts prescribed</w:t>
      </w:r>
      <w:r>
        <w:tab/>
      </w:r>
      <w:r>
        <w:fldChar w:fldCharType="begin"/>
      </w:r>
      <w:r>
        <w:instrText xml:space="preserve"> PAGEREF _Toc271268786 \h </w:instrText>
      </w:r>
      <w:r>
        <w:fldChar w:fldCharType="separate"/>
      </w:r>
      <w:r>
        <w:t>2</w:t>
      </w:r>
      <w:r>
        <w:fldChar w:fldCharType="end"/>
      </w:r>
    </w:p>
    <w:p>
      <w:pPr>
        <w:pStyle w:val="TOC8"/>
        <w:rPr>
          <w:sz w:val="24"/>
          <w:szCs w:val="24"/>
        </w:rPr>
      </w:pPr>
      <w:r>
        <w:rPr>
          <w:szCs w:val="24"/>
        </w:rPr>
        <w:t>7.</w:t>
      </w:r>
      <w:r>
        <w:rPr>
          <w:szCs w:val="24"/>
        </w:rPr>
        <w:tab/>
        <w:t>Repeal</w:t>
      </w:r>
      <w:r>
        <w:tab/>
      </w:r>
      <w:r>
        <w:fldChar w:fldCharType="begin"/>
      </w:r>
      <w:r>
        <w:instrText xml:space="preserve"> PAGEREF _Toc271268787 \h </w:instrText>
      </w:r>
      <w:r>
        <w:fldChar w:fldCharType="separate"/>
      </w:r>
      <w:r>
        <w:t>2</w:t>
      </w:r>
      <w:r>
        <w:fldChar w:fldCharType="end"/>
      </w:r>
    </w:p>
    <w:p>
      <w:pPr>
        <w:pStyle w:val="TOC2"/>
        <w:tabs>
          <w:tab w:val="right" w:leader="dot" w:pos="7086"/>
        </w:tabs>
        <w:rPr>
          <w:b w:val="0"/>
          <w:sz w:val="24"/>
          <w:szCs w:val="24"/>
        </w:rPr>
      </w:pPr>
      <w:r>
        <w:rPr>
          <w:szCs w:val="28"/>
        </w:rPr>
        <w:t>Schedule 1 — Special trading precincts</w:t>
      </w:r>
    </w:p>
    <w:p>
      <w:pPr>
        <w:pStyle w:val="TOC4"/>
        <w:tabs>
          <w:tab w:val="right" w:leader="dot" w:pos="7086"/>
        </w:tabs>
        <w:rPr>
          <w:b w:val="0"/>
          <w:sz w:val="24"/>
          <w:szCs w:val="24"/>
        </w:rPr>
      </w:pPr>
      <w:r>
        <w:rPr>
          <w:szCs w:val="24"/>
        </w:rPr>
        <w:t>Division 1 — Fremantle special trading precinct</w:t>
      </w:r>
    </w:p>
    <w:p>
      <w:pPr>
        <w:pStyle w:val="TOC4"/>
        <w:tabs>
          <w:tab w:val="right" w:leader="dot" w:pos="7086"/>
        </w:tabs>
        <w:rPr>
          <w:b w:val="0"/>
          <w:sz w:val="24"/>
          <w:szCs w:val="24"/>
        </w:rPr>
      </w:pPr>
      <w:r>
        <w:rPr>
          <w:szCs w:val="24"/>
        </w:rPr>
        <w:t>Division 2 — Joondalup special trading precinct</w:t>
      </w:r>
    </w:p>
    <w:p>
      <w:pPr>
        <w:pStyle w:val="TOC4"/>
        <w:tabs>
          <w:tab w:val="right" w:leader="dot" w:pos="7086"/>
        </w:tabs>
        <w:rPr>
          <w:b w:val="0"/>
          <w:sz w:val="24"/>
          <w:szCs w:val="24"/>
        </w:rPr>
      </w:pPr>
      <w:r>
        <w:rPr>
          <w:szCs w:val="24"/>
        </w:rPr>
        <w:t>Division 3 — Perth special trading precinct</w:t>
      </w:r>
    </w:p>
    <w:p>
      <w:pPr>
        <w:pStyle w:val="TOC2"/>
        <w:tabs>
          <w:tab w:val="right" w:leader="dot" w:pos="7086"/>
        </w:tabs>
        <w:rPr>
          <w:b w:val="0"/>
          <w:sz w:val="24"/>
          <w:szCs w:val="24"/>
        </w:rPr>
      </w:pPr>
      <w:r>
        <w:rPr>
          <w:szCs w:val="28"/>
        </w:rPr>
        <w:t>Schedule 2 — Holiday resorts</w:t>
      </w:r>
    </w:p>
    <w:p>
      <w:pPr>
        <w:pStyle w:val="TOC4"/>
        <w:tabs>
          <w:tab w:val="right" w:leader="dot" w:pos="7086"/>
        </w:tabs>
        <w:rPr>
          <w:b w:val="0"/>
          <w:sz w:val="24"/>
          <w:szCs w:val="24"/>
        </w:rPr>
      </w:pPr>
      <w:r>
        <w:rPr>
          <w:szCs w:val="24"/>
        </w:rPr>
        <w:t>Division 1 — Rockingham holiday resort</w:t>
      </w:r>
    </w:p>
    <w:p>
      <w:pPr>
        <w:pStyle w:val="TOC4"/>
        <w:tabs>
          <w:tab w:val="right" w:leader="dot" w:pos="7086"/>
        </w:tabs>
        <w:rPr>
          <w:b w:val="0"/>
          <w:sz w:val="24"/>
          <w:szCs w:val="24"/>
        </w:rPr>
      </w:pPr>
      <w:r>
        <w:rPr>
          <w:szCs w:val="24"/>
        </w:rPr>
        <w:t>Division 2 — Rottnest Island holiday resort</w:t>
      </w:r>
    </w:p>
    <w:p>
      <w:pPr>
        <w:pStyle w:val="TOC4"/>
        <w:tabs>
          <w:tab w:val="right" w:leader="dot" w:pos="7086"/>
        </w:tabs>
        <w:rPr>
          <w:b w:val="0"/>
          <w:sz w:val="24"/>
          <w:szCs w:val="24"/>
        </w:rPr>
      </w:pPr>
      <w:r>
        <w:rPr>
          <w:szCs w:val="24"/>
        </w:rPr>
        <w:t>Division 3 — Wanneroo holiday resort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_Toc271268797 \h </w:instrText>
      </w:r>
      <w:r>
        <w:fldChar w:fldCharType="separate"/>
      </w:r>
      <w:r>
        <w:t>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Retail Trading Hours Act 1987</w:t>
      </w:r>
    </w:p>
    <w:p>
      <w:pPr>
        <w:pStyle w:val="NameofActReg"/>
      </w:pPr>
      <w:r>
        <w:t>Retail Trading Hours (Special Trading Precincts and Holiday Resorts)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1268781"/>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Retail Trading Hours (Special Trading Precincts and Holiday Resorts) Regulations 2010</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7126878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 4 and Schedule 1 Division 2 — on 5 September 2010;</w:t>
      </w:r>
    </w:p>
    <w:p>
      <w:pPr>
        <w:pStyle w:val="Indenta"/>
      </w:pPr>
      <w:r>
        <w:tab/>
        <w:t>(c)</w:t>
      </w:r>
      <w:r>
        <w:tab/>
        <w:t>the rest of the regulations — on the day after gazettal day.</w:t>
      </w:r>
    </w:p>
    <w:p>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271268783"/>
      <w:r>
        <w:rPr>
          <w:rStyle w:val="CharSectno"/>
        </w:rPr>
        <w:t>3</w:t>
      </w:r>
      <w:r>
        <w:rPr>
          <w:snapToGrid w:val="0"/>
        </w:rPr>
        <w:t>.</w:t>
      </w:r>
      <w:r>
        <w:rPr>
          <w:snapToGrid w:val="0"/>
        </w:rPr>
        <w:tab/>
      </w:r>
      <w:bookmarkEnd w:id="18"/>
      <w:bookmarkEnd w:id="19"/>
      <w:bookmarkEnd w:id="20"/>
      <w:bookmarkEnd w:id="21"/>
      <w:bookmarkEnd w:id="22"/>
      <w:bookmarkEnd w:id="23"/>
      <w:bookmarkEnd w:id="24"/>
      <w:r>
        <w:rPr>
          <w:snapToGrid w:val="0"/>
        </w:rPr>
        <w:t>Fremantle special trading precinct prescribed</w:t>
      </w:r>
      <w:bookmarkEnd w:id="25"/>
    </w:p>
    <w:p>
      <w:pPr>
        <w:pStyle w:val="Subsection"/>
      </w:pPr>
      <w:r>
        <w:tab/>
      </w:r>
      <w:r>
        <w:tab/>
        <w:t>The area of the State described in Schedule 1 Division 1 is prescribed as the Fremantle special trading precinct for the purpose of section 12A(4) of the Act.</w:t>
      </w:r>
    </w:p>
    <w:p>
      <w:pPr>
        <w:pStyle w:val="Heading5"/>
      </w:pPr>
      <w:bookmarkStart w:id="26" w:name="_Toc271268784"/>
      <w:r>
        <w:rPr>
          <w:rStyle w:val="CharSectno"/>
        </w:rPr>
        <w:t>4</w:t>
      </w:r>
      <w:r>
        <w:t>.</w:t>
      </w:r>
      <w:r>
        <w:tab/>
        <w:t>Joondalup special trading precinct prescribed</w:t>
      </w:r>
      <w:bookmarkEnd w:id="26"/>
    </w:p>
    <w:p>
      <w:pPr>
        <w:pStyle w:val="Subsection"/>
      </w:pPr>
      <w:r>
        <w:tab/>
      </w:r>
      <w:r>
        <w:tab/>
        <w:t>The area of the State described in Schedule 1 Division 2 is prescribed as the Joondalup special trading precinct for the purpose of section 12A(4) of the Act.</w:t>
      </w:r>
    </w:p>
    <w:p>
      <w:pPr>
        <w:pStyle w:val="Heading5"/>
      </w:pPr>
      <w:bookmarkStart w:id="27" w:name="_Toc271268785"/>
      <w:r>
        <w:rPr>
          <w:rStyle w:val="CharSectno"/>
        </w:rPr>
        <w:t>5</w:t>
      </w:r>
      <w:r>
        <w:t>.</w:t>
      </w:r>
      <w:r>
        <w:tab/>
        <w:t xml:space="preserve">Perth </w:t>
      </w:r>
      <w:r>
        <w:rPr>
          <w:snapToGrid w:val="0"/>
        </w:rPr>
        <w:t>special trading precinct prescribed</w:t>
      </w:r>
      <w:bookmarkEnd w:id="27"/>
    </w:p>
    <w:p>
      <w:pPr>
        <w:pStyle w:val="Subsection"/>
      </w:pPr>
      <w:r>
        <w:tab/>
      </w:r>
      <w:r>
        <w:tab/>
        <w:t>The area of the State described in Schedule 1 Division 3 is prescribed as the Perth special trading precinct for the purpose of section 12A(4) of the Act.</w:t>
      </w:r>
    </w:p>
    <w:p>
      <w:pPr>
        <w:pStyle w:val="Heading5"/>
      </w:pPr>
      <w:bookmarkStart w:id="28" w:name="_Toc271268786"/>
      <w:r>
        <w:rPr>
          <w:rStyle w:val="CharSectno"/>
        </w:rPr>
        <w:t>6</w:t>
      </w:r>
      <w:r>
        <w:t>.</w:t>
      </w:r>
      <w:r>
        <w:tab/>
        <w:t>Holiday resorts prescribed</w:t>
      </w:r>
      <w:bookmarkEnd w:id="28"/>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pStyle w:val="Heading5"/>
      </w:pPr>
      <w:bookmarkStart w:id="29" w:name="_Toc271268787"/>
      <w:r>
        <w:rPr>
          <w:rStyle w:val="CharSectno"/>
        </w:rPr>
        <w:t>7</w:t>
      </w:r>
      <w:r>
        <w:t>.</w:t>
      </w:r>
      <w:r>
        <w:tab/>
        <w:t>Repeal</w:t>
      </w:r>
      <w:bookmarkEnd w:id="29"/>
    </w:p>
    <w:p>
      <w:pPr>
        <w:pStyle w:val="Subsection"/>
      </w:pPr>
      <w:r>
        <w:tab/>
      </w:r>
      <w:r>
        <w:tab/>
        <w:t xml:space="preserve">The </w:t>
      </w:r>
      <w:r>
        <w:rPr>
          <w:i/>
        </w:rPr>
        <w:t>Retail Trading Hours (Tourism Precincts and Holiday Resorts) Regulations 2007</w:t>
      </w:r>
      <w:r>
        <w:t xml:space="preserve"> are repealed.</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30" w:name="_Toc268166909"/>
      <w:bookmarkStart w:id="31" w:name="_Toc268167421"/>
      <w:bookmarkStart w:id="32" w:name="_Toc268167522"/>
      <w:bookmarkStart w:id="33" w:name="_Toc268167620"/>
      <w:bookmarkStart w:id="34" w:name="_Toc268168027"/>
      <w:bookmarkStart w:id="35" w:name="_Toc268174728"/>
      <w:bookmarkStart w:id="36" w:name="_Toc271268788"/>
      <w:r>
        <w:rPr>
          <w:rStyle w:val="CharSchNo"/>
        </w:rPr>
        <w:t>Schedule 1</w:t>
      </w:r>
      <w:r>
        <w:t> —</w:t>
      </w:r>
      <w:bookmarkStart w:id="37" w:name="AutoSch"/>
      <w:bookmarkEnd w:id="37"/>
      <w:r>
        <w:t> </w:t>
      </w:r>
      <w:r>
        <w:rPr>
          <w:rStyle w:val="CharSchText"/>
        </w:rPr>
        <w:t>Special trading precincts</w:t>
      </w:r>
      <w:bookmarkEnd w:id="30"/>
      <w:bookmarkEnd w:id="31"/>
      <w:bookmarkEnd w:id="32"/>
      <w:bookmarkEnd w:id="33"/>
      <w:bookmarkEnd w:id="34"/>
      <w:bookmarkEnd w:id="35"/>
      <w:bookmarkEnd w:id="36"/>
    </w:p>
    <w:p>
      <w:pPr>
        <w:pStyle w:val="yShoulderClause"/>
      </w:pPr>
      <w:r>
        <w:t>[r. 3, 4, 5]</w:t>
      </w:r>
    </w:p>
    <w:p>
      <w:pPr>
        <w:pStyle w:val="yHeading3"/>
      </w:pPr>
      <w:bookmarkStart w:id="38" w:name="_Toc268166910"/>
      <w:bookmarkStart w:id="39" w:name="_Toc268167422"/>
      <w:bookmarkStart w:id="40" w:name="_Toc268167523"/>
      <w:bookmarkStart w:id="41" w:name="_Toc268167621"/>
      <w:bookmarkStart w:id="42" w:name="_Toc268168028"/>
      <w:bookmarkStart w:id="43" w:name="_Toc268174729"/>
      <w:bookmarkStart w:id="44" w:name="_Toc271268789"/>
      <w:r>
        <w:rPr>
          <w:rStyle w:val="CharSDivNo"/>
        </w:rPr>
        <w:t>Division 1</w:t>
      </w:r>
      <w:r>
        <w:t> — </w:t>
      </w:r>
      <w:r>
        <w:rPr>
          <w:rStyle w:val="CharSDivText"/>
        </w:rPr>
        <w:t>Fremantle special trading precinct</w:t>
      </w:r>
      <w:bookmarkEnd w:id="38"/>
      <w:bookmarkEnd w:id="39"/>
      <w:bookmarkEnd w:id="40"/>
      <w:bookmarkEnd w:id="41"/>
      <w:bookmarkEnd w:id="42"/>
      <w:bookmarkEnd w:id="43"/>
      <w:bookmarkEnd w:id="44"/>
    </w:p>
    <w:p>
      <w:pPr>
        <w:pStyle w:val="yMiscellaneousBody"/>
        <w:ind w:left="851"/>
      </w:pPr>
      <w:r>
        <w:t>That part of the district of Fremantle (as existing at the beginning of 27 March 2010) that is south of the Swan River.  For information purposes, the prescribed area is shown below and shaded grey.</w:t>
      </w:r>
    </w:p>
    <w:p>
      <w:pPr>
        <w:pStyle w:val="zyMiscellaneousBody"/>
        <w:ind w:hanging="567"/>
        <w:jc w:val="center"/>
      </w:pPr>
      <w:r>
        <w:rPr>
          <w:noProof/>
          <w:lang w:eastAsia="en-AU"/>
        </w:rPr>
        <w:drawing>
          <wp:inline distT="0" distB="0" distL="0" distR="0">
            <wp:extent cx="3890645" cy="2682875"/>
            <wp:effectExtent l="0" t="0" r="0" b="3175"/>
            <wp:docPr id="1" name="Picture 1" descr="C:\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0645" cy="2682875"/>
                    </a:xfrm>
                    <a:prstGeom prst="rect">
                      <a:avLst/>
                    </a:prstGeom>
                    <a:noFill/>
                    <a:ln>
                      <a:noFill/>
                    </a:ln>
                  </pic:spPr>
                </pic:pic>
              </a:graphicData>
            </a:graphic>
          </wp:inline>
        </w:drawing>
      </w:r>
    </w:p>
    <w:p>
      <w:pPr>
        <w:pStyle w:val="yHeading3"/>
      </w:pPr>
      <w:bookmarkStart w:id="45" w:name="_Toc271268790"/>
      <w:bookmarkStart w:id="46" w:name="_Toc268166912"/>
      <w:bookmarkStart w:id="47" w:name="_Toc268167424"/>
      <w:bookmarkStart w:id="48" w:name="_Toc268167525"/>
      <w:bookmarkStart w:id="49" w:name="_Toc268167623"/>
      <w:bookmarkStart w:id="50" w:name="_Toc268168029"/>
      <w:bookmarkStart w:id="51" w:name="_Toc268174730"/>
      <w:r>
        <w:rPr>
          <w:rStyle w:val="CharSDivNo"/>
        </w:rPr>
        <w:t>Division 2</w:t>
      </w:r>
      <w:r>
        <w:t> — </w:t>
      </w:r>
      <w:r>
        <w:rPr>
          <w:rStyle w:val="CharSDivText"/>
        </w:rPr>
        <w:t>Joondalup special trading precinct</w:t>
      </w:r>
      <w:bookmarkEnd w:id="45"/>
    </w:p>
    <w:p>
      <w:pPr>
        <w:pStyle w:val="yMiscellaneousBody"/>
        <w:ind w:left="851" w:hanging="425"/>
      </w:pPr>
      <w:r>
        <w:t>(1)</w:t>
      </w:r>
      <w:r>
        <w:tab/>
        <w:t>That part of the district of Joondalup contained within a line that starts where Moore Drive begins to cross the northbound lane of the Mitchell Freeway, then continues in a generally easterly direction along Moore Drive to where it intersects with the northbound lane of Joondalup Drive, then continues in a generally northerly direction along the northbound lane of Joondalup Drive to where Joondalup Drive intersects with Lakeside Drive, then continues in a south</w:t>
      </w:r>
      <w:r>
        <w:noBreakHyphen/>
        <w:t>easterly then generally southerly direction along the southbound lane of Lakeside Drive to where it intersects with Joondalup Drive, then continues in a generally southerly direction along the southbound lane of Joondalup Drive to where it intersects with Ocean Reef Road, then continues in a westerly direction along the eastbound lane of Ocean Reef Road to where it begins to cross the northbound lane of the Mitchell Freeway, then continues in a north</w:t>
      </w:r>
      <w:r>
        <w:noBreakHyphen/>
        <w:t>westerly direction along the northbound lane of the Mitchell Freeway to the starting point.  For information purposes, the prescribed area is shown below and shaded grey.</w:t>
      </w:r>
    </w:p>
    <w:p>
      <w:pPr>
        <w:pStyle w:val="nzSubsection"/>
        <w:jc w:val="center"/>
      </w:pPr>
      <w:r>
        <w:rPr>
          <w:noProof/>
          <w:lang w:eastAsia="en-AU"/>
        </w:rPr>
        <w:drawing>
          <wp:inline distT="0" distB="0" distL="0" distR="0">
            <wp:extent cx="2182495" cy="3166110"/>
            <wp:effectExtent l="0" t="0" r="8255" b="0"/>
            <wp:docPr id="2" name="Picture 2" descr="C:\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c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2495" cy="3166110"/>
                    </a:xfrm>
                    <a:prstGeom prst="rect">
                      <a:avLst/>
                    </a:prstGeom>
                    <a:noFill/>
                    <a:ln>
                      <a:noFill/>
                    </a:ln>
                  </pic:spPr>
                </pic:pic>
              </a:graphicData>
            </a:graphic>
          </wp:inline>
        </w:drawing>
      </w:r>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t>
      </w:r>
    </w:p>
    <w:p>
      <w:pPr>
        <w:pStyle w:val="yHeading3"/>
      </w:pPr>
      <w:bookmarkStart w:id="52" w:name="_Toc271268791"/>
      <w:r>
        <w:rPr>
          <w:rStyle w:val="CharSDivNo"/>
        </w:rPr>
        <w:t>Division 3</w:t>
      </w:r>
      <w:r>
        <w:t> — </w:t>
      </w:r>
      <w:r>
        <w:rPr>
          <w:rStyle w:val="CharSDivText"/>
        </w:rPr>
        <w:t>Perth special trading precinct</w:t>
      </w:r>
      <w:bookmarkEnd w:id="46"/>
      <w:bookmarkEnd w:id="47"/>
      <w:bookmarkEnd w:id="48"/>
      <w:bookmarkEnd w:id="49"/>
      <w:bookmarkEnd w:id="50"/>
      <w:bookmarkEnd w:id="51"/>
      <w:bookmarkEnd w:id="52"/>
    </w:p>
    <w:p>
      <w:pPr>
        <w:pStyle w:val="yMiscellaneousBody"/>
        <w:ind w:left="851" w:hanging="425"/>
      </w:pPr>
      <w:r>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  For information purposes, the prescribed area is shown below and shaded grey.</w:t>
      </w:r>
    </w:p>
    <w:p>
      <w:pPr>
        <w:pStyle w:val="yMiscellaneousBody"/>
        <w:ind w:left="851" w:hanging="425"/>
        <w:jc w:val="center"/>
      </w:pPr>
      <w:r>
        <w:rPr>
          <w:noProof/>
          <w:lang w:eastAsia="en-AU"/>
        </w:rPr>
        <w:drawing>
          <wp:inline distT="0" distB="0" distL="0" distR="0">
            <wp:extent cx="3105785" cy="2182495"/>
            <wp:effectExtent l="0" t="0" r="0" b="8255"/>
            <wp:docPr id="3" name="Picture 3" descr="C:\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c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785" cy="2182495"/>
                    </a:xfrm>
                    <a:prstGeom prst="rect">
                      <a:avLst/>
                    </a:prstGeom>
                    <a:noFill/>
                    <a:ln>
                      <a:noFill/>
                    </a:ln>
                  </pic:spPr>
                </pic:pic>
              </a:graphicData>
            </a:graphic>
          </wp:inline>
        </w:drawing>
      </w:r>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MiscellaneousBody"/>
        <w:ind w:left="851" w:hanging="425"/>
      </w:pPr>
      <w:r>
        <w:t>(3)</w:t>
      </w:r>
      <w:r>
        <w:tab/>
        <w:t>The Perth tourism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53" w:name="_Toc268166913"/>
      <w:bookmarkStart w:id="54" w:name="_Toc268167425"/>
      <w:bookmarkStart w:id="55" w:name="_Toc268167526"/>
      <w:bookmarkStart w:id="56" w:name="_Toc268167624"/>
      <w:bookmarkStart w:id="57" w:name="_Toc268168030"/>
      <w:bookmarkStart w:id="58" w:name="_Toc268174731"/>
      <w:bookmarkStart w:id="59" w:name="_Toc271268792"/>
      <w:r>
        <w:rPr>
          <w:rStyle w:val="CharSchNo"/>
        </w:rPr>
        <w:t>Schedule 2</w:t>
      </w:r>
      <w:r>
        <w:t> — </w:t>
      </w:r>
      <w:r>
        <w:rPr>
          <w:rStyle w:val="CharSchText"/>
        </w:rPr>
        <w:t>Holiday resorts</w:t>
      </w:r>
      <w:bookmarkEnd w:id="53"/>
      <w:bookmarkEnd w:id="54"/>
      <w:bookmarkEnd w:id="55"/>
      <w:bookmarkEnd w:id="56"/>
      <w:bookmarkEnd w:id="57"/>
      <w:bookmarkEnd w:id="58"/>
      <w:bookmarkEnd w:id="59"/>
    </w:p>
    <w:p>
      <w:pPr>
        <w:pStyle w:val="yShoulderClause"/>
      </w:pPr>
      <w:r>
        <w:t>[r. 6]</w:t>
      </w:r>
    </w:p>
    <w:p>
      <w:pPr>
        <w:pStyle w:val="yHeading3"/>
      </w:pPr>
      <w:bookmarkStart w:id="60" w:name="_Toc166556605"/>
      <w:bookmarkStart w:id="61" w:name="_Toc166573868"/>
      <w:bookmarkStart w:id="62" w:name="_Toc166580127"/>
      <w:bookmarkStart w:id="63" w:name="_Toc166667529"/>
      <w:bookmarkStart w:id="64" w:name="_Toc235325916"/>
      <w:bookmarkStart w:id="65" w:name="_Toc246813267"/>
      <w:bookmarkStart w:id="66" w:name="_Toc257294165"/>
      <w:bookmarkStart w:id="67" w:name="_Toc257300860"/>
      <w:bookmarkStart w:id="68" w:name="_Toc257361280"/>
      <w:bookmarkStart w:id="69" w:name="_Toc268166914"/>
      <w:bookmarkStart w:id="70" w:name="_Toc268167426"/>
      <w:bookmarkStart w:id="71" w:name="_Toc268167527"/>
      <w:bookmarkStart w:id="72" w:name="_Toc268167625"/>
      <w:bookmarkStart w:id="73" w:name="_Toc268168031"/>
      <w:bookmarkStart w:id="74" w:name="_Toc268174732"/>
      <w:bookmarkStart w:id="75" w:name="_Toc271268793"/>
      <w:r>
        <w:rPr>
          <w:rStyle w:val="CharSDivNo"/>
        </w:rPr>
        <w:t>Division 1</w:t>
      </w:r>
      <w:r>
        <w:t> — </w:t>
      </w:r>
      <w:r>
        <w:rPr>
          <w:rStyle w:val="CharSDivText"/>
        </w:rPr>
        <w:t>Rockingham holiday resort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yMiscellaneousBody"/>
        <w:ind w:left="851"/>
      </w:pPr>
      <w:r>
        <w:t>District of Rockingham.</w:t>
      </w:r>
    </w:p>
    <w:p>
      <w:pPr>
        <w:pStyle w:val="yHeading3"/>
      </w:pPr>
      <w:bookmarkStart w:id="76" w:name="_Toc166556606"/>
      <w:bookmarkStart w:id="77" w:name="_Toc166573869"/>
      <w:bookmarkStart w:id="78" w:name="_Toc166580128"/>
      <w:bookmarkStart w:id="79" w:name="_Toc166667530"/>
      <w:bookmarkStart w:id="80" w:name="_Toc235325917"/>
      <w:bookmarkStart w:id="81" w:name="_Toc246813268"/>
      <w:bookmarkStart w:id="82" w:name="_Toc257294166"/>
      <w:bookmarkStart w:id="83" w:name="_Toc257300861"/>
      <w:bookmarkStart w:id="84" w:name="_Toc257361281"/>
      <w:bookmarkStart w:id="85" w:name="_Toc268166915"/>
      <w:bookmarkStart w:id="86" w:name="_Toc268167427"/>
      <w:bookmarkStart w:id="87" w:name="_Toc268167528"/>
      <w:bookmarkStart w:id="88" w:name="_Toc268167626"/>
      <w:bookmarkStart w:id="89" w:name="_Toc268168032"/>
      <w:bookmarkStart w:id="90" w:name="_Toc268174733"/>
      <w:bookmarkStart w:id="91" w:name="_Toc271268794"/>
      <w:r>
        <w:rPr>
          <w:rStyle w:val="CharSDivNo"/>
        </w:rPr>
        <w:t>Division 2</w:t>
      </w:r>
      <w:r>
        <w:t> — </w:t>
      </w:r>
      <w:r>
        <w:rPr>
          <w:rStyle w:val="CharSDivText"/>
        </w:rPr>
        <w:t>Rottnest Island holiday resort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yMiscellaneousBody"/>
        <w:ind w:left="851"/>
      </w:pPr>
      <w:r>
        <w:t>Rottnest Island.</w:t>
      </w:r>
      <w:bookmarkStart w:id="92" w:name="UpToHere"/>
      <w:bookmarkEnd w:id="92"/>
    </w:p>
    <w:p>
      <w:pPr>
        <w:pStyle w:val="yHeading3"/>
      </w:pPr>
      <w:bookmarkStart w:id="93" w:name="_Toc166556607"/>
      <w:bookmarkStart w:id="94" w:name="_Toc166573870"/>
      <w:bookmarkStart w:id="95" w:name="_Toc166580129"/>
      <w:bookmarkStart w:id="96" w:name="_Toc166667531"/>
      <w:bookmarkStart w:id="97" w:name="_Toc235325918"/>
      <w:bookmarkStart w:id="98" w:name="_Toc246813269"/>
      <w:bookmarkStart w:id="99" w:name="_Toc257294167"/>
      <w:bookmarkStart w:id="100" w:name="_Toc257300862"/>
      <w:bookmarkStart w:id="101" w:name="_Toc257361282"/>
      <w:bookmarkStart w:id="102" w:name="_Toc268166916"/>
      <w:bookmarkStart w:id="103" w:name="_Toc268167428"/>
      <w:bookmarkStart w:id="104" w:name="_Toc268167529"/>
      <w:bookmarkStart w:id="105" w:name="_Toc268167627"/>
      <w:bookmarkStart w:id="106" w:name="_Toc268168033"/>
      <w:bookmarkStart w:id="107" w:name="_Toc268174734"/>
      <w:bookmarkStart w:id="108" w:name="_Toc271268795"/>
      <w:r>
        <w:rPr>
          <w:rStyle w:val="CharSDivNo"/>
        </w:rPr>
        <w:t>Division 3</w:t>
      </w:r>
      <w:r>
        <w:t> — </w:t>
      </w:r>
      <w:r>
        <w:rPr>
          <w:rStyle w:val="CharSDivText"/>
        </w:rPr>
        <w:t>Wanneroo holiday resort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yMiscellaneousBody"/>
        <w:ind w:left="851"/>
        <w:rPr>
          <w:sz w:val="20"/>
          <w:lang w:val="en-US"/>
        </w:rPr>
      </w:pPr>
      <w:r>
        <w:t xml:space="preserve">Localities of Two Rocks and </w:t>
      </w:r>
      <w:r>
        <w:rPr>
          <w:lang w:val="en-US"/>
        </w:rPr>
        <w:t>Yanchep</w:t>
      </w:r>
      <w:r>
        <w:rPr>
          <w:sz w:val="20"/>
          <w:lang w:val="en-US"/>
        </w:rP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09" w:name="_Toc113695922"/>
      <w:bookmarkStart w:id="110" w:name="_Toc268167429"/>
      <w:bookmarkStart w:id="111" w:name="_Toc268167530"/>
      <w:bookmarkStart w:id="112" w:name="_Toc268167628"/>
      <w:bookmarkStart w:id="113" w:name="_Toc268168034"/>
      <w:bookmarkStart w:id="114" w:name="_Toc268174735"/>
      <w:bookmarkStart w:id="115" w:name="_Toc271268796"/>
      <w:r>
        <w:t>Notes</w:t>
      </w:r>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rPr>
        <w:t>Retail Trading Hours (Special Trading Precincts and Holiday Resorts) Regulations 2010.</w:t>
      </w:r>
      <w:r>
        <w:t xml:space="preserve">  </w:t>
      </w:r>
      <w:r>
        <w:rPr>
          <w:snapToGrid w:val="0"/>
        </w:rPr>
        <w:t>The following table contains information about those regulations.</w:t>
      </w:r>
    </w:p>
    <w:p>
      <w:pPr>
        <w:pStyle w:val="nHeading3"/>
      </w:pPr>
      <w:bookmarkStart w:id="116" w:name="_Toc70311430"/>
      <w:bookmarkStart w:id="117" w:name="_Toc113695923"/>
      <w:bookmarkStart w:id="118" w:name="_Toc271268797"/>
      <w:r>
        <w:t>Compilation table</w:t>
      </w:r>
      <w:bookmarkEnd w:id="116"/>
      <w:bookmarkEnd w:id="117"/>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Retail Trading Hours (Special Trading Precincts and Holiday Resorts) Regulations 2010</w:t>
            </w:r>
          </w:p>
        </w:tc>
        <w:tc>
          <w:tcPr>
            <w:tcW w:w="1276" w:type="dxa"/>
          </w:tcPr>
          <w:p>
            <w:pPr>
              <w:pStyle w:val="nTable"/>
              <w:spacing w:after="40"/>
              <w:rPr>
                <w:sz w:val="19"/>
              </w:rPr>
            </w:pPr>
            <w:r>
              <w:rPr>
                <w:sz w:val="19"/>
              </w:rPr>
              <w:t>30 Jul 2010 p. 3523-32</w:t>
            </w:r>
          </w:p>
        </w:tc>
        <w:tc>
          <w:tcPr>
            <w:tcW w:w="2693" w:type="dxa"/>
          </w:tcPr>
          <w:p>
            <w:pPr>
              <w:pStyle w:val="nTable"/>
              <w:spacing w:after="40"/>
              <w:rPr>
                <w:sz w:val="19"/>
              </w:rPr>
            </w:pPr>
            <w:r>
              <w:rPr>
                <w:sz w:val="19"/>
              </w:rPr>
              <w:t>r. 1 and 2: 30 Jul 2010 (see r. 2(a))</w:t>
            </w:r>
            <w:r>
              <w:rPr>
                <w:sz w:val="19"/>
              </w:rPr>
              <w:br/>
              <w:t>Regulations other than r. 1, 2, 4 and Sch. 1 Div. 2: 31 Jul 2010 (see r. 2(c))</w:t>
            </w:r>
            <w:r>
              <w:rPr>
                <w:sz w:val="19"/>
              </w:rPr>
              <w:br/>
              <w:t>r. 4 and Sch. 1 Div. 2: 5 Sep 2010 (see r.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(Special Trading Precincts and Holiday Resorts)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Retail Trading Hours (Special Trading Precincts and Holiday Resorts) Regulations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Special trading precincts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Perth special trading precinct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Retail Trading Hours (Special Trading Precincts and Holiday Resorts) Regulations 2010</w:t>
            </w:r>
          </w:fldSimple>
        </w:p>
      </w:tc>
    </w:tr>
    <w:tr>
      <w:tc>
        <w:tcPr>
          <w:tcW w:w="5715" w:type="dxa"/>
          <w:vAlign w:val="bottom"/>
        </w:tcPr>
        <w:p>
          <w:pPr>
            <w:pStyle w:val="HeaderTextRight"/>
          </w:pPr>
          <w:fldSimple w:instr=" styleref CharSchText ">
            <w:r>
              <w:rPr>
                <w:noProof/>
              </w:rPr>
              <w:t>Special trading precincts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Perth special trading precinct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(Special Trading Precincts and Holiday Resorts)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(Special Trading Precincts and Holiday Resorts)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(Special Trading Precincts and Holiday Resorts)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(Special Trading Precincts and Holiday Resorts)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(Special Trading Precincts and Holiday Resorts)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Retail Trading Hours (Special Trading Precincts and Holiday Resorts)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Retail Trading Hours (Special Trading Precincts and Holiday Resorts)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Retail Trading Hours (Special Trading Precincts and Holiday Resorts)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Retail Trading Hours (Special Trading Precincts and Holiday Resorts)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4B5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02F2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264F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96653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B0E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8A5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653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AE1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C46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42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5E8C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45AC0E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jpe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1655</Words>
  <Characters>8774</Characters>
  <Application>Microsoft Office Word</Application>
  <DocSecurity>0</DocSecurity>
  <Lines>224</Lines>
  <Paragraphs>92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Schedule 1 — Special trading precincts</vt:lpstr>
      <vt:lpstr>        Division 1 — Fremantle special trading precinct</vt:lpstr>
      <vt:lpstr>        Division 2 — Joondalup special trading precinct</vt:lpstr>
      <vt:lpstr>        Division 3 — Perth special trading precinct</vt:lpstr>
      <vt:lpstr>    </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10337</CharactersWithSpaces>
  <SharedDoc>false</SharedDoc>
  <HLinks>
    <vt:vector size="18" baseType="variant">
      <vt:variant>
        <vt:i4>7798797</vt:i4>
      </vt:variant>
      <vt:variant>
        <vt:i4>4578</vt:i4>
      </vt:variant>
      <vt:variant>
        <vt:i4>1025</vt:i4>
      </vt:variant>
      <vt:variant>
        <vt:i4>1</vt:i4>
      </vt:variant>
      <vt:variant>
        <vt:lpwstr>C:\pic1.jpg</vt:lpwstr>
      </vt:variant>
      <vt:variant>
        <vt:lpwstr/>
      </vt:variant>
      <vt:variant>
        <vt:i4>7798798</vt:i4>
      </vt:variant>
      <vt:variant>
        <vt:i4>5725</vt:i4>
      </vt:variant>
      <vt:variant>
        <vt:i4>1026</vt:i4>
      </vt:variant>
      <vt:variant>
        <vt:i4>1</vt:i4>
      </vt:variant>
      <vt:variant>
        <vt:lpwstr>C:\pic2.jpg</vt:lpwstr>
      </vt:variant>
      <vt:variant>
        <vt:lpwstr/>
      </vt:variant>
      <vt:variant>
        <vt:i4>7798799</vt:i4>
      </vt:variant>
      <vt:variant>
        <vt:i4>9923</vt:i4>
      </vt:variant>
      <vt:variant>
        <vt:i4>1027</vt:i4>
      </vt:variant>
      <vt:variant>
        <vt:i4>1</vt:i4>
      </vt:variant>
      <vt:variant>
        <vt:lpwstr>C:\pic3.jpg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(Special Trading Precincts and Holiday Resorts) Regulations 2010 - 00-b0-01</dc:title>
  <dc:subject/>
  <dc:creator/>
  <cp:keywords/>
  <dc:description/>
  <cp:lastModifiedBy>svcMRProcess</cp:lastModifiedBy>
  <cp:revision>4</cp:revision>
  <cp:lastPrinted>2010-07-16T07:47:00Z</cp:lastPrinted>
  <dcterms:created xsi:type="dcterms:W3CDTF">2018-09-18T09:24:00Z</dcterms:created>
  <dcterms:modified xsi:type="dcterms:W3CDTF">2018-09-18T09:24:00Z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 2010 p 3223-32</vt:lpwstr>
  </property>
  <property fmtid="{D5CDD505-2E9C-101B-9397-08002B2CF9AE}" pid="3" name="CommencementDate">
    <vt:lpwstr>20100905</vt:lpwstr>
  </property>
  <property fmtid="{D5CDD505-2E9C-101B-9397-08002B2CF9AE}" pid="4" name="DocumentType">
    <vt:lpwstr>Reg</vt:lpwstr>
  </property>
  <property fmtid="{D5CDD505-2E9C-101B-9397-08002B2CF9AE}" pid="5" name="OwlsUID">
    <vt:i4>42879</vt:i4>
  </property>
  <property fmtid="{D5CDD505-2E9C-101B-9397-08002B2CF9AE}" pid="6" name="AsAtDate">
    <vt:lpwstr>05 Sep 2010</vt:lpwstr>
  </property>
  <property fmtid="{D5CDD505-2E9C-101B-9397-08002B2CF9AE}" pid="7" name="Suffix">
    <vt:lpwstr>00-b0-01</vt:lpwstr>
  </property>
</Properties>
</file>