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Chicken Meat Industry Act 1977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Chicken Meat Industry Act Regulations</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Chicken Meat Industry Act Regulations</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_Toc271718340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_Toc271718341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agreement (Act s. 15, 16 and 18)</w:t>
      </w:r>
      <w:r>
        <w:tab/>
      </w:r>
      <w:r>
        <w:fldChar w:fldCharType="begin"/>
      </w:r>
      <w:r>
        <w:instrText xml:space="preserve"> PAGEREF _Toc271718342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Computation of average price (Act s. 16)</w:t>
      </w:r>
      <w:r>
        <w:tab/>
      </w:r>
      <w:r>
        <w:fldChar w:fldCharType="begin"/>
      </w:r>
      <w:r>
        <w:instrText xml:space="preserve"> PAGEREF _Toc271718343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Requests and applications to Committee (Act s. 16, 18)</w:t>
      </w:r>
      <w:r>
        <w:tab/>
      </w:r>
      <w:r>
        <w:fldChar w:fldCharType="begin"/>
      </w:r>
      <w:r>
        <w:instrText xml:space="preserve"> PAGEREF _Toc271718344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r>
      <w:r>
        <w:rPr>
          <w:szCs w:val="24"/>
        </w:rPr>
        <w:t xml:space="preserve">Powers of Committee </w:t>
      </w:r>
      <w:r>
        <w:rPr>
          <w:snapToGrid w:val="0"/>
          <w:szCs w:val="24"/>
        </w:rPr>
        <w:t>(Act s. 16, 18)</w:t>
      </w:r>
      <w:r>
        <w:tab/>
      </w:r>
      <w:r>
        <w:fldChar w:fldCharType="begin"/>
      </w:r>
      <w:r>
        <w:instrText xml:space="preserve"> PAGEREF _Toc271718345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Obligations of growers</w:t>
      </w:r>
      <w:r>
        <w:tab/>
      </w:r>
      <w:r>
        <w:fldChar w:fldCharType="begin"/>
      </w:r>
      <w:r>
        <w:instrText xml:space="preserve"> PAGEREF _Toc271718346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Processor to furnish information as to payments</w:t>
      </w:r>
      <w:r>
        <w:tab/>
      </w:r>
      <w:r>
        <w:fldChar w:fldCharType="begin"/>
      </w:r>
      <w:r>
        <w:instrText xml:space="preserve"> PAGEREF _Toc271718347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Certificate for inspectors</w:t>
      </w:r>
      <w:r>
        <w:tab/>
      </w:r>
      <w:r>
        <w:fldChar w:fldCharType="begin"/>
      </w:r>
      <w:r>
        <w:instrText xml:space="preserve"> PAGEREF _Toc271718348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Powers of inspectors</w:t>
      </w:r>
      <w:r>
        <w:tab/>
      </w:r>
      <w:r>
        <w:fldChar w:fldCharType="begin"/>
      </w:r>
      <w:r>
        <w:instrText xml:space="preserve"> PAGEREF _Toc271718349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Common seal</w:t>
      </w:r>
      <w:r>
        <w:tab/>
      </w:r>
      <w:r>
        <w:fldChar w:fldCharType="begin"/>
      </w:r>
      <w:r>
        <w:instrText xml:space="preserve"> PAGEREF _Toc271718350 \h </w:instrText>
      </w:r>
      <w:r>
        <w:fldChar w:fldCharType="separate"/>
      </w:r>
      <w:r>
        <w:t>4</w:t>
      </w:r>
      <w:r>
        <w:fldChar w:fldCharType="end"/>
      </w:r>
    </w:p>
    <w:p>
      <w:pPr>
        <w:pStyle w:val="TOC8"/>
        <w:rPr>
          <w:sz w:val="24"/>
          <w:szCs w:val="24"/>
        </w:rPr>
      </w:pPr>
      <w:r>
        <w:rPr>
          <w:szCs w:val="24"/>
        </w:rPr>
        <w:t>11A.</w:t>
      </w:r>
      <w:r>
        <w:rPr>
          <w:szCs w:val="24"/>
        </w:rPr>
        <w:tab/>
      </w:r>
      <w:r>
        <w:rPr>
          <w:snapToGrid w:val="0"/>
          <w:szCs w:val="24"/>
        </w:rPr>
        <w:t>Time prescribed for making application for review (Act s. 18(3))</w:t>
      </w:r>
      <w:r>
        <w:tab/>
      </w:r>
      <w:r>
        <w:fldChar w:fldCharType="begin"/>
      </w:r>
      <w:r>
        <w:instrText xml:space="preserve"> PAGEREF _Toc271718351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Offences and penalty</w:t>
      </w:r>
      <w:r>
        <w:tab/>
      </w:r>
      <w:r>
        <w:fldChar w:fldCharType="begin"/>
      </w:r>
      <w:r>
        <w:instrText xml:space="preserve"> PAGEREF _Toc271718352 \h </w:instrText>
      </w:r>
      <w:r>
        <w:fldChar w:fldCharType="separate"/>
      </w:r>
      <w:r>
        <w:t>5</w:t>
      </w:r>
      <w:r>
        <w:fldChar w:fldCharType="end"/>
      </w:r>
    </w:p>
    <w:p>
      <w:pPr>
        <w:pStyle w:val="TOC2"/>
        <w:tabs>
          <w:tab w:val="right" w:leader="dot" w:pos="7078"/>
        </w:tabs>
        <w:rPr>
          <w:b w:val="0"/>
          <w:sz w:val="24"/>
          <w:szCs w:val="24"/>
        </w:rPr>
      </w:pPr>
      <w:r>
        <w:rPr>
          <w:szCs w:val="28"/>
        </w:rPr>
        <w:t>First Schedule — Prescribed Broiler Growing Agreement</w:t>
      </w:r>
    </w:p>
    <w:p>
      <w:pPr>
        <w:pStyle w:val="TOC8"/>
        <w:rPr>
          <w:sz w:val="24"/>
          <w:szCs w:val="24"/>
        </w:rPr>
      </w:pPr>
      <w:r>
        <w:rPr>
          <w:szCs w:val="22"/>
        </w:rPr>
        <w:t>1</w:t>
      </w:r>
      <w:r>
        <w:rPr>
          <w:snapToGrid w:val="0"/>
          <w:szCs w:val="22"/>
        </w:rPr>
        <w:t>.</w:t>
      </w:r>
      <w:r>
        <w:rPr>
          <w:snapToGrid w:val="0"/>
          <w:szCs w:val="22"/>
        </w:rPr>
        <w:tab/>
        <w:t>Interpretation </w:t>
      </w:r>
      <w:r>
        <w:tab/>
      </w:r>
      <w:r>
        <w:fldChar w:fldCharType="begin"/>
      </w:r>
      <w:r>
        <w:instrText xml:space="preserve"> PAGEREF _Toc271718354 \h </w:instrText>
      </w:r>
      <w:r>
        <w:fldChar w:fldCharType="separate"/>
      </w:r>
      <w:r>
        <w:t>6</w:t>
      </w:r>
      <w:r>
        <w:fldChar w:fldCharType="end"/>
      </w:r>
    </w:p>
    <w:p>
      <w:pPr>
        <w:pStyle w:val="TOC8"/>
        <w:rPr>
          <w:sz w:val="24"/>
          <w:szCs w:val="24"/>
        </w:rPr>
      </w:pPr>
      <w:r>
        <w:rPr>
          <w:szCs w:val="22"/>
        </w:rPr>
        <w:t>2</w:t>
      </w:r>
      <w:r>
        <w:rPr>
          <w:snapToGrid w:val="0"/>
          <w:szCs w:val="22"/>
        </w:rPr>
        <w:t>.</w:t>
      </w:r>
      <w:r>
        <w:rPr>
          <w:snapToGrid w:val="0"/>
          <w:szCs w:val="22"/>
        </w:rPr>
        <w:tab/>
        <w:t>Processor’s obligations </w:t>
      </w:r>
      <w:r>
        <w:tab/>
      </w:r>
      <w:r>
        <w:fldChar w:fldCharType="begin"/>
      </w:r>
      <w:r>
        <w:instrText xml:space="preserve"> PAGEREF _Toc271718355 \h </w:instrText>
      </w:r>
      <w:r>
        <w:fldChar w:fldCharType="separate"/>
      </w:r>
      <w:r>
        <w:t>8</w:t>
      </w:r>
      <w:r>
        <w:fldChar w:fldCharType="end"/>
      </w:r>
    </w:p>
    <w:p>
      <w:pPr>
        <w:pStyle w:val="TOC8"/>
        <w:rPr>
          <w:sz w:val="24"/>
          <w:szCs w:val="24"/>
        </w:rPr>
      </w:pPr>
      <w:r>
        <w:rPr>
          <w:szCs w:val="22"/>
        </w:rPr>
        <w:t>3</w:t>
      </w:r>
      <w:r>
        <w:rPr>
          <w:snapToGrid w:val="0"/>
          <w:szCs w:val="22"/>
        </w:rPr>
        <w:t>.</w:t>
      </w:r>
      <w:r>
        <w:rPr>
          <w:snapToGrid w:val="0"/>
          <w:szCs w:val="22"/>
        </w:rPr>
        <w:tab/>
        <w:t>Grower’s obligations </w:t>
      </w:r>
      <w:r>
        <w:tab/>
      </w:r>
      <w:r>
        <w:fldChar w:fldCharType="begin"/>
      </w:r>
      <w:r>
        <w:instrText xml:space="preserve"> PAGEREF _Toc271718356 \h </w:instrText>
      </w:r>
      <w:r>
        <w:fldChar w:fldCharType="separate"/>
      </w:r>
      <w:r>
        <w:t>10</w:t>
      </w:r>
      <w:r>
        <w:fldChar w:fldCharType="end"/>
      </w:r>
    </w:p>
    <w:p>
      <w:pPr>
        <w:pStyle w:val="TOC8"/>
        <w:rPr>
          <w:sz w:val="24"/>
          <w:szCs w:val="24"/>
        </w:rPr>
      </w:pPr>
      <w:r>
        <w:rPr>
          <w:szCs w:val="22"/>
        </w:rPr>
        <w:t>4</w:t>
      </w:r>
      <w:r>
        <w:rPr>
          <w:snapToGrid w:val="0"/>
          <w:szCs w:val="22"/>
        </w:rPr>
        <w:t>.</w:t>
      </w:r>
      <w:r>
        <w:rPr>
          <w:snapToGrid w:val="0"/>
          <w:szCs w:val="22"/>
        </w:rPr>
        <w:tab/>
        <w:t>Weighing of broiler chickens </w:t>
      </w:r>
      <w:r>
        <w:tab/>
      </w:r>
      <w:r>
        <w:fldChar w:fldCharType="begin"/>
      </w:r>
      <w:r>
        <w:instrText xml:space="preserve"> PAGEREF _Toc271718357 \h </w:instrText>
      </w:r>
      <w:r>
        <w:fldChar w:fldCharType="separate"/>
      </w:r>
      <w:r>
        <w:t>12</w:t>
      </w:r>
      <w:r>
        <w:fldChar w:fldCharType="end"/>
      </w:r>
    </w:p>
    <w:p>
      <w:pPr>
        <w:pStyle w:val="TOC8"/>
        <w:rPr>
          <w:sz w:val="24"/>
          <w:szCs w:val="24"/>
        </w:rPr>
      </w:pPr>
      <w:r>
        <w:rPr>
          <w:szCs w:val="22"/>
        </w:rPr>
        <w:t>5</w:t>
      </w:r>
      <w:r>
        <w:rPr>
          <w:snapToGrid w:val="0"/>
          <w:szCs w:val="22"/>
        </w:rPr>
        <w:t>.</w:t>
      </w:r>
      <w:r>
        <w:rPr>
          <w:snapToGrid w:val="0"/>
          <w:szCs w:val="22"/>
        </w:rPr>
        <w:tab/>
        <w:t>System or method of calculating payment </w:t>
      </w:r>
      <w:r>
        <w:tab/>
      </w:r>
      <w:r>
        <w:fldChar w:fldCharType="begin"/>
      </w:r>
      <w:r>
        <w:instrText xml:space="preserve"> PAGEREF _Toc271718358 \h </w:instrText>
      </w:r>
      <w:r>
        <w:fldChar w:fldCharType="separate"/>
      </w:r>
      <w:r>
        <w:t>12</w:t>
      </w:r>
      <w:r>
        <w:fldChar w:fldCharType="end"/>
      </w:r>
    </w:p>
    <w:p>
      <w:pPr>
        <w:pStyle w:val="TOC8"/>
        <w:keepNext/>
        <w:keepLines/>
        <w:rPr>
          <w:sz w:val="24"/>
          <w:szCs w:val="24"/>
        </w:rPr>
      </w:pPr>
      <w:r>
        <w:rPr>
          <w:szCs w:val="22"/>
        </w:rPr>
        <w:lastRenderedPageBreak/>
        <w:t>6</w:t>
      </w:r>
      <w:r>
        <w:rPr>
          <w:snapToGrid w:val="0"/>
          <w:szCs w:val="22"/>
        </w:rPr>
        <w:t>.</w:t>
      </w:r>
      <w:r>
        <w:rPr>
          <w:snapToGrid w:val="0"/>
          <w:szCs w:val="22"/>
        </w:rPr>
        <w:tab/>
        <w:t>Calculation of payment to Grower under Pool System </w:t>
      </w:r>
      <w:r>
        <w:tab/>
      </w:r>
      <w:r>
        <w:fldChar w:fldCharType="begin"/>
      </w:r>
      <w:r>
        <w:instrText xml:space="preserve"> PAGEREF _Toc271718359 \h </w:instrText>
      </w:r>
      <w:r>
        <w:fldChar w:fldCharType="separate"/>
      </w:r>
      <w:r>
        <w:t>12</w:t>
      </w:r>
      <w:r>
        <w:fldChar w:fldCharType="end"/>
      </w:r>
    </w:p>
    <w:p>
      <w:pPr>
        <w:pStyle w:val="TOC8"/>
        <w:rPr>
          <w:sz w:val="24"/>
          <w:szCs w:val="24"/>
        </w:rPr>
      </w:pPr>
      <w:r>
        <w:rPr>
          <w:szCs w:val="22"/>
        </w:rPr>
        <w:t>7</w:t>
      </w:r>
      <w:r>
        <w:rPr>
          <w:snapToGrid w:val="0"/>
          <w:szCs w:val="22"/>
        </w:rPr>
        <w:t>.</w:t>
      </w:r>
      <w:r>
        <w:rPr>
          <w:snapToGrid w:val="0"/>
          <w:szCs w:val="22"/>
        </w:rPr>
        <w:tab/>
        <w:t>Exclusion from Pool </w:t>
      </w:r>
      <w:r>
        <w:tab/>
      </w:r>
      <w:r>
        <w:fldChar w:fldCharType="begin"/>
      </w:r>
      <w:r>
        <w:instrText xml:space="preserve"> PAGEREF _Toc271718360 \h </w:instrText>
      </w:r>
      <w:r>
        <w:fldChar w:fldCharType="separate"/>
      </w:r>
      <w:r>
        <w:t>14</w:t>
      </w:r>
      <w:r>
        <w:fldChar w:fldCharType="end"/>
      </w:r>
    </w:p>
    <w:p>
      <w:pPr>
        <w:pStyle w:val="TOC8"/>
        <w:rPr>
          <w:sz w:val="24"/>
          <w:szCs w:val="24"/>
        </w:rPr>
      </w:pPr>
      <w:r>
        <w:rPr>
          <w:szCs w:val="22"/>
        </w:rPr>
        <w:t>8</w:t>
      </w:r>
      <w:r>
        <w:rPr>
          <w:snapToGrid w:val="0"/>
          <w:szCs w:val="22"/>
        </w:rPr>
        <w:t>.</w:t>
      </w:r>
      <w:r>
        <w:rPr>
          <w:snapToGrid w:val="0"/>
          <w:szCs w:val="22"/>
        </w:rPr>
        <w:tab/>
        <w:t>Payment to the Grower where excluded from Pool </w:t>
      </w:r>
      <w:r>
        <w:tab/>
      </w:r>
      <w:r>
        <w:fldChar w:fldCharType="begin"/>
      </w:r>
      <w:r>
        <w:instrText xml:space="preserve"> PAGEREF _Toc271718361 \h </w:instrText>
      </w:r>
      <w:r>
        <w:fldChar w:fldCharType="separate"/>
      </w:r>
      <w:r>
        <w:t>14</w:t>
      </w:r>
      <w:r>
        <w:fldChar w:fldCharType="end"/>
      </w:r>
    </w:p>
    <w:p>
      <w:pPr>
        <w:pStyle w:val="TOC8"/>
        <w:rPr>
          <w:sz w:val="24"/>
          <w:szCs w:val="24"/>
        </w:rPr>
      </w:pPr>
      <w:r>
        <w:rPr>
          <w:szCs w:val="22"/>
        </w:rPr>
        <w:t>9</w:t>
      </w:r>
      <w:r>
        <w:rPr>
          <w:snapToGrid w:val="0"/>
          <w:szCs w:val="22"/>
        </w:rPr>
        <w:t>.</w:t>
      </w:r>
      <w:r>
        <w:rPr>
          <w:snapToGrid w:val="0"/>
          <w:szCs w:val="22"/>
        </w:rPr>
        <w:tab/>
        <w:t>Termination date for raising of batch </w:t>
      </w:r>
      <w:r>
        <w:tab/>
      </w:r>
      <w:r>
        <w:fldChar w:fldCharType="begin"/>
      </w:r>
      <w:r>
        <w:instrText xml:space="preserve"> PAGEREF _Toc271718362 \h </w:instrText>
      </w:r>
      <w:r>
        <w:fldChar w:fldCharType="separate"/>
      </w:r>
      <w:r>
        <w:t>15</w:t>
      </w:r>
      <w:r>
        <w:fldChar w:fldCharType="end"/>
      </w:r>
    </w:p>
    <w:p>
      <w:pPr>
        <w:pStyle w:val="TOC8"/>
        <w:rPr>
          <w:sz w:val="24"/>
          <w:szCs w:val="24"/>
        </w:rPr>
      </w:pPr>
      <w:r>
        <w:rPr>
          <w:szCs w:val="22"/>
        </w:rPr>
        <w:t>10</w:t>
      </w:r>
      <w:r>
        <w:rPr>
          <w:snapToGrid w:val="0"/>
          <w:szCs w:val="22"/>
        </w:rPr>
        <w:t>.</w:t>
      </w:r>
      <w:r>
        <w:rPr>
          <w:snapToGrid w:val="0"/>
          <w:szCs w:val="22"/>
        </w:rPr>
        <w:tab/>
        <w:t>Liability for insurable losses </w:t>
      </w:r>
      <w:r>
        <w:tab/>
      </w:r>
      <w:r>
        <w:fldChar w:fldCharType="begin"/>
      </w:r>
      <w:r>
        <w:instrText xml:space="preserve"> PAGEREF _Toc271718363 \h </w:instrText>
      </w:r>
      <w:r>
        <w:fldChar w:fldCharType="separate"/>
      </w:r>
      <w:r>
        <w:t>15</w:t>
      </w:r>
      <w:r>
        <w:fldChar w:fldCharType="end"/>
      </w:r>
    </w:p>
    <w:p>
      <w:pPr>
        <w:pStyle w:val="TOC8"/>
        <w:rPr>
          <w:sz w:val="24"/>
          <w:szCs w:val="24"/>
        </w:rPr>
      </w:pPr>
      <w:r>
        <w:rPr>
          <w:szCs w:val="22"/>
        </w:rPr>
        <w:t>11</w:t>
      </w:r>
      <w:r>
        <w:rPr>
          <w:snapToGrid w:val="0"/>
          <w:szCs w:val="22"/>
        </w:rPr>
        <w:t>.</w:t>
      </w:r>
      <w:r>
        <w:rPr>
          <w:snapToGrid w:val="0"/>
          <w:szCs w:val="22"/>
        </w:rPr>
        <w:tab/>
        <w:t>Grower an independent contractor </w:t>
      </w:r>
      <w:r>
        <w:tab/>
      </w:r>
      <w:r>
        <w:fldChar w:fldCharType="begin"/>
      </w:r>
      <w:r>
        <w:instrText xml:space="preserve"> PAGEREF _Toc271718364 \h </w:instrText>
      </w:r>
      <w:r>
        <w:fldChar w:fldCharType="separate"/>
      </w:r>
      <w:r>
        <w:t>15</w:t>
      </w:r>
      <w:r>
        <w:fldChar w:fldCharType="end"/>
      </w:r>
    </w:p>
    <w:p>
      <w:pPr>
        <w:pStyle w:val="TOC8"/>
        <w:rPr>
          <w:sz w:val="24"/>
          <w:szCs w:val="24"/>
        </w:rPr>
      </w:pPr>
      <w:r>
        <w:rPr>
          <w:szCs w:val="22"/>
        </w:rPr>
        <w:t>12</w:t>
      </w:r>
      <w:r>
        <w:rPr>
          <w:snapToGrid w:val="0"/>
          <w:szCs w:val="22"/>
        </w:rPr>
        <w:t>.</w:t>
      </w:r>
      <w:r>
        <w:rPr>
          <w:snapToGrid w:val="0"/>
          <w:szCs w:val="22"/>
        </w:rPr>
        <w:tab/>
        <w:t>Insolvency </w:t>
      </w:r>
      <w:r>
        <w:tab/>
      </w:r>
      <w:r>
        <w:fldChar w:fldCharType="begin"/>
      </w:r>
      <w:r>
        <w:instrText xml:space="preserve"> PAGEREF _Toc271718365 \h </w:instrText>
      </w:r>
      <w:r>
        <w:fldChar w:fldCharType="separate"/>
      </w:r>
      <w:r>
        <w:t>15</w:t>
      </w:r>
      <w:r>
        <w:fldChar w:fldCharType="end"/>
      </w:r>
    </w:p>
    <w:p>
      <w:pPr>
        <w:pStyle w:val="TOC8"/>
        <w:rPr>
          <w:sz w:val="24"/>
          <w:szCs w:val="24"/>
        </w:rPr>
      </w:pPr>
      <w:r>
        <w:rPr>
          <w:szCs w:val="22"/>
        </w:rPr>
        <w:t>13</w:t>
      </w:r>
      <w:r>
        <w:rPr>
          <w:snapToGrid w:val="0"/>
          <w:szCs w:val="22"/>
        </w:rPr>
        <w:t>.</w:t>
      </w:r>
      <w:r>
        <w:rPr>
          <w:snapToGrid w:val="0"/>
          <w:szCs w:val="22"/>
        </w:rPr>
        <w:tab/>
        <w:t>Term of agreement </w:t>
      </w:r>
      <w:r>
        <w:tab/>
      </w:r>
      <w:r>
        <w:fldChar w:fldCharType="begin"/>
      </w:r>
      <w:r>
        <w:instrText xml:space="preserve"> PAGEREF _Toc271718366 \h </w:instrText>
      </w:r>
      <w:r>
        <w:fldChar w:fldCharType="separate"/>
      </w:r>
      <w:r>
        <w:t>17</w:t>
      </w:r>
      <w:r>
        <w:fldChar w:fldCharType="end"/>
      </w:r>
    </w:p>
    <w:p>
      <w:pPr>
        <w:pStyle w:val="TOC8"/>
        <w:rPr>
          <w:sz w:val="24"/>
          <w:szCs w:val="24"/>
        </w:rPr>
      </w:pPr>
      <w:r>
        <w:rPr>
          <w:szCs w:val="22"/>
        </w:rPr>
        <w:t>14</w:t>
      </w:r>
      <w:r>
        <w:rPr>
          <w:snapToGrid w:val="0"/>
          <w:szCs w:val="22"/>
        </w:rPr>
        <w:t>.</w:t>
      </w:r>
      <w:r>
        <w:rPr>
          <w:snapToGrid w:val="0"/>
          <w:szCs w:val="22"/>
        </w:rPr>
        <w:tab/>
        <w:t>Termination of agreement </w:t>
      </w:r>
      <w:r>
        <w:tab/>
      </w:r>
      <w:r>
        <w:fldChar w:fldCharType="begin"/>
      </w:r>
      <w:r>
        <w:instrText xml:space="preserve"> PAGEREF _Toc271718367 \h </w:instrText>
      </w:r>
      <w:r>
        <w:fldChar w:fldCharType="separate"/>
      </w:r>
      <w:r>
        <w:t>17</w:t>
      </w:r>
      <w:r>
        <w:fldChar w:fldCharType="end"/>
      </w:r>
    </w:p>
    <w:p>
      <w:pPr>
        <w:pStyle w:val="TOC8"/>
        <w:rPr>
          <w:sz w:val="24"/>
          <w:szCs w:val="24"/>
        </w:rPr>
      </w:pPr>
      <w:r>
        <w:rPr>
          <w:szCs w:val="22"/>
        </w:rPr>
        <w:t>15</w:t>
      </w:r>
      <w:r>
        <w:rPr>
          <w:snapToGrid w:val="0"/>
          <w:szCs w:val="22"/>
        </w:rPr>
        <w:t>.</w:t>
      </w:r>
      <w:r>
        <w:rPr>
          <w:snapToGrid w:val="0"/>
          <w:szCs w:val="22"/>
        </w:rPr>
        <w:tab/>
        <w:t>Goods unused on termination of agreement </w:t>
      </w:r>
      <w:r>
        <w:tab/>
      </w:r>
      <w:r>
        <w:fldChar w:fldCharType="begin"/>
      </w:r>
      <w:r>
        <w:instrText xml:space="preserve"> PAGEREF _Toc271718368 \h </w:instrText>
      </w:r>
      <w:r>
        <w:fldChar w:fldCharType="separate"/>
      </w:r>
      <w:r>
        <w:t>17</w:t>
      </w:r>
      <w:r>
        <w:fldChar w:fldCharType="end"/>
      </w:r>
    </w:p>
    <w:p>
      <w:pPr>
        <w:pStyle w:val="TOC8"/>
        <w:rPr>
          <w:sz w:val="24"/>
          <w:szCs w:val="24"/>
        </w:rPr>
      </w:pPr>
      <w:r>
        <w:rPr>
          <w:szCs w:val="22"/>
        </w:rPr>
        <w:t>16</w:t>
      </w:r>
      <w:r>
        <w:rPr>
          <w:snapToGrid w:val="0"/>
          <w:szCs w:val="22"/>
        </w:rPr>
        <w:t>.</w:t>
      </w:r>
      <w:r>
        <w:rPr>
          <w:snapToGrid w:val="0"/>
          <w:szCs w:val="22"/>
        </w:rPr>
        <w:tab/>
        <w:t>Transfer of business by Processor </w:t>
      </w:r>
      <w:r>
        <w:tab/>
      </w:r>
      <w:r>
        <w:fldChar w:fldCharType="begin"/>
      </w:r>
      <w:r>
        <w:instrText xml:space="preserve"> PAGEREF _Toc271718369 \h </w:instrText>
      </w:r>
      <w:r>
        <w:fldChar w:fldCharType="separate"/>
      </w:r>
      <w:r>
        <w:t>18</w:t>
      </w:r>
      <w:r>
        <w:fldChar w:fldCharType="end"/>
      </w:r>
    </w:p>
    <w:p>
      <w:pPr>
        <w:pStyle w:val="TOC8"/>
        <w:rPr>
          <w:sz w:val="24"/>
          <w:szCs w:val="24"/>
        </w:rPr>
      </w:pPr>
      <w:r>
        <w:rPr>
          <w:szCs w:val="22"/>
        </w:rPr>
        <w:t>17</w:t>
      </w:r>
      <w:r>
        <w:rPr>
          <w:snapToGrid w:val="0"/>
          <w:szCs w:val="22"/>
        </w:rPr>
        <w:t>.</w:t>
      </w:r>
      <w:r>
        <w:rPr>
          <w:snapToGrid w:val="0"/>
          <w:szCs w:val="22"/>
        </w:rPr>
        <w:tab/>
        <w:t>Transfer of agreement </w:t>
      </w:r>
      <w:r>
        <w:tab/>
      </w:r>
      <w:r>
        <w:fldChar w:fldCharType="begin"/>
      </w:r>
      <w:r>
        <w:instrText xml:space="preserve"> PAGEREF _Toc271718370 \h </w:instrText>
      </w:r>
      <w:r>
        <w:fldChar w:fldCharType="separate"/>
      </w:r>
      <w:r>
        <w:t>18</w:t>
      </w:r>
      <w:r>
        <w:fldChar w:fldCharType="end"/>
      </w:r>
    </w:p>
    <w:p>
      <w:pPr>
        <w:pStyle w:val="TOC8"/>
        <w:rPr>
          <w:sz w:val="24"/>
          <w:szCs w:val="24"/>
        </w:rPr>
      </w:pPr>
      <w:r>
        <w:rPr>
          <w:szCs w:val="22"/>
        </w:rPr>
        <w:t>18</w:t>
      </w:r>
      <w:r>
        <w:rPr>
          <w:snapToGrid w:val="0"/>
          <w:szCs w:val="22"/>
        </w:rPr>
        <w:t>.</w:t>
      </w:r>
      <w:r>
        <w:rPr>
          <w:snapToGrid w:val="0"/>
          <w:szCs w:val="22"/>
        </w:rPr>
        <w:tab/>
        <w:t>Arbitration </w:t>
      </w:r>
      <w:r>
        <w:tab/>
      </w:r>
      <w:r>
        <w:fldChar w:fldCharType="begin"/>
      </w:r>
      <w:r>
        <w:instrText xml:space="preserve"> PAGEREF _Toc271718371 \h </w:instrText>
      </w:r>
      <w:r>
        <w:fldChar w:fldCharType="separate"/>
      </w:r>
      <w:r>
        <w:t>18</w:t>
      </w:r>
      <w:r>
        <w:fldChar w:fldCharType="end"/>
      </w:r>
    </w:p>
    <w:p>
      <w:pPr>
        <w:pStyle w:val="TOC8"/>
        <w:rPr>
          <w:sz w:val="24"/>
          <w:szCs w:val="24"/>
        </w:rPr>
      </w:pPr>
      <w:r>
        <w:rPr>
          <w:szCs w:val="22"/>
        </w:rPr>
        <w:t>19</w:t>
      </w:r>
      <w:r>
        <w:rPr>
          <w:snapToGrid w:val="0"/>
          <w:szCs w:val="22"/>
        </w:rPr>
        <w:t>.</w:t>
      </w:r>
      <w:r>
        <w:rPr>
          <w:snapToGrid w:val="0"/>
          <w:szCs w:val="22"/>
        </w:rPr>
        <w:tab/>
        <w:t>Persons to be bound by agreement </w:t>
      </w:r>
      <w:r>
        <w:tab/>
      </w:r>
      <w:r>
        <w:fldChar w:fldCharType="begin"/>
      </w:r>
      <w:r>
        <w:instrText xml:space="preserve"> PAGEREF _Toc271718372 \h </w:instrText>
      </w:r>
      <w:r>
        <w:fldChar w:fldCharType="separate"/>
      </w:r>
      <w:r>
        <w:t>19</w:t>
      </w:r>
      <w:r>
        <w:fldChar w:fldCharType="end"/>
      </w:r>
    </w:p>
    <w:p>
      <w:pPr>
        <w:pStyle w:val="TOC2"/>
        <w:tabs>
          <w:tab w:val="right" w:leader="dot" w:pos="7078"/>
        </w:tabs>
        <w:rPr>
          <w:b w:val="0"/>
          <w:sz w:val="24"/>
          <w:szCs w:val="24"/>
        </w:rPr>
      </w:pPr>
      <w:r>
        <w:rPr>
          <w:szCs w:val="28"/>
        </w:rPr>
        <w:t>Second Schedule</w:t>
      </w:r>
    </w:p>
    <w:p>
      <w:pPr>
        <w:pStyle w:val="TOC8"/>
        <w:rPr>
          <w:sz w:val="24"/>
          <w:szCs w:val="24"/>
        </w:rPr>
      </w:pPr>
      <w:r>
        <w:rPr>
          <w:szCs w:val="22"/>
        </w:rPr>
        <w:t>1.</w:t>
      </w:r>
      <w:r>
        <w:rPr>
          <w:szCs w:val="22"/>
        </w:rPr>
        <w:tab/>
        <w:t>Term used: farm model</w:t>
      </w:r>
      <w:r>
        <w:rPr>
          <w:snapToGrid w:val="0"/>
          <w:szCs w:val="22"/>
        </w:rPr>
        <w:t> </w:t>
      </w:r>
      <w:r>
        <w:tab/>
      </w:r>
      <w:r>
        <w:fldChar w:fldCharType="begin"/>
      </w:r>
      <w:r>
        <w:instrText xml:space="preserve"> PAGEREF _Toc271718374 \h </w:instrText>
      </w:r>
      <w:r>
        <w:fldChar w:fldCharType="separate"/>
      </w:r>
      <w:r>
        <w:t>20</w:t>
      </w:r>
      <w:r>
        <w:fldChar w:fldCharType="end"/>
      </w:r>
    </w:p>
    <w:p>
      <w:pPr>
        <w:pStyle w:val="TOC8"/>
        <w:rPr>
          <w:sz w:val="24"/>
          <w:szCs w:val="24"/>
        </w:rPr>
      </w:pPr>
      <w:r>
        <w:rPr>
          <w:szCs w:val="22"/>
        </w:rPr>
        <w:t>2</w:t>
      </w:r>
      <w:r>
        <w:rPr>
          <w:snapToGrid w:val="0"/>
          <w:szCs w:val="22"/>
        </w:rPr>
        <w:t>.</w:t>
      </w:r>
      <w:r>
        <w:rPr>
          <w:snapToGrid w:val="0"/>
          <w:szCs w:val="22"/>
        </w:rPr>
        <w:tab/>
      </w:r>
      <w:r>
        <w:rPr>
          <w:szCs w:val="22"/>
        </w:rPr>
        <w:t>Formula for computing average price</w:t>
      </w:r>
      <w:r>
        <w:rPr>
          <w:snapToGrid w:val="0"/>
          <w:szCs w:val="22"/>
        </w:rPr>
        <w:t> </w:t>
      </w:r>
      <w:r>
        <w:tab/>
      </w:r>
      <w:r>
        <w:fldChar w:fldCharType="begin"/>
      </w:r>
      <w:r>
        <w:instrText xml:space="preserve"> PAGEREF _Toc271718375 \h </w:instrText>
      </w:r>
      <w:r>
        <w:fldChar w:fldCharType="separate"/>
      </w:r>
      <w:r>
        <w:t>20</w:t>
      </w:r>
      <w:r>
        <w:fldChar w:fldCharType="end"/>
      </w:r>
    </w:p>
    <w:p>
      <w:pPr>
        <w:pStyle w:val="TOC8"/>
        <w:rPr>
          <w:sz w:val="24"/>
          <w:szCs w:val="24"/>
        </w:rPr>
      </w:pPr>
      <w:r>
        <w:rPr>
          <w:szCs w:val="22"/>
        </w:rPr>
        <w:t>4</w:t>
      </w:r>
      <w:r>
        <w:rPr>
          <w:snapToGrid w:val="0"/>
          <w:szCs w:val="22"/>
        </w:rPr>
        <w:t>.</w:t>
      </w:r>
      <w:r>
        <w:rPr>
          <w:snapToGrid w:val="0"/>
          <w:szCs w:val="22"/>
        </w:rPr>
        <w:tab/>
        <w:t>Cash and imputed costs </w:t>
      </w:r>
      <w:r>
        <w:tab/>
      </w:r>
      <w:r>
        <w:fldChar w:fldCharType="begin"/>
      </w:r>
      <w:r>
        <w:instrText xml:space="preserve"> PAGEREF _Toc271718376 \h </w:instrText>
      </w:r>
      <w:r>
        <w:fldChar w:fldCharType="separate"/>
      </w:r>
      <w:r>
        <w:t>20</w:t>
      </w:r>
      <w:r>
        <w:fldChar w:fldCharType="end"/>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_Toc271718379 \h </w:instrText>
      </w:r>
      <w:r>
        <w:fldChar w:fldCharType="separate"/>
      </w:r>
      <w:r>
        <w:t>23</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August 2010</w:t>
            </w:r>
          </w:p>
        </w:tc>
      </w:tr>
    </w:tbl>
    <w:p>
      <w:pPr>
        <w:pStyle w:val="WA"/>
        <w:spacing w:before="120"/>
      </w:pPr>
      <w:r>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1" w:name="_Toc459093634"/>
      <w:bookmarkStart w:id="2" w:name="_Toc525440104"/>
      <w:bookmarkStart w:id="3" w:name="_Toc255290423"/>
      <w:bookmarkStart w:id="4" w:name="_Toc271718340"/>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5" w:name="_Toc459093635"/>
      <w:bookmarkStart w:id="6" w:name="_Toc525440105"/>
      <w:bookmarkStart w:id="7" w:name="_Toc255290424"/>
      <w:bookmarkStart w:id="8" w:name="_Toc271718341"/>
      <w:r>
        <w:rPr>
          <w:rStyle w:val="CharSectno"/>
        </w:rPr>
        <w:t>2</w:t>
      </w:r>
      <w:r>
        <w:rPr>
          <w:snapToGrid w:val="0"/>
        </w:rPr>
        <w:t>.</w:t>
      </w:r>
      <w:r>
        <w:rPr>
          <w:snapToGrid w:val="0"/>
        </w:rPr>
        <w:tab/>
      </w:r>
      <w:bookmarkEnd w:id="5"/>
      <w:bookmarkEnd w:id="6"/>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9" w:name="_Toc459093636"/>
      <w:bookmarkStart w:id="10" w:name="_Toc525440106"/>
      <w:bookmarkStart w:id="11" w:name="_Toc255290425"/>
      <w:bookmarkStart w:id="12" w:name="_Toc271718342"/>
      <w:r>
        <w:rPr>
          <w:rStyle w:val="CharSectno"/>
        </w:rPr>
        <w:t>3</w:t>
      </w:r>
      <w:r>
        <w:rPr>
          <w:snapToGrid w:val="0"/>
        </w:rPr>
        <w:t>.</w:t>
      </w:r>
      <w:r>
        <w:rPr>
          <w:snapToGrid w:val="0"/>
        </w:rPr>
        <w:tab/>
        <w:t>Form of agreement</w:t>
      </w:r>
      <w:bookmarkEnd w:id="9"/>
      <w:bookmarkEnd w:id="10"/>
      <w:bookmarkEnd w:id="11"/>
      <w:r>
        <w:rPr>
          <w:snapToGrid w:val="0"/>
        </w:rPr>
        <w:t xml:space="preserve"> (Act s. 15, 16 and 18)</w:t>
      </w:r>
      <w:bookmarkEnd w:id="12"/>
    </w:p>
    <w:p>
      <w:pPr>
        <w:pStyle w:val="Subsection"/>
        <w:rPr>
          <w:snapToGrid w:val="0"/>
        </w:rPr>
      </w:pPr>
      <w:r>
        <w:rPr>
          <w:snapToGrid w:val="0"/>
        </w:rPr>
        <w:tab/>
      </w:r>
      <w:r>
        <w:rPr>
          <w:snapToGrid w:val="0"/>
        </w:rPr>
        <w:tab/>
        <w:t xml:space="preserve">The form of agreement set out in the First Schedule is the form of agreement prescribed for the purposes of </w:t>
      </w:r>
      <w:r>
        <w:t xml:space="preserve">sections 15(1)(c), 16(7)(a) and 18(1a)(a) </w:t>
      </w:r>
      <w:r>
        <w:rPr>
          <w:snapToGrid w:val="0"/>
        </w:rPr>
        <w:t>of the Act.</w:t>
      </w:r>
    </w:p>
    <w:p>
      <w:pPr>
        <w:pStyle w:val="Footnotesection"/>
      </w:pPr>
      <w:r>
        <w:tab/>
        <w:t>[Regulation 3 amended in Gazette 2 Mar 2010 p. 829.]</w:t>
      </w:r>
    </w:p>
    <w:p>
      <w:pPr>
        <w:pStyle w:val="Heading5"/>
        <w:rPr>
          <w:snapToGrid w:val="0"/>
        </w:rPr>
      </w:pPr>
      <w:bookmarkStart w:id="13" w:name="_Toc459093637"/>
      <w:bookmarkStart w:id="14" w:name="_Toc525440107"/>
      <w:bookmarkStart w:id="15" w:name="_Toc255290426"/>
      <w:bookmarkStart w:id="16" w:name="_Toc271718343"/>
      <w:r>
        <w:rPr>
          <w:rStyle w:val="CharSectno"/>
        </w:rPr>
        <w:t>4</w:t>
      </w:r>
      <w:r>
        <w:rPr>
          <w:snapToGrid w:val="0"/>
        </w:rPr>
        <w:t>.</w:t>
      </w:r>
      <w:r>
        <w:rPr>
          <w:snapToGrid w:val="0"/>
        </w:rPr>
        <w:tab/>
        <w:t>Computation of average price</w:t>
      </w:r>
      <w:bookmarkEnd w:id="13"/>
      <w:bookmarkEnd w:id="14"/>
      <w:bookmarkEnd w:id="15"/>
      <w:r>
        <w:rPr>
          <w:snapToGrid w:val="0"/>
        </w:rPr>
        <w:t xml:space="preserve"> (Act s. 16)</w:t>
      </w:r>
      <w:bookmarkEnd w:id="16"/>
    </w:p>
    <w:p>
      <w:pPr>
        <w:pStyle w:val="Subsection"/>
        <w:rPr>
          <w:snapToGrid w:val="0"/>
        </w:rPr>
      </w:pPr>
      <w:r>
        <w:rPr>
          <w:snapToGrid w:val="0"/>
        </w:rPr>
        <w:tab/>
      </w:r>
      <w:r>
        <w:rPr>
          <w:snapToGrid w:val="0"/>
        </w:rPr>
        <w:tab/>
        <w:t xml:space="preserve">For the purposes of section 16 of the Act the </w:t>
      </w:r>
      <w:r>
        <w:t>average</w:t>
      </w:r>
      <w:r>
        <w:rPr>
          <w:snapToGrid w:val="0"/>
        </w:rPr>
        <w:t xml:space="preserve"> price to be paid by processors to growers for broiler chickens (referred to in the form of agreement set out in the First Schedule as </w:t>
      </w:r>
      <w:r>
        <w:rPr>
          <w:rStyle w:val="CharDefText"/>
        </w:rPr>
        <w:t>the growing fee</w:t>
      </w:r>
      <w:r>
        <w:rPr>
          <w:snapToGrid w:val="0"/>
        </w:rPr>
        <w:t>) shall be computed in the manner set out in the Second Schedule.</w:t>
      </w:r>
    </w:p>
    <w:p>
      <w:pPr>
        <w:pStyle w:val="Footnotesection"/>
      </w:pPr>
      <w:r>
        <w:tab/>
        <w:t>[Regulation 4 amended in Gazette 2 Mar 2010 p. 829.]</w:t>
      </w:r>
    </w:p>
    <w:p>
      <w:pPr>
        <w:pStyle w:val="Heading5"/>
        <w:rPr>
          <w:snapToGrid w:val="0"/>
        </w:rPr>
      </w:pPr>
      <w:bookmarkStart w:id="17" w:name="_Toc459093638"/>
      <w:bookmarkStart w:id="18" w:name="_Toc525440108"/>
      <w:bookmarkStart w:id="19" w:name="_Toc255290427"/>
      <w:bookmarkStart w:id="20" w:name="_Toc271718344"/>
      <w:r>
        <w:rPr>
          <w:rStyle w:val="CharSectno"/>
        </w:rPr>
        <w:t>5</w:t>
      </w:r>
      <w:r>
        <w:rPr>
          <w:snapToGrid w:val="0"/>
        </w:rPr>
        <w:t>.</w:t>
      </w:r>
      <w:r>
        <w:rPr>
          <w:snapToGrid w:val="0"/>
        </w:rPr>
        <w:tab/>
        <w:t>Requests and applications to Committee</w:t>
      </w:r>
      <w:bookmarkEnd w:id="17"/>
      <w:bookmarkEnd w:id="18"/>
      <w:bookmarkEnd w:id="19"/>
      <w:r>
        <w:rPr>
          <w:snapToGrid w:val="0"/>
        </w:rPr>
        <w:t xml:space="preserve"> (Act s. 16, 18)</w:t>
      </w:r>
      <w:bookmarkEnd w:id="20"/>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 xml:space="preserve">request to the Committee pursuant to </w:t>
      </w:r>
      <w:r>
        <w:t xml:space="preserve">section 16(2)(b) </w:t>
      </w:r>
      <w:r>
        <w:rPr>
          <w:snapToGrid w:val="0"/>
        </w:rPr>
        <w:t>of the Act;</w:t>
      </w:r>
    </w:p>
    <w:p>
      <w:pPr>
        <w:pStyle w:val="Indenta"/>
        <w:rPr>
          <w:snapToGrid w:val="0"/>
        </w:rPr>
      </w:pPr>
      <w:r>
        <w:rPr>
          <w:snapToGrid w:val="0"/>
        </w:rPr>
        <w:tab/>
        <w:t>(b)</w:t>
      </w:r>
      <w:r>
        <w:rPr>
          <w:snapToGrid w:val="0"/>
        </w:rPr>
        <w:tab/>
        <w:t>application to the Committee under section 18(1) of the 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Footnotesection"/>
      </w:pPr>
      <w:r>
        <w:tab/>
        <w:t>[Regulation 5 amended in Gazette 2 Mar 2010 p. 830.]</w:t>
      </w:r>
    </w:p>
    <w:p>
      <w:pPr>
        <w:pStyle w:val="Heading5"/>
        <w:rPr>
          <w:snapToGrid w:val="0"/>
        </w:rPr>
      </w:pPr>
      <w:bookmarkStart w:id="21" w:name="_Toc459093639"/>
      <w:bookmarkStart w:id="22" w:name="_Toc525440109"/>
      <w:bookmarkStart w:id="23" w:name="_Toc255290428"/>
      <w:bookmarkStart w:id="24" w:name="_Toc271718345"/>
      <w:r>
        <w:rPr>
          <w:rStyle w:val="CharSectno"/>
        </w:rPr>
        <w:t>6</w:t>
      </w:r>
      <w:r>
        <w:rPr>
          <w:snapToGrid w:val="0"/>
        </w:rPr>
        <w:t>.</w:t>
      </w:r>
      <w:r>
        <w:rPr>
          <w:snapToGrid w:val="0"/>
        </w:rPr>
        <w:tab/>
      </w:r>
      <w:r>
        <w:t>Powers of Committee</w:t>
      </w:r>
      <w:bookmarkEnd w:id="21"/>
      <w:bookmarkEnd w:id="22"/>
      <w:bookmarkEnd w:id="23"/>
      <w:r>
        <w:t xml:space="preserve"> </w:t>
      </w:r>
      <w:r>
        <w:rPr>
          <w:snapToGrid w:val="0"/>
        </w:rPr>
        <w:t>(Act s. 16, 18)</w:t>
      </w:r>
      <w:bookmarkEnd w:id="24"/>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 xml:space="preserve">require any person attending before the Committee to answer any relevant questions put to </w:t>
      </w:r>
      <w:r>
        <w:t>him or her</w:t>
      </w:r>
      <w:r>
        <w:rPr>
          <w:snapToGrid w:val="0"/>
        </w:rPr>
        <w:t xml:space="preserve"> by the Committee or by any other person so attending.</w:t>
      </w:r>
    </w:p>
    <w:p>
      <w:pPr>
        <w:pStyle w:val="Subsection"/>
        <w:rPr>
          <w:snapToGrid w:val="0"/>
        </w:rPr>
      </w:pPr>
      <w:r>
        <w:rPr>
          <w:snapToGrid w:val="0"/>
        </w:rPr>
        <w:tab/>
        <w:t>(2)</w:t>
      </w:r>
      <w:r>
        <w:rPr>
          <w:snapToGrid w:val="0"/>
        </w:rPr>
        <w:tab/>
        <w:t xml:space="preserve">In order to make a determination under section 18 the Committee may require the production of any relevant books, papers or documents but a person shall not be required to produce any book, paper or document that </w:t>
      </w:r>
      <w:r>
        <w:t>he or she</w:t>
      </w:r>
      <w:r>
        <w:rPr>
          <w:snapToGrid w:val="0"/>
        </w:rPr>
        <w:t xml:space="preserve"> 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Footnotesection"/>
      </w:pPr>
      <w:r>
        <w:tab/>
        <w:t>[Regulation 6 amended in Gazette 2 Mar 2010 p. 830.]</w:t>
      </w:r>
    </w:p>
    <w:p>
      <w:pPr>
        <w:pStyle w:val="Heading5"/>
        <w:rPr>
          <w:snapToGrid w:val="0"/>
        </w:rPr>
      </w:pPr>
      <w:bookmarkStart w:id="25" w:name="_Toc459093640"/>
      <w:bookmarkStart w:id="26" w:name="_Toc525440110"/>
      <w:bookmarkStart w:id="27" w:name="_Toc255290429"/>
      <w:bookmarkStart w:id="28" w:name="_Toc271718346"/>
      <w:r>
        <w:rPr>
          <w:rStyle w:val="CharSectno"/>
        </w:rPr>
        <w:t>7</w:t>
      </w:r>
      <w:r>
        <w:rPr>
          <w:snapToGrid w:val="0"/>
        </w:rPr>
        <w:t>.</w:t>
      </w:r>
      <w:r>
        <w:rPr>
          <w:snapToGrid w:val="0"/>
        </w:rPr>
        <w:tab/>
        <w:t>Obligations of growers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 xml:space="preserve">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w:t>
      </w:r>
      <w:r>
        <w:t xml:space="preserve">section 15(1)(d) </w:t>
      </w:r>
      <w:r>
        <w:rPr>
          <w:snapToGrid w:val="0"/>
        </w:rPr>
        <w:t>of the Act.</w:t>
      </w:r>
    </w:p>
    <w:p>
      <w:pPr>
        <w:pStyle w:val="Subsection"/>
        <w:rPr>
          <w:snapToGrid w:val="0"/>
        </w:rPr>
      </w:pPr>
      <w:r>
        <w:rPr>
          <w:snapToGrid w:val="0"/>
        </w:rPr>
        <w:tab/>
        <w:t>(3)</w:t>
      </w:r>
      <w:r>
        <w:rPr>
          <w:snapToGrid w:val="0"/>
        </w:rPr>
        <w:tab/>
        <w:t xml:space="preserve">A person shall be deemed to comply with subregulation (2) if </w:t>
      </w:r>
      <w:r>
        <w:t>he or she</w:t>
      </w:r>
      <w:r>
        <w:rPr>
          <w:snapToGrid w:val="0"/>
        </w:rPr>
        <w:t xml:space="preserve"> counter</w:t>
      </w:r>
      <w:r>
        <w:rPr>
          <w:snapToGrid w:val="0"/>
        </w:rPr>
        <w:noBreakHyphen/>
        <w:t>signs a return containing the required information prepared and signed by an inspector.</w:t>
      </w:r>
    </w:p>
    <w:p>
      <w:pPr>
        <w:pStyle w:val="Footnotesection"/>
      </w:pPr>
      <w:r>
        <w:tab/>
        <w:t>[Regulation 7 amended in Gazette 2 Mar 2010 p. 830.]</w:t>
      </w:r>
    </w:p>
    <w:p>
      <w:pPr>
        <w:pStyle w:val="Heading5"/>
        <w:rPr>
          <w:snapToGrid w:val="0"/>
        </w:rPr>
      </w:pPr>
      <w:bookmarkStart w:id="29" w:name="_Toc459093641"/>
      <w:bookmarkStart w:id="30" w:name="_Toc525440111"/>
      <w:bookmarkStart w:id="31" w:name="_Toc255290430"/>
      <w:bookmarkStart w:id="32" w:name="_Toc271718347"/>
      <w:r>
        <w:rPr>
          <w:rStyle w:val="CharSectno"/>
        </w:rPr>
        <w:t>8</w:t>
      </w:r>
      <w:r>
        <w:rPr>
          <w:snapToGrid w:val="0"/>
        </w:rPr>
        <w:t>.</w:t>
      </w:r>
      <w:r>
        <w:rPr>
          <w:snapToGrid w:val="0"/>
        </w:rPr>
        <w:tab/>
        <w:t>Processor to furnish information as to payments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33" w:name="_Toc459093642"/>
      <w:bookmarkStart w:id="34" w:name="_Toc525440112"/>
      <w:bookmarkStart w:id="35" w:name="_Toc255290431"/>
      <w:bookmarkStart w:id="36" w:name="_Toc271718348"/>
      <w:r>
        <w:rPr>
          <w:rStyle w:val="CharSectno"/>
        </w:rPr>
        <w:t>9</w:t>
      </w:r>
      <w:r>
        <w:rPr>
          <w:snapToGrid w:val="0"/>
        </w:rPr>
        <w:t>.</w:t>
      </w:r>
      <w:r>
        <w:rPr>
          <w:snapToGrid w:val="0"/>
        </w:rPr>
        <w:tab/>
        <w:t>Certificate for inspectors</w:t>
      </w:r>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 xml:space="preserve">An inspector shall be issued with a certificate of authority in the form of the Third Schedule and shall produce the certificate whenever, during the course of his or her duties, </w:t>
      </w:r>
      <w:r>
        <w:t>he or she</w:t>
      </w:r>
      <w:r>
        <w:rPr>
          <w:snapToGrid w:val="0"/>
        </w:rPr>
        <w:t xml:space="preserve"> is requested by any person to do so.</w:t>
      </w:r>
    </w:p>
    <w:p>
      <w:pPr>
        <w:pStyle w:val="Footnotesection"/>
      </w:pPr>
      <w:r>
        <w:tab/>
        <w:t>[Regulation 9 amended in Gazette 2 Mar 2010 p. 830.]</w:t>
      </w:r>
    </w:p>
    <w:p>
      <w:pPr>
        <w:pStyle w:val="Heading5"/>
        <w:spacing w:before="180"/>
        <w:rPr>
          <w:snapToGrid w:val="0"/>
        </w:rPr>
      </w:pPr>
      <w:bookmarkStart w:id="37" w:name="_Toc459093643"/>
      <w:bookmarkStart w:id="38" w:name="_Toc525440113"/>
      <w:bookmarkStart w:id="39" w:name="_Toc255290432"/>
      <w:bookmarkStart w:id="40" w:name="_Toc271718349"/>
      <w:r>
        <w:rPr>
          <w:rStyle w:val="CharSectno"/>
        </w:rPr>
        <w:t>10</w:t>
      </w:r>
      <w:r>
        <w:rPr>
          <w:snapToGrid w:val="0"/>
        </w:rPr>
        <w:t>.</w:t>
      </w:r>
      <w:r>
        <w:rPr>
          <w:snapToGrid w:val="0"/>
        </w:rPr>
        <w:tab/>
        <w:t>Powers of inspectors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w:t>
      </w:r>
      <w:r>
        <w:t xml:space="preserve">section 15(1)(d) </w:t>
      </w:r>
      <w:r>
        <w:rPr>
          <w:snapToGrid w:val="0"/>
        </w:rPr>
        <w:t>of the Act.</w:t>
      </w:r>
    </w:p>
    <w:p>
      <w:pPr>
        <w:pStyle w:val="Footnotesection"/>
      </w:pPr>
      <w:r>
        <w:tab/>
        <w:t>[Regulation 10 amended in Gazette 2 Mar 2010 p. 830.]</w:t>
      </w:r>
    </w:p>
    <w:p>
      <w:pPr>
        <w:pStyle w:val="Heading5"/>
        <w:spacing w:before="180"/>
        <w:rPr>
          <w:snapToGrid w:val="0"/>
        </w:rPr>
      </w:pPr>
      <w:bookmarkStart w:id="41" w:name="_Toc459093644"/>
      <w:bookmarkStart w:id="42" w:name="_Toc525440114"/>
      <w:bookmarkStart w:id="43" w:name="_Toc255290433"/>
      <w:bookmarkStart w:id="44" w:name="_Toc271718350"/>
      <w:r>
        <w:rPr>
          <w:rStyle w:val="CharSectno"/>
        </w:rPr>
        <w:t>11</w:t>
      </w:r>
      <w:r>
        <w:rPr>
          <w:snapToGrid w:val="0"/>
        </w:rPr>
        <w:t>.</w:t>
      </w:r>
      <w:r>
        <w:rPr>
          <w:snapToGrid w:val="0"/>
        </w:rPr>
        <w:tab/>
        <w:t>Common seal</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spacing w:before="180"/>
      </w:pPr>
      <w:bookmarkStart w:id="45" w:name="_Toc255290434"/>
      <w:bookmarkStart w:id="46" w:name="_Toc271718351"/>
      <w:bookmarkStart w:id="47" w:name="_Toc459093645"/>
      <w:bookmarkStart w:id="48" w:name="_Toc525440115"/>
      <w:r>
        <w:rPr>
          <w:rStyle w:val="CharSectno"/>
        </w:rPr>
        <w:t>11A</w:t>
      </w:r>
      <w:r>
        <w:t>.</w:t>
      </w:r>
      <w:r>
        <w:tab/>
      </w:r>
      <w:r>
        <w:rPr>
          <w:snapToGrid w:val="0"/>
        </w:rPr>
        <w:t>Time prescribed for making application for review (Act</w:t>
      </w:r>
      <w:bookmarkEnd w:id="45"/>
      <w:r>
        <w:rPr>
          <w:snapToGrid w:val="0"/>
        </w:rPr>
        <w:t> s. 18(3))</w:t>
      </w:r>
      <w:bookmarkEnd w:id="46"/>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spacing w:before="60"/>
        <w:ind w:left="890" w:hanging="890"/>
      </w:pPr>
      <w:r>
        <w:tab/>
        <w:t>[Regulation 11A inserted in Gazette 30 Dec 2004 p. 6895.]</w:t>
      </w:r>
    </w:p>
    <w:p>
      <w:pPr>
        <w:pStyle w:val="Heading5"/>
        <w:rPr>
          <w:snapToGrid w:val="0"/>
        </w:rPr>
      </w:pPr>
      <w:bookmarkStart w:id="49" w:name="_Toc255290435"/>
      <w:bookmarkStart w:id="50" w:name="_Toc271718352"/>
      <w:r>
        <w:rPr>
          <w:rStyle w:val="CharSectno"/>
        </w:rPr>
        <w:t>12</w:t>
      </w:r>
      <w:r>
        <w:rPr>
          <w:snapToGrid w:val="0"/>
        </w:rPr>
        <w:t>.</w:t>
      </w:r>
      <w:r>
        <w:rPr>
          <w:snapToGrid w:val="0"/>
        </w:rPr>
        <w:tab/>
        <w:t>Offences and penalty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 w:name="_Toc255290436"/>
      <w:bookmarkStart w:id="52" w:name="_Toc255308280"/>
      <w:bookmarkStart w:id="53" w:name="_Toc266092412"/>
      <w:bookmarkStart w:id="54" w:name="_Toc266260244"/>
      <w:bookmarkStart w:id="55" w:name="_Toc266356120"/>
      <w:bookmarkStart w:id="56" w:name="_Toc269201668"/>
      <w:bookmarkStart w:id="57" w:name="_Toc269202634"/>
      <w:bookmarkStart w:id="58" w:name="_Toc269202687"/>
      <w:bookmarkStart w:id="59" w:name="_Toc269202729"/>
      <w:bookmarkStart w:id="60" w:name="_Toc269721733"/>
      <w:bookmarkStart w:id="61" w:name="_Toc271718353"/>
      <w:r>
        <w:rPr>
          <w:rStyle w:val="CharSchNo"/>
        </w:rPr>
        <w:t>First Schedule</w:t>
      </w:r>
      <w:bookmarkEnd w:id="51"/>
      <w:bookmarkEnd w:id="52"/>
      <w:bookmarkEnd w:id="53"/>
      <w:bookmarkEnd w:id="54"/>
      <w:bookmarkEnd w:id="55"/>
      <w:bookmarkEnd w:id="56"/>
      <w:bookmarkEnd w:id="57"/>
      <w:bookmarkEnd w:id="58"/>
      <w:bookmarkEnd w:id="59"/>
      <w:bookmarkEnd w:id="60"/>
      <w:bookmarkEnd w:id="61"/>
    </w:p>
    <w:p>
      <w:pPr>
        <w:pStyle w:val="MiscellaneousHeading"/>
        <w:rPr>
          <w:snapToGrid w:val="0"/>
        </w:rPr>
      </w:pPr>
      <w:r>
        <w:rPr>
          <w:snapToGrid w:val="0"/>
        </w:rPr>
        <w:t>PRESCRIBED BROILER GROWING AGREEMENT</w:t>
      </w:r>
    </w:p>
    <w:p>
      <w:pPr>
        <w:pStyle w:val="MiscellaneousBody"/>
        <w:rPr>
          <w:b/>
          <w:snapToGrid w:val="0"/>
          <w:sz w:val="22"/>
          <w:vertAlign w:val="superscript"/>
        </w:rPr>
      </w:pPr>
      <w:r>
        <w:rPr>
          <w:b/>
          <w:snapToGrid w:val="0"/>
          <w:sz w:val="22"/>
        </w:rPr>
        <w:t>Date of agreement </w:t>
      </w:r>
      <w:r>
        <w:rPr>
          <w:b/>
          <w:snapToGrid w:val="0"/>
          <w:sz w:val="22"/>
          <w:vertAlign w:val="superscript"/>
        </w:rPr>
        <w:t>2</w:t>
      </w:r>
    </w:p>
    <w:p>
      <w:pPr>
        <w:pStyle w:val="MiscellaneousBody"/>
        <w:rPr>
          <w:snapToGrid w:val="0"/>
          <w:sz w:val="22"/>
        </w:rPr>
      </w:pPr>
      <w:r>
        <w:rPr>
          <w:snapToGrid w:val="0"/>
          <w:sz w:val="22"/>
        </w:rPr>
        <w:t>THIS AGREEMENT is made on this the ............................................................</w:t>
      </w:r>
    </w:p>
    <w:p>
      <w:pPr>
        <w:pStyle w:val="MiscellaneousBody"/>
        <w:spacing w:before="0"/>
        <w:rPr>
          <w:snapToGrid w:val="0"/>
          <w:sz w:val="22"/>
        </w:rPr>
      </w:pPr>
      <w:r>
        <w:rPr>
          <w:snapToGrid w:val="0"/>
          <w:sz w:val="22"/>
        </w:rPr>
        <w:t xml:space="preserve">day of .......................................... 20.............BETWEEN: </w:t>
      </w:r>
    </w:p>
    <w:p>
      <w:pPr>
        <w:pStyle w:val="MiscellaneousBody"/>
        <w:rPr>
          <w:b/>
          <w:snapToGrid w:val="0"/>
          <w:sz w:val="22"/>
          <w:vertAlign w:val="superscript"/>
        </w:rPr>
      </w:pPr>
      <w:r>
        <w:rPr>
          <w:b/>
          <w:snapToGrid w:val="0"/>
          <w:sz w:val="22"/>
        </w:rPr>
        <w:t>Processor </w:t>
      </w:r>
      <w:r>
        <w:rPr>
          <w:b/>
          <w:snapToGrid w:val="0"/>
          <w:sz w:val="22"/>
          <w:vertAlign w:val="superscript"/>
        </w:rPr>
        <w:t>2</w:t>
      </w:r>
    </w:p>
    <w:p>
      <w:pPr>
        <w:pStyle w:val="MiscellaneousBody"/>
        <w:spacing w:before="0"/>
        <w:rPr>
          <w:snapToGrid w:val="0"/>
          <w:sz w:val="22"/>
        </w:rPr>
      </w:pPr>
      <w:r>
        <w:rPr>
          <w:snapToGrid w:val="0"/>
          <w:sz w:val="22"/>
        </w:rPr>
        <w:t>...................................................................................................................................................................................................................................(in this agreement</w:t>
      </w:r>
    </w:p>
    <w:p>
      <w:pPr>
        <w:pStyle w:val="MiscellaneousBody"/>
        <w:spacing w:before="0"/>
        <w:rPr>
          <w:snapToGrid w:val="0"/>
          <w:sz w:val="22"/>
        </w:rPr>
      </w:pPr>
      <w:r>
        <w:rPr>
          <w:snapToGrid w:val="0"/>
          <w:sz w:val="22"/>
        </w:rPr>
        <w:t>called “the Processor”) of the one part AND:</w:t>
      </w:r>
    </w:p>
    <w:p>
      <w:pPr>
        <w:pStyle w:val="MiscellaneousBody"/>
        <w:rPr>
          <w:b/>
          <w:snapToGrid w:val="0"/>
          <w:sz w:val="22"/>
          <w:vertAlign w:val="superscript"/>
        </w:rPr>
      </w:pPr>
      <w:r>
        <w:rPr>
          <w:b/>
          <w:snapToGrid w:val="0"/>
          <w:sz w:val="22"/>
        </w:rPr>
        <w:t>Grower </w:t>
      </w:r>
      <w:r>
        <w:rPr>
          <w:b/>
          <w:snapToGrid w:val="0"/>
          <w:sz w:val="22"/>
          <w:vertAlign w:val="superscript"/>
        </w:rPr>
        <w:t>2</w:t>
      </w:r>
    </w:p>
    <w:p>
      <w:pPr>
        <w:pStyle w:val="MiscellaneousBody"/>
        <w:spacing w:before="0"/>
        <w:rPr>
          <w:snapToGrid w:val="0"/>
          <w:sz w:val="22"/>
        </w:rPr>
      </w:pPr>
      <w:r>
        <w:rPr>
          <w:snapToGrid w:val="0"/>
          <w:sz w:val="22"/>
        </w:rPr>
        <w:t>................................................................................................................................ ................................................................................................................................</w:t>
      </w:r>
    </w:p>
    <w:p>
      <w:pPr>
        <w:pStyle w:val="MiscellaneousBody"/>
        <w:spacing w:before="0"/>
        <w:jc w:val="center"/>
        <w:rPr>
          <w:snapToGrid w:val="0"/>
          <w:sz w:val="22"/>
        </w:rPr>
      </w:pPr>
      <w:r>
        <w:rPr>
          <w:snapToGrid w:val="0"/>
          <w:sz w:val="22"/>
        </w:rPr>
        <w:t>(</w:t>
      </w:r>
      <w:r>
        <w:rPr>
          <w:i/>
          <w:snapToGrid w:val="0"/>
          <w:sz w:val="22"/>
        </w:rPr>
        <w:t>location of farm</w:t>
      </w:r>
      <w:r>
        <w:rPr>
          <w:snapToGrid w:val="0"/>
          <w:sz w:val="22"/>
        </w:rPr>
        <w:t>)</w:t>
      </w:r>
    </w:p>
    <w:p>
      <w:pPr>
        <w:pStyle w:val="MiscellaneousBody"/>
        <w:rPr>
          <w:snapToGrid w:val="0"/>
          <w:sz w:val="22"/>
        </w:rPr>
      </w:pPr>
      <w:r>
        <w:rPr>
          <w:snapToGrid w:val="0"/>
          <w:sz w:val="22"/>
        </w:rPr>
        <w:t>(in this agreement called “the Grower”) of the other part</w:t>
      </w:r>
    </w:p>
    <w:p>
      <w:pPr>
        <w:pStyle w:val="MiscellaneousHeading"/>
        <w:jc w:val="left"/>
        <w:rPr>
          <w:b/>
          <w:snapToGrid w:val="0"/>
          <w:sz w:val="22"/>
          <w:vertAlign w:val="superscript"/>
        </w:rPr>
      </w:pPr>
      <w:r>
        <w:rPr>
          <w:b/>
          <w:snapToGrid w:val="0"/>
          <w:sz w:val="22"/>
        </w:rPr>
        <w:t>Recital </w:t>
      </w:r>
      <w:r>
        <w:rPr>
          <w:b/>
          <w:snapToGrid w:val="0"/>
          <w:sz w:val="22"/>
          <w:vertAlign w:val="superscript"/>
        </w:rPr>
        <w:t>2</w:t>
      </w:r>
    </w:p>
    <w:p>
      <w:pPr>
        <w:pStyle w:val="MiscellaneousBody"/>
        <w:rPr>
          <w:snapToGrid w:val="0"/>
          <w:sz w:val="22"/>
        </w:rPr>
      </w:pPr>
      <w:r>
        <w:rPr>
          <w:snapToGrid w:val="0"/>
          <w:sz w:val="22"/>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outlineLvl w:val="9"/>
        <w:rPr>
          <w:snapToGrid w:val="0"/>
          <w:vertAlign w:val="superscript"/>
        </w:rPr>
      </w:pPr>
      <w:bookmarkStart w:id="62" w:name="_Toc525440116"/>
      <w:bookmarkStart w:id="63" w:name="_Toc528033040"/>
      <w:bookmarkStart w:id="64" w:name="_Toc255290437"/>
      <w:bookmarkStart w:id="65" w:name="_Toc271718354"/>
      <w:r>
        <w:rPr>
          <w:rStyle w:val="CharSClsNo"/>
        </w:rPr>
        <w:t>1</w:t>
      </w:r>
      <w:r>
        <w:rPr>
          <w:snapToGrid w:val="0"/>
        </w:rPr>
        <w:t>.</w:t>
      </w:r>
      <w:r>
        <w:rPr>
          <w:snapToGrid w:val="0"/>
        </w:rPr>
        <w:tab/>
        <w:t>Interpretation</w:t>
      </w:r>
      <w:bookmarkEnd w:id="62"/>
      <w:r>
        <w:rPr>
          <w:snapToGrid w:val="0"/>
        </w:rPr>
        <w:t> </w:t>
      </w:r>
      <w:r>
        <w:rPr>
          <w:snapToGrid w:val="0"/>
          <w:vertAlign w:val="superscript"/>
        </w:rPr>
        <w:t>2</w:t>
      </w:r>
      <w:bookmarkEnd w:id="63"/>
      <w:bookmarkEnd w:id="64"/>
      <w:bookmarkEnd w:id="65"/>
    </w:p>
    <w:p>
      <w:pPr>
        <w:pStyle w:val="ySubsection"/>
        <w:rPr>
          <w:snapToGrid w:val="0"/>
        </w:rPr>
      </w:pPr>
      <w:r>
        <w:rPr>
          <w:snapToGrid w:val="0"/>
        </w:rPr>
        <w:tab/>
        <w:t>(1)</w:t>
      </w:r>
      <w:r>
        <w:rPr>
          <w:snapToGrid w:val="0"/>
        </w:rPr>
        <w:tab/>
        <w:t>In this agreement unless the context otherwise requires — </w:t>
      </w:r>
    </w:p>
    <w:p>
      <w:pPr>
        <w:pStyle w:val="yDefpara"/>
        <w:ind w:left="1588" w:hanging="1588"/>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pPr>
      <w:r>
        <w:tab/>
        <w:t>(a)</w:t>
      </w:r>
      <w:r>
        <w:tab/>
        <w:t>meets the criteria for an efficient grower laid down by the Committee from time to time; or</w:t>
      </w:r>
    </w:p>
    <w:p>
      <w:pPr>
        <w:pStyle w:val="yDefsubpara"/>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1588" w:hanging="1588"/>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1588" w:hanging="1588"/>
      </w:pPr>
      <w:r>
        <w:rPr>
          <w:b/>
        </w:rPr>
        <w:tab/>
      </w:r>
      <w:r>
        <w:rPr>
          <w:b/>
        </w:rPr>
        <w:tab/>
      </w:r>
      <w:r>
        <w:rPr>
          <w:rStyle w:val="CharDefText"/>
        </w:rPr>
        <w:t>growing fee</w:t>
      </w:r>
      <w:r>
        <w:t xml:space="preserve"> means the average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1588" w:hanging="1588"/>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1588" w:hanging="1588"/>
      </w:pPr>
      <w:r>
        <w:tab/>
      </w:r>
      <w:r>
        <w:tab/>
      </w:r>
      <w:r>
        <w:rPr>
          <w:rStyle w:val="CharDefText"/>
        </w:rPr>
        <w:t>subclause</w:t>
      </w:r>
      <w:r>
        <w:t xml:space="preserve"> means a subclause of the clause in which the term is used;</w:t>
      </w:r>
    </w:p>
    <w:p>
      <w:pPr>
        <w:pStyle w:val="yDefpara"/>
        <w:ind w:left="1588" w:hanging="1588"/>
      </w:pPr>
      <w:r>
        <w:tab/>
      </w:r>
      <w:r>
        <w:tab/>
      </w:r>
      <w:r>
        <w:rPr>
          <w:rStyle w:val="CharDefText"/>
        </w:rPr>
        <w:t>the Act</w:t>
      </w:r>
      <w:r>
        <w:t xml:space="preserve"> means the </w:t>
      </w:r>
      <w:r>
        <w:rPr>
          <w:i/>
        </w:rPr>
        <w:t>Chicken Meat Industry Act 1977</w:t>
      </w:r>
      <w:r>
        <w:t xml:space="preserve"> of the Parliament of Western Australia or</w:t>
      </w:r>
    </w:p>
    <w:p>
      <w:pPr>
        <w:pStyle w:val="yDefsubpara"/>
      </w:pPr>
      <w:r>
        <w:tab/>
        <w:t>(a)</w:t>
      </w:r>
      <w:r>
        <w:tab/>
        <w:t>if that Act is amended from time to time — that Act as so amended; or</w:t>
      </w:r>
    </w:p>
    <w:p>
      <w:pPr>
        <w:pStyle w:val="yDefsubpara"/>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This agreement shall be read and construed as if the words “</w:t>
      </w:r>
      <w:r>
        <w:t>his or their heirs executors or administrators”</w:t>
      </w:r>
      <w:r>
        <w:rPr>
          <w:snapToGrid w:val="0"/>
        </w:rPr>
        <w:t xml:space="preserve"> had been inserted after the words “</w:t>
      </w:r>
      <w:r>
        <w:t>Processor and Grower”</w:t>
      </w:r>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 </w:t>
      </w:r>
      <w:r>
        <w:rPr>
          <w:snapToGrid w:val="0"/>
          <w:vertAlign w:val="superscript"/>
        </w:rPr>
        <w:t>2</w:t>
      </w:r>
      <w:r>
        <w:rPr>
          <w:snapToGrid w:val="0"/>
        </w:rPr>
        <w:t>.</w:t>
      </w:r>
    </w:p>
    <w:p>
      <w:pPr>
        <w:pStyle w:val="yHeading5"/>
        <w:outlineLvl w:val="9"/>
        <w:rPr>
          <w:snapToGrid w:val="0"/>
          <w:vertAlign w:val="superscript"/>
        </w:rPr>
      </w:pPr>
      <w:bookmarkStart w:id="66" w:name="_Toc525440117"/>
      <w:bookmarkStart w:id="67" w:name="_Toc528033041"/>
      <w:bookmarkStart w:id="68" w:name="_Toc255290438"/>
      <w:bookmarkStart w:id="69" w:name="_Toc271718355"/>
      <w:r>
        <w:rPr>
          <w:rStyle w:val="CharSClsNo"/>
        </w:rPr>
        <w:t>2</w:t>
      </w:r>
      <w:r>
        <w:rPr>
          <w:snapToGrid w:val="0"/>
        </w:rPr>
        <w:t>.</w:t>
      </w:r>
      <w:r>
        <w:rPr>
          <w:snapToGrid w:val="0"/>
        </w:rPr>
        <w:tab/>
        <w:t>Processor’s obligations</w:t>
      </w:r>
      <w:bookmarkEnd w:id="66"/>
      <w:r>
        <w:rPr>
          <w:snapToGrid w:val="0"/>
        </w:rPr>
        <w:t> </w:t>
      </w:r>
      <w:r>
        <w:rPr>
          <w:snapToGrid w:val="0"/>
          <w:vertAlign w:val="superscript"/>
        </w:rPr>
        <w:t>2</w:t>
      </w:r>
      <w:bookmarkEnd w:id="67"/>
      <w:bookmarkEnd w:id="68"/>
      <w:bookmarkEnd w:id="69"/>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keepLines/>
        <w:spacing w:before="80"/>
        <w:ind w:left="879"/>
        <w:rPr>
          <w:b/>
          <w:snapToGrid w:val="0"/>
        </w:rPr>
      </w:pPr>
      <w:r>
        <w:rPr>
          <w:b/>
          <w:snapToGrid w:val="0"/>
        </w:rPr>
        <w:t>Loading</w:t>
      </w:r>
      <w:r>
        <w:rPr>
          <w:snapToGrid w:val="0"/>
        </w:rPr>
        <w:t> </w:t>
      </w:r>
      <w:r>
        <w:rPr>
          <w:b/>
          <w:snapToGrid w:val="0"/>
          <w:vertAlign w:val="superscript"/>
        </w:rPr>
        <w:t>2</w:t>
      </w:r>
    </w:p>
    <w:p>
      <w:pPr>
        <w:pStyle w:val="yIndenta"/>
        <w:keepNext/>
        <w:keepLines/>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w:t>
      </w:r>
    </w:p>
    <w:p>
      <w:pPr>
        <w:pStyle w:val="Indenti"/>
        <w:rPr>
          <w:snapToGrid w:val="0"/>
          <w:sz w:val="22"/>
        </w:rPr>
      </w:pPr>
      <w:r>
        <w:rPr>
          <w:snapToGrid w:val="0"/>
          <w:sz w:val="22"/>
        </w:rPr>
        <w:tab/>
        <w:t>(iii)</w:t>
      </w:r>
      <w:r>
        <w:rPr>
          <w:snapToGrid w:val="0"/>
          <w:sz w:val="22"/>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Footnotesection"/>
      </w:pPr>
    </w:p>
    <w:p>
      <w:pPr>
        <w:pStyle w:val="yHeading5"/>
        <w:outlineLvl w:val="9"/>
        <w:rPr>
          <w:snapToGrid w:val="0"/>
        </w:rPr>
      </w:pPr>
      <w:bookmarkStart w:id="70" w:name="_Toc525440118"/>
      <w:bookmarkStart w:id="71" w:name="_Toc528033042"/>
      <w:bookmarkStart w:id="72" w:name="_Toc255290439"/>
      <w:bookmarkStart w:id="73" w:name="_Toc271718356"/>
      <w:r>
        <w:rPr>
          <w:rStyle w:val="CharSClsNo"/>
        </w:rPr>
        <w:t>3</w:t>
      </w:r>
      <w:r>
        <w:rPr>
          <w:snapToGrid w:val="0"/>
        </w:rPr>
        <w:t>.</w:t>
      </w:r>
      <w:r>
        <w:rPr>
          <w:snapToGrid w:val="0"/>
        </w:rPr>
        <w:tab/>
        <w:t>Grower’s obligations</w:t>
      </w:r>
      <w:bookmarkEnd w:id="70"/>
      <w:r>
        <w:rPr>
          <w:snapToGrid w:val="0"/>
        </w:rPr>
        <w:t> </w:t>
      </w:r>
      <w:r>
        <w:rPr>
          <w:snapToGrid w:val="0"/>
          <w:vertAlign w:val="superscript"/>
        </w:rPr>
        <w:t>2</w:t>
      </w:r>
      <w:bookmarkEnd w:id="71"/>
      <w:bookmarkEnd w:id="72"/>
      <w:bookmarkEnd w:id="73"/>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w:t>
      </w:r>
      <w:r>
        <w:rPr>
          <w:snapToGrid w:val="0"/>
          <w:vertAlign w:val="superscript"/>
        </w:rPr>
        <w:t> 3</w:t>
      </w:r>
      <w:r>
        <w:rPr>
          <w:snapToGrid w:val="0"/>
        </w:rPr>
        <w:t xml:space="preserve"> of the Parliament of Western Australia or any Act passed in substitution for that 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w:t>
      </w:r>
      <w:r>
        <w:rPr>
          <w:snapToGrid w:val="0"/>
          <w:vertAlign w:val="superscript"/>
        </w:rPr>
        <w:t> 4</w:t>
      </w:r>
      <w:r>
        <w:rPr>
          <w:snapToGrid w:val="0"/>
        </w:rPr>
        <w:t>,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keepNext/>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w:t>
      </w:r>
      <w:r>
        <w:rPr>
          <w:b/>
          <w:snapToGrid w:val="0"/>
        </w:rPr>
        <w:noBreakHyphen/>
        <w:t>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outlineLvl w:val="9"/>
        <w:rPr>
          <w:snapToGrid w:val="0"/>
        </w:rPr>
      </w:pPr>
      <w:bookmarkStart w:id="74" w:name="_Toc525440119"/>
      <w:bookmarkStart w:id="75" w:name="_Toc528033043"/>
      <w:bookmarkStart w:id="76" w:name="_Toc255290440"/>
      <w:bookmarkStart w:id="77" w:name="_Toc271718357"/>
      <w:r>
        <w:rPr>
          <w:rStyle w:val="CharSClsNo"/>
        </w:rPr>
        <w:t>4</w:t>
      </w:r>
      <w:r>
        <w:rPr>
          <w:snapToGrid w:val="0"/>
        </w:rPr>
        <w:t>.</w:t>
      </w:r>
      <w:r>
        <w:rPr>
          <w:snapToGrid w:val="0"/>
        </w:rPr>
        <w:tab/>
        <w:t>Weighing of broiler chickens</w:t>
      </w:r>
      <w:bookmarkEnd w:id="74"/>
      <w:r>
        <w:rPr>
          <w:snapToGrid w:val="0"/>
        </w:rPr>
        <w:t> </w:t>
      </w:r>
      <w:r>
        <w:rPr>
          <w:snapToGrid w:val="0"/>
          <w:vertAlign w:val="superscript"/>
        </w:rPr>
        <w:t>2</w:t>
      </w:r>
      <w:bookmarkEnd w:id="75"/>
      <w:bookmarkEnd w:id="76"/>
      <w:bookmarkEnd w:id="77"/>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outlineLvl w:val="9"/>
        <w:rPr>
          <w:snapToGrid w:val="0"/>
        </w:rPr>
      </w:pPr>
      <w:bookmarkStart w:id="78" w:name="_Toc525440120"/>
      <w:bookmarkStart w:id="79" w:name="_Toc528033044"/>
      <w:bookmarkStart w:id="80" w:name="_Toc255290441"/>
      <w:bookmarkStart w:id="81" w:name="_Toc271718358"/>
      <w:r>
        <w:rPr>
          <w:rStyle w:val="CharSClsNo"/>
        </w:rPr>
        <w:t>5</w:t>
      </w:r>
      <w:r>
        <w:rPr>
          <w:snapToGrid w:val="0"/>
        </w:rPr>
        <w:t>.</w:t>
      </w:r>
      <w:r>
        <w:rPr>
          <w:snapToGrid w:val="0"/>
        </w:rPr>
        <w:tab/>
        <w:t>System or method of calculating payment</w:t>
      </w:r>
      <w:bookmarkEnd w:id="78"/>
      <w:r>
        <w:rPr>
          <w:snapToGrid w:val="0"/>
        </w:rPr>
        <w:t> </w:t>
      </w:r>
      <w:r>
        <w:rPr>
          <w:snapToGrid w:val="0"/>
          <w:vertAlign w:val="superscript"/>
        </w:rPr>
        <w:t>2</w:t>
      </w:r>
      <w:bookmarkEnd w:id="79"/>
      <w:bookmarkEnd w:id="80"/>
      <w:bookmarkEnd w:id="81"/>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outlineLvl w:val="9"/>
        <w:rPr>
          <w:snapToGrid w:val="0"/>
        </w:rPr>
      </w:pPr>
      <w:bookmarkStart w:id="82" w:name="_Toc525440121"/>
      <w:bookmarkStart w:id="83" w:name="_Toc528033045"/>
      <w:bookmarkStart w:id="84" w:name="_Toc255290442"/>
      <w:bookmarkStart w:id="85" w:name="_Toc271718359"/>
      <w:r>
        <w:rPr>
          <w:rStyle w:val="CharSClsNo"/>
        </w:rPr>
        <w:t>6</w:t>
      </w:r>
      <w:r>
        <w:rPr>
          <w:snapToGrid w:val="0"/>
        </w:rPr>
        <w:t>.</w:t>
      </w:r>
      <w:r>
        <w:rPr>
          <w:snapToGrid w:val="0"/>
        </w:rPr>
        <w:tab/>
        <w:t>Calculation of payment to Grower under Pool System</w:t>
      </w:r>
      <w:bookmarkEnd w:id="82"/>
      <w:r>
        <w:rPr>
          <w:snapToGrid w:val="0"/>
        </w:rPr>
        <w:t> </w:t>
      </w:r>
      <w:r>
        <w:rPr>
          <w:snapToGrid w:val="0"/>
          <w:vertAlign w:val="superscript"/>
        </w:rPr>
        <w:t>2</w:t>
      </w:r>
      <w:bookmarkEnd w:id="83"/>
      <w:bookmarkEnd w:id="84"/>
      <w:bookmarkEnd w:id="85"/>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outlineLvl w:val="9"/>
        <w:rPr>
          <w:snapToGrid w:val="0"/>
        </w:rPr>
      </w:pPr>
      <w:bookmarkStart w:id="86" w:name="_Toc525440122"/>
      <w:bookmarkStart w:id="87" w:name="_Toc528033046"/>
      <w:bookmarkStart w:id="88" w:name="_Toc255290443"/>
      <w:bookmarkStart w:id="89" w:name="_Toc271718360"/>
      <w:r>
        <w:rPr>
          <w:rStyle w:val="CharSClsNo"/>
        </w:rPr>
        <w:t>7</w:t>
      </w:r>
      <w:r>
        <w:rPr>
          <w:snapToGrid w:val="0"/>
        </w:rPr>
        <w:t>.</w:t>
      </w:r>
      <w:r>
        <w:rPr>
          <w:snapToGrid w:val="0"/>
        </w:rPr>
        <w:tab/>
        <w:t>Exclusion from Pool</w:t>
      </w:r>
      <w:bookmarkEnd w:id="86"/>
      <w:r>
        <w:rPr>
          <w:snapToGrid w:val="0"/>
        </w:rPr>
        <w:t> </w:t>
      </w:r>
      <w:r>
        <w:rPr>
          <w:snapToGrid w:val="0"/>
          <w:vertAlign w:val="superscript"/>
        </w:rPr>
        <w:t>2</w:t>
      </w:r>
      <w:bookmarkEnd w:id="87"/>
      <w:bookmarkEnd w:id="88"/>
      <w:bookmarkEnd w:id="89"/>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outlineLvl w:val="9"/>
        <w:rPr>
          <w:snapToGrid w:val="0"/>
        </w:rPr>
      </w:pPr>
      <w:bookmarkStart w:id="90" w:name="_Toc525440123"/>
      <w:bookmarkStart w:id="91" w:name="_Toc528033047"/>
      <w:bookmarkStart w:id="92" w:name="_Toc255290444"/>
      <w:bookmarkStart w:id="93" w:name="_Toc271718361"/>
      <w:r>
        <w:rPr>
          <w:rStyle w:val="CharSClsNo"/>
        </w:rPr>
        <w:t>8</w:t>
      </w:r>
      <w:r>
        <w:rPr>
          <w:snapToGrid w:val="0"/>
        </w:rPr>
        <w:t>.</w:t>
      </w:r>
      <w:r>
        <w:rPr>
          <w:snapToGrid w:val="0"/>
        </w:rPr>
        <w:tab/>
        <w:t>Payment to the Grower where excluded from Pool</w:t>
      </w:r>
      <w:bookmarkEnd w:id="90"/>
      <w:r>
        <w:rPr>
          <w:snapToGrid w:val="0"/>
        </w:rPr>
        <w:t> </w:t>
      </w:r>
      <w:r>
        <w:rPr>
          <w:snapToGrid w:val="0"/>
          <w:vertAlign w:val="superscript"/>
        </w:rPr>
        <w:t>2</w:t>
      </w:r>
      <w:bookmarkEnd w:id="91"/>
      <w:bookmarkEnd w:id="92"/>
      <w:bookmarkEnd w:id="93"/>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MiscellaneousBody"/>
        <w:rPr>
          <w:snapToGrid w:val="0"/>
          <w:sz w:val="22"/>
        </w:rPr>
      </w:pPr>
      <w:r>
        <w:rPr>
          <w:snapToGrid w:val="0"/>
          <w:sz w:val="22"/>
        </w:rPr>
        <w:t>AND IT IS FURTHER EXPRESSLY AGREED AND DECLARED as follows:</w:t>
      </w:r>
    </w:p>
    <w:p>
      <w:pPr>
        <w:pStyle w:val="yHeading5"/>
        <w:outlineLvl w:val="9"/>
        <w:rPr>
          <w:snapToGrid w:val="0"/>
        </w:rPr>
      </w:pPr>
      <w:bookmarkStart w:id="94" w:name="_Toc525440124"/>
      <w:bookmarkStart w:id="95" w:name="_Toc528033048"/>
      <w:bookmarkStart w:id="96" w:name="_Toc255290445"/>
      <w:bookmarkStart w:id="97" w:name="_Toc271718362"/>
      <w:r>
        <w:rPr>
          <w:rStyle w:val="CharSClsNo"/>
        </w:rPr>
        <w:t>9</w:t>
      </w:r>
      <w:r>
        <w:rPr>
          <w:snapToGrid w:val="0"/>
        </w:rPr>
        <w:t>.</w:t>
      </w:r>
      <w:r>
        <w:rPr>
          <w:snapToGrid w:val="0"/>
        </w:rPr>
        <w:tab/>
        <w:t>Termination date for raising of batch</w:t>
      </w:r>
      <w:bookmarkEnd w:id="94"/>
      <w:r>
        <w:rPr>
          <w:snapToGrid w:val="0"/>
        </w:rPr>
        <w:t> </w:t>
      </w:r>
      <w:r>
        <w:rPr>
          <w:snapToGrid w:val="0"/>
          <w:vertAlign w:val="superscript"/>
        </w:rPr>
        <w:t>2</w:t>
      </w:r>
      <w:bookmarkEnd w:id="95"/>
      <w:bookmarkEnd w:id="96"/>
      <w:bookmarkEnd w:id="97"/>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outlineLvl w:val="9"/>
        <w:rPr>
          <w:snapToGrid w:val="0"/>
        </w:rPr>
      </w:pPr>
      <w:bookmarkStart w:id="98" w:name="_Toc525440125"/>
      <w:bookmarkStart w:id="99" w:name="_Toc528033049"/>
      <w:bookmarkStart w:id="100" w:name="_Toc255290446"/>
      <w:bookmarkStart w:id="101" w:name="_Toc271718363"/>
      <w:r>
        <w:rPr>
          <w:rStyle w:val="CharSClsNo"/>
        </w:rPr>
        <w:t>10</w:t>
      </w:r>
      <w:r>
        <w:rPr>
          <w:snapToGrid w:val="0"/>
        </w:rPr>
        <w:t>.</w:t>
      </w:r>
      <w:r>
        <w:rPr>
          <w:snapToGrid w:val="0"/>
        </w:rPr>
        <w:tab/>
        <w:t>Liability for insurable losses</w:t>
      </w:r>
      <w:bookmarkEnd w:id="98"/>
      <w:r>
        <w:rPr>
          <w:snapToGrid w:val="0"/>
        </w:rPr>
        <w:t> </w:t>
      </w:r>
      <w:r>
        <w:rPr>
          <w:snapToGrid w:val="0"/>
          <w:vertAlign w:val="superscript"/>
        </w:rPr>
        <w:t>2</w:t>
      </w:r>
      <w:bookmarkEnd w:id="99"/>
      <w:bookmarkEnd w:id="100"/>
      <w:bookmarkEnd w:id="101"/>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outlineLvl w:val="9"/>
        <w:rPr>
          <w:snapToGrid w:val="0"/>
        </w:rPr>
      </w:pPr>
      <w:bookmarkStart w:id="102" w:name="_Toc525440126"/>
      <w:bookmarkStart w:id="103" w:name="_Toc528033050"/>
      <w:bookmarkStart w:id="104" w:name="_Toc255290447"/>
      <w:bookmarkStart w:id="105" w:name="_Toc271718364"/>
      <w:r>
        <w:rPr>
          <w:rStyle w:val="CharSClsNo"/>
        </w:rPr>
        <w:t>11</w:t>
      </w:r>
      <w:r>
        <w:rPr>
          <w:snapToGrid w:val="0"/>
        </w:rPr>
        <w:t>.</w:t>
      </w:r>
      <w:r>
        <w:rPr>
          <w:snapToGrid w:val="0"/>
        </w:rPr>
        <w:tab/>
        <w:t>Grower an independent contractor</w:t>
      </w:r>
      <w:bookmarkEnd w:id="102"/>
      <w:r>
        <w:rPr>
          <w:snapToGrid w:val="0"/>
        </w:rPr>
        <w:t> </w:t>
      </w:r>
      <w:r>
        <w:rPr>
          <w:snapToGrid w:val="0"/>
          <w:vertAlign w:val="superscript"/>
        </w:rPr>
        <w:t>2</w:t>
      </w:r>
      <w:bookmarkEnd w:id="103"/>
      <w:bookmarkEnd w:id="104"/>
      <w:bookmarkEnd w:id="105"/>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outlineLvl w:val="9"/>
        <w:rPr>
          <w:snapToGrid w:val="0"/>
        </w:rPr>
      </w:pPr>
      <w:bookmarkStart w:id="106" w:name="_Toc525440127"/>
      <w:bookmarkStart w:id="107" w:name="_Toc528033051"/>
      <w:bookmarkStart w:id="108" w:name="_Toc255290448"/>
      <w:bookmarkStart w:id="109" w:name="_Toc271718365"/>
      <w:r>
        <w:rPr>
          <w:rStyle w:val="CharSClsNo"/>
        </w:rPr>
        <w:t>12</w:t>
      </w:r>
      <w:r>
        <w:rPr>
          <w:snapToGrid w:val="0"/>
        </w:rPr>
        <w:t>.</w:t>
      </w:r>
      <w:r>
        <w:rPr>
          <w:snapToGrid w:val="0"/>
        </w:rPr>
        <w:tab/>
        <w:t>Insolvency</w:t>
      </w:r>
      <w:bookmarkEnd w:id="106"/>
      <w:r>
        <w:rPr>
          <w:snapToGrid w:val="0"/>
        </w:rPr>
        <w:t> </w:t>
      </w:r>
      <w:r>
        <w:rPr>
          <w:snapToGrid w:val="0"/>
          <w:vertAlign w:val="superscript"/>
        </w:rPr>
        <w:t>2</w:t>
      </w:r>
      <w:bookmarkEnd w:id="107"/>
      <w:bookmarkEnd w:id="108"/>
      <w:bookmarkEnd w:id="109"/>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Subsection"/>
        <w:rPr>
          <w:snapToGrid w:val="0"/>
          <w:sz w:val="22"/>
        </w:rPr>
      </w:pPr>
      <w:r>
        <w:rPr>
          <w:snapToGrid w:val="0"/>
          <w:sz w:val="22"/>
        </w:rPr>
        <w:tab/>
        <w:t>(2)</w:t>
      </w:r>
      <w:r>
        <w:rPr>
          <w:snapToGrid w:val="0"/>
          <w:sz w:val="22"/>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outlineLvl w:val="9"/>
        <w:rPr>
          <w:snapToGrid w:val="0"/>
        </w:rPr>
      </w:pPr>
      <w:bookmarkStart w:id="110" w:name="_Toc525440128"/>
      <w:bookmarkStart w:id="111" w:name="_Toc528033052"/>
      <w:bookmarkStart w:id="112" w:name="_Toc255290449"/>
      <w:bookmarkStart w:id="113" w:name="_Toc271718366"/>
      <w:r>
        <w:rPr>
          <w:rStyle w:val="CharSClsNo"/>
        </w:rPr>
        <w:t>13</w:t>
      </w:r>
      <w:r>
        <w:rPr>
          <w:snapToGrid w:val="0"/>
        </w:rPr>
        <w:t>.</w:t>
      </w:r>
      <w:r>
        <w:rPr>
          <w:snapToGrid w:val="0"/>
        </w:rPr>
        <w:tab/>
        <w:t>Term of agreement</w:t>
      </w:r>
      <w:bookmarkEnd w:id="110"/>
      <w:r>
        <w:rPr>
          <w:snapToGrid w:val="0"/>
        </w:rPr>
        <w:t> </w:t>
      </w:r>
      <w:r>
        <w:rPr>
          <w:snapToGrid w:val="0"/>
          <w:vertAlign w:val="superscript"/>
        </w:rPr>
        <w:t>2</w:t>
      </w:r>
      <w:bookmarkEnd w:id="111"/>
      <w:bookmarkEnd w:id="112"/>
      <w:bookmarkEnd w:id="113"/>
    </w:p>
    <w:p>
      <w:pPr>
        <w:pStyle w:val="ySubsection"/>
        <w:rPr>
          <w:snapToGrid w:val="0"/>
        </w:rPr>
      </w:pPr>
      <w:r>
        <w:rPr>
          <w:snapToGrid w:val="0"/>
        </w:rPr>
        <w:tab/>
      </w:r>
      <w:r>
        <w:rPr>
          <w:snapToGrid w:val="0"/>
        </w:rPr>
        <w:tab/>
        <w:t>This agreement shall continue until terminated in accordance with clause 14.</w:t>
      </w:r>
    </w:p>
    <w:p>
      <w:pPr>
        <w:pStyle w:val="yHeading5"/>
        <w:outlineLvl w:val="9"/>
        <w:rPr>
          <w:snapToGrid w:val="0"/>
        </w:rPr>
      </w:pPr>
      <w:bookmarkStart w:id="114" w:name="_Toc525440129"/>
      <w:bookmarkStart w:id="115" w:name="_Toc528033053"/>
      <w:bookmarkStart w:id="116" w:name="_Toc255290450"/>
      <w:bookmarkStart w:id="117" w:name="_Toc271718367"/>
      <w:r>
        <w:rPr>
          <w:rStyle w:val="CharSClsNo"/>
        </w:rPr>
        <w:t>14</w:t>
      </w:r>
      <w:r>
        <w:rPr>
          <w:snapToGrid w:val="0"/>
        </w:rPr>
        <w:t>.</w:t>
      </w:r>
      <w:r>
        <w:rPr>
          <w:snapToGrid w:val="0"/>
        </w:rPr>
        <w:tab/>
        <w:t>Termination of agreement</w:t>
      </w:r>
      <w:bookmarkEnd w:id="114"/>
      <w:r>
        <w:rPr>
          <w:snapToGrid w:val="0"/>
        </w:rPr>
        <w:t> </w:t>
      </w:r>
      <w:r>
        <w:rPr>
          <w:snapToGrid w:val="0"/>
          <w:vertAlign w:val="superscript"/>
        </w:rPr>
        <w:t>2</w:t>
      </w:r>
      <w:bookmarkEnd w:id="115"/>
      <w:bookmarkEnd w:id="116"/>
      <w:bookmarkEnd w:id="117"/>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outlineLvl w:val="9"/>
        <w:rPr>
          <w:snapToGrid w:val="0"/>
        </w:rPr>
      </w:pPr>
      <w:bookmarkStart w:id="118" w:name="_Toc525440130"/>
      <w:bookmarkStart w:id="119" w:name="_Toc528033054"/>
      <w:bookmarkStart w:id="120" w:name="_Toc255290451"/>
      <w:bookmarkStart w:id="121" w:name="_Toc271718368"/>
      <w:r>
        <w:rPr>
          <w:rStyle w:val="CharSClsNo"/>
        </w:rPr>
        <w:t>15</w:t>
      </w:r>
      <w:r>
        <w:rPr>
          <w:snapToGrid w:val="0"/>
        </w:rPr>
        <w:t>.</w:t>
      </w:r>
      <w:r>
        <w:rPr>
          <w:snapToGrid w:val="0"/>
        </w:rPr>
        <w:tab/>
        <w:t>Goods unused on termination of agreement</w:t>
      </w:r>
      <w:bookmarkEnd w:id="118"/>
      <w:r>
        <w:rPr>
          <w:snapToGrid w:val="0"/>
        </w:rPr>
        <w:t> </w:t>
      </w:r>
      <w:r>
        <w:rPr>
          <w:snapToGrid w:val="0"/>
          <w:vertAlign w:val="superscript"/>
        </w:rPr>
        <w:t>2</w:t>
      </w:r>
      <w:bookmarkEnd w:id="119"/>
      <w:bookmarkEnd w:id="120"/>
      <w:bookmarkEnd w:id="121"/>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outlineLvl w:val="9"/>
        <w:rPr>
          <w:snapToGrid w:val="0"/>
        </w:rPr>
      </w:pPr>
      <w:bookmarkStart w:id="122" w:name="_Toc525440131"/>
      <w:bookmarkStart w:id="123" w:name="_Toc528033055"/>
      <w:bookmarkStart w:id="124" w:name="_Toc255290452"/>
      <w:bookmarkStart w:id="125" w:name="_Toc271718369"/>
      <w:r>
        <w:rPr>
          <w:rStyle w:val="CharSClsNo"/>
        </w:rPr>
        <w:t>16</w:t>
      </w:r>
      <w:r>
        <w:rPr>
          <w:snapToGrid w:val="0"/>
        </w:rPr>
        <w:t>.</w:t>
      </w:r>
      <w:r>
        <w:rPr>
          <w:snapToGrid w:val="0"/>
        </w:rPr>
        <w:tab/>
        <w:t>Transfer of business by Processor</w:t>
      </w:r>
      <w:bookmarkEnd w:id="122"/>
      <w:r>
        <w:rPr>
          <w:snapToGrid w:val="0"/>
        </w:rPr>
        <w:t> </w:t>
      </w:r>
      <w:r>
        <w:rPr>
          <w:snapToGrid w:val="0"/>
          <w:vertAlign w:val="superscript"/>
        </w:rPr>
        <w:t>2</w:t>
      </w:r>
      <w:bookmarkEnd w:id="123"/>
      <w:bookmarkEnd w:id="124"/>
      <w:bookmarkEnd w:id="125"/>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outlineLvl w:val="9"/>
        <w:rPr>
          <w:snapToGrid w:val="0"/>
        </w:rPr>
      </w:pPr>
      <w:bookmarkStart w:id="126" w:name="_Toc525440132"/>
      <w:bookmarkStart w:id="127" w:name="_Toc528033056"/>
      <w:bookmarkStart w:id="128" w:name="_Toc255290453"/>
      <w:bookmarkStart w:id="129" w:name="_Toc271718370"/>
      <w:r>
        <w:rPr>
          <w:rStyle w:val="CharSClsNo"/>
        </w:rPr>
        <w:t>17</w:t>
      </w:r>
      <w:r>
        <w:rPr>
          <w:snapToGrid w:val="0"/>
        </w:rPr>
        <w:t>.</w:t>
      </w:r>
      <w:r>
        <w:rPr>
          <w:snapToGrid w:val="0"/>
        </w:rPr>
        <w:tab/>
        <w:t>Transfer of agreement</w:t>
      </w:r>
      <w:bookmarkEnd w:id="126"/>
      <w:r>
        <w:rPr>
          <w:snapToGrid w:val="0"/>
        </w:rPr>
        <w:t> </w:t>
      </w:r>
      <w:r>
        <w:rPr>
          <w:snapToGrid w:val="0"/>
          <w:vertAlign w:val="superscript"/>
        </w:rPr>
        <w:t>2</w:t>
      </w:r>
      <w:bookmarkEnd w:id="127"/>
      <w:bookmarkEnd w:id="128"/>
      <w:bookmarkEnd w:id="129"/>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outlineLvl w:val="9"/>
        <w:rPr>
          <w:snapToGrid w:val="0"/>
        </w:rPr>
      </w:pPr>
      <w:bookmarkStart w:id="130" w:name="_Toc525440133"/>
      <w:bookmarkStart w:id="131" w:name="_Toc528033057"/>
      <w:bookmarkStart w:id="132" w:name="_Toc255290454"/>
      <w:bookmarkStart w:id="133" w:name="_Toc271718371"/>
      <w:r>
        <w:rPr>
          <w:rStyle w:val="CharSClsNo"/>
        </w:rPr>
        <w:t>18</w:t>
      </w:r>
      <w:r>
        <w:rPr>
          <w:snapToGrid w:val="0"/>
        </w:rPr>
        <w:t>.</w:t>
      </w:r>
      <w:r>
        <w:rPr>
          <w:snapToGrid w:val="0"/>
        </w:rPr>
        <w:tab/>
        <w:t>Arbitration</w:t>
      </w:r>
      <w:bookmarkEnd w:id="130"/>
      <w:r>
        <w:rPr>
          <w:snapToGrid w:val="0"/>
        </w:rPr>
        <w:t> </w:t>
      </w:r>
      <w:r>
        <w:rPr>
          <w:snapToGrid w:val="0"/>
          <w:vertAlign w:val="superscript"/>
        </w:rPr>
        <w:t>2</w:t>
      </w:r>
      <w:bookmarkEnd w:id="131"/>
      <w:bookmarkEnd w:id="132"/>
      <w:bookmarkEnd w:id="133"/>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outlineLvl w:val="9"/>
        <w:rPr>
          <w:snapToGrid w:val="0"/>
        </w:rPr>
      </w:pPr>
      <w:bookmarkStart w:id="134" w:name="_Toc525440134"/>
      <w:bookmarkStart w:id="135" w:name="_Toc528033058"/>
      <w:bookmarkStart w:id="136" w:name="_Toc255290455"/>
      <w:bookmarkStart w:id="137" w:name="_Toc271718372"/>
      <w:r>
        <w:rPr>
          <w:rStyle w:val="CharSClsNo"/>
        </w:rPr>
        <w:t>19</w:t>
      </w:r>
      <w:r>
        <w:rPr>
          <w:snapToGrid w:val="0"/>
        </w:rPr>
        <w:t>.</w:t>
      </w:r>
      <w:r>
        <w:rPr>
          <w:snapToGrid w:val="0"/>
        </w:rPr>
        <w:tab/>
        <w:t>Persons to be bound by agreement</w:t>
      </w:r>
      <w:bookmarkEnd w:id="134"/>
      <w:r>
        <w:rPr>
          <w:snapToGrid w:val="0"/>
        </w:rPr>
        <w:t> </w:t>
      </w:r>
      <w:r>
        <w:rPr>
          <w:snapToGrid w:val="0"/>
          <w:vertAlign w:val="superscript"/>
        </w:rPr>
        <w:t>2</w:t>
      </w:r>
      <w:bookmarkEnd w:id="135"/>
      <w:bookmarkEnd w:id="136"/>
      <w:bookmarkEnd w:id="137"/>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MiscellaneousBody"/>
        <w:rPr>
          <w:snapToGrid w:val="0"/>
          <w:sz w:val="22"/>
        </w:rPr>
      </w:pPr>
      <w:r>
        <w:rPr>
          <w:snapToGrid w:val="0"/>
          <w:sz w:val="22"/>
        </w:rPr>
        <w:t>In witness whereof the parties to this agreement have executed this agreement the day and year first hereinbefore mentioned.</w:t>
      </w:r>
    </w:p>
    <w:p>
      <w:pPr>
        <w:pStyle w:val="MiscellaneousBody"/>
        <w:rPr>
          <w:snapToGrid w:val="0"/>
          <w:sz w:val="22"/>
        </w:rPr>
      </w:pPr>
      <w:r>
        <w:rPr>
          <w:snapToGrid w:val="0"/>
          <w:sz w:val="22"/>
        </w:rPr>
        <w:t xml:space="preserve">Signed by the Grower above </w:t>
      </w:r>
    </w:p>
    <w:p>
      <w:pPr>
        <w:pStyle w:val="MiscellaneousBody"/>
        <w:spacing w:before="0"/>
        <w:rPr>
          <w:snapToGrid w:val="0"/>
          <w:sz w:val="22"/>
        </w:rPr>
      </w:pPr>
      <w:r>
        <w:rPr>
          <w:snapToGrid w:val="0"/>
          <w:sz w:val="22"/>
        </w:rPr>
        <w:t xml:space="preserve">referred to and in the presence </w:t>
      </w:r>
    </w:p>
    <w:p>
      <w:pPr>
        <w:pStyle w:val="MiscellaneousBody"/>
        <w:spacing w:before="0"/>
        <w:rPr>
          <w:snapToGrid w:val="0"/>
          <w:sz w:val="22"/>
        </w:rPr>
      </w:pPr>
      <w:r>
        <w:rPr>
          <w:snapToGrid w:val="0"/>
          <w:sz w:val="22"/>
        </w:rPr>
        <w:t>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MiscellaneousBody"/>
        <w:rPr>
          <w:snapToGrid w:val="0"/>
          <w:sz w:val="22"/>
        </w:rPr>
      </w:pPr>
      <w:r>
        <w:rPr>
          <w:snapToGrid w:val="0"/>
          <w:sz w:val="22"/>
        </w:rPr>
        <w:t xml:space="preserve">Signed for and on behalf of the </w:t>
      </w:r>
    </w:p>
    <w:p>
      <w:pPr>
        <w:pStyle w:val="MiscellaneousBody"/>
        <w:spacing w:before="0"/>
        <w:rPr>
          <w:snapToGrid w:val="0"/>
          <w:sz w:val="22"/>
        </w:rPr>
      </w:pPr>
      <w:r>
        <w:rPr>
          <w:snapToGrid w:val="0"/>
          <w:sz w:val="22"/>
        </w:rPr>
        <w:t>Processor above referred to by:</w:t>
      </w:r>
    </w:p>
    <w:p>
      <w:pPr>
        <w:pStyle w:val="MiscellaneousBody"/>
        <w:rPr>
          <w:snapToGrid w:val="0"/>
          <w:sz w:val="22"/>
        </w:rPr>
      </w:pPr>
      <w:r>
        <w:rPr>
          <w:snapToGrid w:val="0"/>
          <w:sz w:val="22"/>
        </w:rPr>
        <w:t>......................................................</w:t>
      </w:r>
    </w:p>
    <w:p>
      <w:pPr>
        <w:pStyle w:val="MiscellaneousBody"/>
        <w:rPr>
          <w:snapToGrid w:val="0"/>
          <w:sz w:val="22"/>
        </w:rPr>
      </w:pPr>
      <w:r>
        <w:rPr>
          <w:snapToGrid w:val="0"/>
          <w:sz w:val="22"/>
        </w:rPr>
        <w:t>and in the presence 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yFootnotesection"/>
        <w:tabs>
          <w:tab w:val="clear" w:pos="893"/>
        </w:tabs>
        <w:ind w:left="0" w:firstLine="0"/>
        <w:rPr>
          <w:rStyle w:val="CharSchNo"/>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r>
        <w:t>[First Schedule amended in Gazette 22 Dec 1978 p. 4838; 24 Aug 1979 p. 2581; 2 Mar 2010 p. 830.]</w:t>
      </w:r>
      <w:bookmarkStart w:id="138" w:name="_Toc255290456"/>
      <w:bookmarkStart w:id="139" w:name="_Toc255308300"/>
      <w:bookmarkStart w:id="140" w:name="_Toc266092432"/>
      <w:bookmarkStart w:id="141" w:name="_Toc266260264"/>
      <w:bookmarkStart w:id="142" w:name="_Toc266356140"/>
      <w:bookmarkStart w:id="143" w:name="_Toc269201688"/>
      <w:bookmarkStart w:id="144" w:name="_Toc269202654"/>
      <w:bookmarkStart w:id="145" w:name="_Toc269202707"/>
      <w:bookmarkStart w:id="146" w:name="_Toc269202749"/>
    </w:p>
    <w:p>
      <w:pPr>
        <w:pStyle w:val="yScheduleHeading"/>
      </w:pPr>
      <w:bookmarkStart w:id="147" w:name="_Toc269721753"/>
      <w:bookmarkStart w:id="148" w:name="_Toc271718373"/>
      <w:r>
        <w:rPr>
          <w:rStyle w:val="CharSchNo"/>
        </w:rPr>
        <w:t>Second Schedule</w:t>
      </w:r>
      <w:bookmarkEnd w:id="138"/>
      <w:bookmarkEnd w:id="139"/>
      <w:bookmarkEnd w:id="140"/>
      <w:bookmarkEnd w:id="141"/>
      <w:bookmarkEnd w:id="142"/>
      <w:bookmarkEnd w:id="143"/>
      <w:bookmarkEnd w:id="144"/>
      <w:bookmarkEnd w:id="145"/>
      <w:bookmarkEnd w:id="146"/>
      <w:bookmarkEnd w:id="147"/>
      <w:bookmarkEnd w:id="148"/>
    </w:p>
    <w:p>
      <w:pPr>
        <w:pStyle w:val="yHeading5"/>
      </w:pPr>
      <w:bookmarkStart w:id="149" w:name="endcomma"/>
      <w:bookmarkStart w:id="150" w:name="_Toc255290458"/>
      <w:bookmarkStart w:id="151" w:name="_Toc271718374"/>
      <w:bookmarkStart w:id="152" w:name="_Toc525440136"/>
      <w:bookmarkStart w:id="153" w:name="_Toc528033061"/>
      <w:bookmarkEnd w:id="149"/>
      <w:r>
        <w:rPr>
          <w:rStyle w:val="CharSClsNo"/>
        </w:rPr>
        <w:t>1</w:t>
      </w:r>
      <w:r>
        <w:t>.</w:t>
      </w:r>
      <w:r>
        <w:rPr>
          <w:b w:val="0"/>
        </w:rPr>
        <w:tab/>
      </w:r>
      <w:r>
        <w:t>Term used: farm model</w:t>
      </w:r>
      <w:bookmarkEnd w:id="150"/>
      <w:r>
        <w:rPr>
          <w:snapToGrid w:val="0"/>
        </w:rPr>
        <w:t> </w:t>
      </w:r>
      <w:r>
        <w:rPr>
          <w:bCs/>
          <w:snapToGrid w:val="0"/>
          <w:vertAlign w:val="superscript"/>
        </w:rPr>
        <w:t>2</w:t>
      </w:r>
      <w:bookmarkEnd w:id="151"/>
    </w:p>
    <w:p>
      <w:pPr>
        <w:pStyle w:val="ySubsection"/>
      </w:pPr>
      <w:r>
        <w:tab/>
      </w:r>
      <w:r>
        <w:tab/>
        <w:t xml:space="preserve">In this Schedule — </w:t>
      </w:r>
    </w:p>
    <w:p>
      <w:pPr>
        <w:pStyle w:val="yDefstart"/>
      </w:pPr>
      <w:r>
        <w:tab/>
      </w:r>
      <w:r>
        <w:rPr>
          <w:rStyle w:val="CharDefText"/>
        </w:rPr>
        <w:t>farm model</w:t>
      </w:r>
      <w:r>
        <w:t xml:space="preserve"> means the model devised from time to time by the Committee for the purposes of computing the costs of production.</w:t>
      </w:r>
    </w:p>
    <w:p>
      <w:pPr>
        <w:pStyle w:val="yFootnotesection"/>
      </w:pPr>
      <w:r>
        <w:tab/>
        <w:t>[Clause 1 inserted in Gazette 2 Mar 2010 p. 831.]</w:t>
      </w:r>
    </w:p>
    <w:p>
      <w:pPr>
        <w:pStyle w:val="yHeading5"/>
        <w:outlineLvl w:val="9"/>
        <w:rPr>
          <w:snapToGrid w:val="0"/>
        </w:rPr>
      </w:pPr>
      <w:bookmarkStart w:id="154" w:name="_Toc255290459"/>
      <w:bookmarkStart w:id="155" w:name="_Toc271718375"/>
      <w:r>
        <w:rPr>
          <w:rStyle w:val="CharSClsNo"/>
        </w:rPr>
        <w:t>2</w:t>
      </w:r>
      <w:r>
        <w:rPr>
          <w:snapToGrid w:val="0"/>
        </w:rPr>
        <w:t>.</w:t>
      </w:r>
      <w:r>
        <w:rPr>
          <w:snapToGrid w:val="0"/>
        </w:rPr>
        <w:tab/>
      </w:r>
      <w:r>
        <w:t>Formula for computing average price</w:t>
      </w:r>
      <w:bookmarkEnd w:id="152"/>
      <w:bookmarkEnd w:id="153"/>
      <w:bookmarkEnd w:id="154"/>
      <w:r>
        <w:rPr>
          <w:snapToGrid w:val="0"/>
        </w:rPr>
        <w:t> </w:t>
      </w:r>
      <w:r>
        <w:rPr>
          <w:bCs/>
          <w:snapToGrid w:val="0"/>
          <w:vertAlign w:val="superscript"/>
        </w:rPr>
        <w:t>2</w:t>
      </w:r>
      <w:bookmarkEnd w:id="155"/>
    </w:p>
    <w:p>
      <w:pPr>
        <w:pStyle w:val="ySubsection"/>
        <w:rPr>
          <w:snapToGrid w:val="0"/>
        </w:rPr>
      </w:pPr>
      <w:r>
        <w:rPr>
          <w:snapToGrid w:val="0"/>
        </w:rPr>
        <w:tab/>
      </w:r>
      <w:r>
        <w:rPr>
          <w:snapToGrid w:val="0"/>
        </w:rPr>
        <w:tab/>
        <w:t>The average price will be computed by applying to the farm model the formula — </w:t>
      </w:r>
    </w:p>
    <w:p>
      <w:pPr>
        <w:jc w:val="center"/>
        <w:rPr>
          <w:snapToGrid w:val="0"/>
          <w:sz w:val="22"/>
          <w:u w:val="single"/>
        </w:rPr>
      </w:pPr>
      <w:r>
        <w:rPr>
          <w:snapToGrid w:val="0"/>
          <w:sz w:val="22"/>
          <w:u w:val="single"/>
        </w:rPr>
        <w:t>Annual Cost of Production in (cents)</w:t>
      </w:r>
    </w:p>
    <w:p>
      <w:pPr>
        <w:jc w:val="center"/>
        <w:rPr>
          <w:snapToGrid w:val="0"/>
          <w:sz w:val="22"/>
        </w:rPr>
      </w:pPr>
      <w:r>
        <w:rPr>
          <w:snapToGrid w:val="0"/>
          <w:sz w:val="22"/>
        </w:rPr>
        <w:t>Productivity</w:t>
      </w:r>
    </w:p>
    <w:p>
      <w:pPr>
        <w:pStyle w:val="yFootnotesection"/>
      </w:pPr>
      <w:r>
        <w:tab/>
        <w:t>[Clause 2 erratum in Gazette 4 Aug 1978 p. 2835; amended in Gazette 24 Aug 1979 p. 2582; 2 Mar 2010 p. 831.]</w:t>
      </w:r>
    </w:p>
    <w:p>
      <w:pPr>
        <w:pStyle w:val="yEdnotesection"/>
      </w:pPr>
      <w:r>
        <w:t>[</w:t>
      </w:r>
      <w:r>
        <w:rPr>
          <w:b/>
          <w:bCs/>
        </w:rPr>
        <w:t>3.</w:t>
      </w:r>
      <w:r>
        <w:tab/>
        <w:t>Deleted in Gazette 2 Mar 2010 p. 831.]</w:t>
      </w:r>
    </w:p>
    <w:p>
      <w:pPr>
        <w:pStyle w:val="yHeading5"/>
        <w:outlineLvl w:val="9"/>
        <w:rPr>
          <w:snapToGrid w:val="0"/>
        </w:rPr>
      </w:pPr>
      <w:bookmarkStart w:id="156" w:name="_Toc525440138"/>
      <w:bookmarkStart w:id="157" w:name="_Toc528033063"/>
      <w:bookmarkStart w:id="158" w:name="_Toc255290461"/>
      <w:bookmarkStart w:id="159" w:name="_Toc271718376"/>
      <w:r>
        <w:rPr>
          <w:rStyle w:val="CharSClsNo"/>
        </w:rPr>
        <w:t>4</w:t>
      </w:r>
      <w:r>
        <w:rPr>
          <w:snapToGrid w:val="0"/>
        </w:rPr>
        <w:t>.</w:t>
      </w:r>
      <w:r>
        <w:rPr>
          <w:snapToGrid w:val="0"/>
        </w:rPr>
        <w:tab/>
        <w:t>Cash and imputed costs</w:t>
      </w:r>
      <w:bookmarkEnd w:id="156"/>
      <w:bookmarkEnd w:id="157"/>
      <w:bookmarkEnd w:id="158"/>
      <w:r>
        <w:rPr>
          <w:snapToGrid w:val="0"/>
        </w:rPr>
        <w:t> </w:t>
      </w:r>
      <w:r>
        <w:rPr>
          <w:bCs/>
          <w:snapToGrid w:val="0"/>
          <w:vertAlign w:val="superscript"/>
        </w:rPr>
        <w:t>2</w:t>
      </w:r>
      <w:bookmarkEnd w:id="159"/>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Ednotesection"/>
      </w:pPr>
      <w:r>
        <w:t>[</w:t>
      </w:r>
      <w:r>
        <w:rPr>
          <w:b/>
          <w:bCs/>
        </w:rPr>
        <w:t>5, 6.</w:t>
      </w:r>
      <w:r>
        <w:tab/>
        <w:t>Deleted in Gazette 2 Mar 2010 p. 831.]</w:t>
      </w:r>
    </w:p>
    <w:p>
      <w:pPr>
        <w:pStyle w:val="yFootnotesection"/>
        <w:keepNext/>
        <w:spacing w:before="100"/>
      </w:pPr>
      <w:r>
        <w:t xml:space="preserve"> </w:t>
      </w:r>
    </w:p>
    <w:p>
      <w:pPr>
        <w:pStyle w:val="yScheduleHeading"/>
        <w:rPr>
          <w:rStyle w:val="CharSchNo"/>
        </w:rPr>
        <w:sectPr>
          <w:headerReference w:type="even" r:id="rId31"/>
          <w:headerReference w:type="default" r:id="rId32"/>
          <w:pgSz w:w="11906" w:h="16838" w:code="9"/>
          <w:pgMar w:top="2381" w:right="2409" w:bottom="3543" w:left="2409" w:header="720" w:footer="3380" w:gutter="0"/>
          <w:cols w:space="720"/>
          <w:noEndnote/>
          <w:docGrid w:linePitch="326"/>
        </w:sectPr>
      </w:pPr>
      <w:bookmarkStart w:id="160" w:name="_Toc255290464"/>
      <w:bookmarkStart w:id="161" w:name="_Toc255308304"/>
      <w:bookmarkStart w:id="162" w:name="_Toc266092436"/>
      <w:bookmarkStart w:id="163" w:name="_Toc266260268"/>
      <w:bookmarkStart w:id="164" w:name="_Toc266356144"/>
      <w:bookmarkStart w:id="165" w:name="_Toc269201692"/>
      <w:bookmarkStart w:id="166" w:name="_Toc269202658"/>
      <w:bookmarkStart w:id="167" w:name="_Toc269202711"/>
      <w:bookmarkStart w:id="168" w:name="_Toc269202753"/>
    </w:p>
    <w:p>
      <w:pPr>
        <w:pStyle w:val="yScheduleHeading"/>
      </w:pPr>
      <w:bookmarkStart w:id="169" w:name="UpToHere"/>
      <w:bookmarkStart w:id="170" w:name="_Toc269721757"/>
      <w:bookmarkStart w:id="171" w:name="_Toc271718377"/>
      <w:bookmarkEnd w:id="169"/>
      <w:r>
        <w:rPr>
          <w:rStyle w:val="CharSchNo"/>
        </w:rPr>
        <w:t>Third Schedule</w:t>
      </w:r>
      <w:bookmarkEnd w:id="160"/>
      <w:bookmarkEnd w:id="161"/>
      <w:bookmarkEnd w:id="162"/>
      <w:bookmarkEnd w:id="163"/>
      <w:bookmarkEnd w:id="164"/>
      <w:bookmarkEnd w:id="165"/>
      <w:bookmarkEnd w:id="166"/>
      <w:bookmarkEnd w:id="167"/>
      <w:bookmarkEnd w:id="168"/>
      <w:bookmarkEnd w:id="170"/>
      <w:bookmarkEnd w:id="171"/>
    </w:p>
    <w:p>
      <w:pPr>
        <w:pStyle w:val="yMiscellaneousHeading"/>
        <w:rPr>
          <w:b/>
          <w:bCs/>
        </w:rPr>
      </w:pPr>
    </w:p>
    <w:tbl>
      <w:tblPr>
        <w:tblW w:w="7447" w:type="dxa"/>
        <w:tblInd w:w="360" w:type="dxa"/>
        <w:tblLayout w:type="fixed"/>
        <w:tblCellMar>
          <w:left w:w="0" w:type="dxa"/>
          <w:right w:w="0" w:type="dxa"/>
        </w:tblCellMar>
        <w:tblLook w:val="0000" w:firstRow="0" w:lastRow="0" w:firstColumn="0" w:lastColumn="0" w:noHBand="0" w:noVBand="0"/>
      </w:tblPr>
      <w:tblGrid>
        <w:gridCol w:w="3968"/>
        <w:gridCol w:w="3479"/>
      </w:tblGrid>
      <w:tr>
        <w:tc>
          <w:tcPr>
            <w:tcW w:w="3968" w:type="dxa"/>
          </w:tcPr>
          <w:p>
            <w:pPr>
              <w:pStyle w:val="yTableNAm"/>
            </w:pPr>
            <w:r>
              <w:t xml:space="preserve">Appointment notified in </w:t>
            </w:r>
            <w:r>
              <w:rPr>
                <w:i/>
              </w:rPr>
              <w:t>Government Gazette</w:t>
            </w:r>
            <w:r>
              <w:t xml:space="preserve"> Number ..................................</w:t>
            </w:r>
          </w:p>
        </w:tc>
        <w:tc>
          <w:tcPr>
            <w:tcW w:w="3479" w:type="dxa"/>
          </w:tcPr>
          <w:p>
            <w:pPr>
              <w:pStyle w:val="yTableNAm"/>
            </w:pPr>
            <w:r>
              <w:t>CERTIFICATE OF AUTHORITY</w:t>
            </w:r>
          </w:p>
          <w:p>
            <w:pPr>
              <w:pStyle w:val="yTableNAm"/>
              <w:spacing w:before="0"/>
              <w:jc w:val="center"/>
            </w:pPr>
            <w:r>
              <w:t>No.</w:t>
            </w:r>
          </w:p>
        </w:tc>
      </w:tr>
      <w:tr>
        <w:tc>
          <w:tcPr>
            <w:tcW w:w="3968" w:type="dxa"/>
          </w:tcPr>
          <w:p>
            <w:pPr>
              <w:pStyle w:val="yTableNAm"/>
            </w:pPr>
            <w:r>
              <w:t>dated ...................................................</w:t>
            </w:r>
          </w:p>
          <w:p>
            <w:pPr>
              <w:pStyle w:val="yTableNAm"/>
            </w:pPr>
          </w:p>
          <w:p>
            <w:pPr>
              <w:pStyle w:val="yTableNAm"/>
            </w:pPr>
          </w:p>
          <w:p>
            <w:pPr>
              <w:pStyle w:val="yTableNAm"/>
            </w:pPr>
          </w:p>
          <w:p>
            <w:pPr>
              <w:pStyle w:val="yTableNAm"/>
            </w:pPr>
            <w:r>
              <w:t>.............................................................</w:t>
            </w:r>
          </w:p>
          <w:p>
            <w:pPr>
              <w:pStyle w:val="yTableNAm"/>
              <w:spacing w:before="0"/>
            </w:pPr>
            <w:r>
              <w:t xml:space="preserve">   Specimen Signature of Holder</w:t>
            </w:r>
          </w:p>
        </w:tc>
        <w:tc>
          <w:tcPr>
            <w:tcW w:w="3479" w:type="dxa"/>
          </w:tcPr>
          <w:p>
            <w:pPr>
              <w:pStyle w:val="yTableNAm"/>
            </w:pPr>
            <w:r>
              <w:t>This is to Certify that ..........................</w:t>
            </w:r>
          </w:p>
          <w:p>
            <w:pPr>
              <w:pStyle w:val="yTableNAm"/>
            </w:pPr>
            <w:r>
              <w:t>.............................................................</w:t>
            </w:r>
          </w:p>
          <w:p>
            <w:pPr>
              <w:pStyle w:val="yTableNAm"/>
              <w:spacing w:before="0"/>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NAm"/>
            </w:pPr>
            <w:r>
              <w:t>.............................................................</w:t>
            </w:r>
          </w:p>
          <w:p>
            <w:pPr>
              <w:pStyle w:val="yTableNAm"/>
              <w:spacing w:before="0"/>
              <w:jc w:val="center"/>
              <w:rPr>
                <w:vertAlign w:val="superscript"/>
              </w:rPr>
            </w:pPr>
            <w:r>
              <w:t>Minister for Agriculture</w:t>
            </w:r>
            <w:r>
              <w:rPr>
                <w:vertAlign w:val="superscript"/>
              </w:rPr>
              <w:t> 5</w:t>
            </w:r>
          </w:p>
        </w:tc>
      </w:tr>
    </w:tbl>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72" w:name="_Toc92872442"/>
      <w:bookmarkStart w:id="173" w:name="_Toc92872503"/>
      <w:bookmarkStart w:id="174" w:name="_Toc92872580"/>
      <w:bookmarkStart w:id="175" w:name="_Toc255290465"/>
      <w:bookmarkStart w:id="176" w:name="_Toc255308305"/>
      <w:bookmarkStart w:id="177" w:name="_Toc266092437"/>
      <w:bookmarkStart w:id="178" w:name="_Toc266260269"/>
      <w:bookmarkStart w:id="179" w:name="_Toc266356145"/>
      <w:bookmarkStart w:id="180" w:name="_Toc269201693"/>
      <w:bookmarkStart w:id="181" w:name="_Toc269202659"/>
      <w:bookmarkStart w:id="182" w:name="_Toc269202712"/>
      <w:bookmarkStart w:id="183" w:name="_Toc269202754"/>
      <w:bookmarkStart w:id="184" w:name="_Toc269721758"/>
      <w:bookmarkStart w:id="185" w:name="_Toc271718378"/>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Chicken Meat Industry Act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6" w:name="_Toc271718379"/>
      <w:r>
        <w:rPr>
          <w:snapToGrid w:val="0"/>
        </w:rPr>
        <w:t>Compilation table</w:t>
      </w:r>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Chicken Meat Industry Act Regulations</w:t>
            </w:r>
          </w:p>
        </w:tc>
        <w:tc>
          <w:tcPr>
            <w:tcW w:w="1276" w:type="dxa"/>
            <w:tcBorders>
              <w:top w:val="single" w:sz="8" w:space="0" w:color="auto"/>
            </w:tcBorders>
          </w:tcPr>
          <w:p>
            <w:pPr>
              <w:pStyle w:val="nTable"/>
              <w:spacing w:after="40"/>
              <w:rPr>
                <w:sz w:val="19"/>
              </w:rPr>
            </w:pPr>
            <w:r>
              <w:rPr>
                <w:sz w:val="19"/>
              </w:rPr>
              <w:t>28 Jul 1978 p. 2756</w:t>
            </w:r>
            <w:r>
              <w:rPr>
                <w:sz w:val="19"/>
              </w:rPr>
              <w:noBreakHyphen/>
              <w:t>63</w:t>
            </w:r>
            <w:r>
              <w:rPr>
                <w:sz w:val="19"/>
              </w:rPr>
              <w:br/>
              <w:t>(erratum 4 Aug 1978 p. 2835)</w:t>
            </w:r>
          </w:p>
        </w:tc>
        <w:tc>
          <w:tcPr>
            <w:tcW w:w="2693" w:type="dxa"/>
            <w:tcBorders>
              <w:top w:val="single" w:sz="8" w:space="0" w:color="auto"/>
            </w:tcBorders>
          </w:tcPr>
          <w:p>
            <w:pPr>
              <w:pStyle w:val="nTable"/>
              <w:spacing w:after="40"/>
              <w:rPr>
                <w:sz w:val="19"/>
              </w:rPr>
            </w:pPr>
            <w:r>
              <w:rPr>
                <w:sz w:val="19"/>
              </w:rPr>
              <w:t>28 Jul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 xml:space="preserve">22 Dec 1978 </w:t>
            </w:r>
            <w:r>
              <w:rPr>
                <w:sz w:val="19"/>
              </w:rPr>
              <w:br/>
              <w:t>p. 4838</w:t>
            </w:r>
          </w:p>
        </w:tc>
        <w:tc>
          <w:tcPr>
            <w:tcW w:w="2693" w:type="dxa"/>
          </w:tcPr>
          <w:p>
            <w:pPr>
              <w:pStyle w:val="nTable"/>
              <w:spacing w:after="40"/>
              <w:rPr>
                <w:sz w:val="19"/>
              </w:rPr>
            </w:pPr>
            <w:r>
              <w:rPr>
                <w:sz w:val="19"/>
              </w:rPr>
              <w:t>22 Dec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Aug 1979 p. 2581</w:t>
            </w:r>
            <w:r>
              <w:rPr>
                <w:sz w:val="19"/>
              </w:rPr>
              <w:noBreakHyphen/>
              <w:t>2</w:t>
            </w:r>
          </w:p>
        </w:tc>
        <w:tc>
          <w:tcPr>
            <w:tcW w:w="2693" w:type="dxa"/>
          </w:tcPr>
          <w:p>
            <w:pPr>
              <w:pStyle w:val="nTable"/>
              <w:spacing w:after="40"/>
              <w:rPr>
                <w:sz w:val="19"/>
              </w:rPr>
            </w:pPr>
            <w:r>
              <w:rPr>
                <w:sz w:val="19"/>
              </w:rPr>
              <w:t>24 Aug 1979</w:t>
            </w:r>
          </w:p>
        </w:tc>
      </w:tr>
      <w:tr>
        <w:trPr>
          <w:cantSplit/>
        </w:trPr>
        <w:tc>
          <w:tcPr>
            <w:tcW w:w="3119" w:type="dxa"/>
          </w:tcPr>
          <w:p>
            <w:pPr>
              <w:pStyle w:val="nTable"/>
              <w:spacing w:after="40"/>
              <w:ind w:right="113"/>
              <w:rPr>
                <w:sz w:val="19"/>
              </w:rPr>
            </w:pPr>
            <w:r>
              <w:rPr>
                <w:i/>
                <w:sz w:val="19"/>
              </w:rPr>
              <w:t>Chicken Meat Industry Act Amendment Regulations 1982</w:t>
            </w:r>
          </w:p>
        </w:tc>
        <w:tc>
          <w:tcPr>
            <w:tcW w:w="1276" w:type="dxa"/>
          </w:tcPr>
          <w:p>
            <w:pPr>
              <w:pStyle w:val="nTable"/>
              <w:spacing w:after="40"/>
              <w:rPr>
                <w:sz w:val="19"/>
              </w:rPr>
            </w:pPr>
            <w:r>
              <w:rPr>
                <w:sz w:val="19"/>
              </w:rPr>
              <w:t xml:space="preserve">22 Jan 1982 </w:t>
            </w:r>
            <w:r>
              <w:rPr>
                <w:sz w:val="19"/>
              </w:rPr>
              <w:br/>
              <w:t>p. 238</w:t>
            </w:r>
          </w:p>
        </w:tc>
        <w:tc>
          <w:tcPr>
            <w:tcW w:w="2693" w:type="dxa"/>
          </w:tcPr>
          <w:p>
            <w:pPr>
              <w:pStyle w:val="nTable"/>
              <w:spacing w:after="40"/>
              <w:rPr>
                <w:sz w:val="19"/>
              </w:rPr>
            </w:pPr>
            <w:r>
              <w:rPr>
                <w:sz w:val="19"/>
              </w:rPr>
              <w:t>22 Jan 1982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Chicken Meat Industry Act Regulations </w:t>
            </w:r>
            <w:r>
              <w:rPr>
                <w:b/>
                <w:sz w:val="19"/>
              </w:rPr>
              <w:t>as at 19 Oct 2001</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Chicken Meat Industry Act Amendment Regulations 2004</w:t>
            </w:r>
          </w:p>
        </w:tc>
        <w:tc>
          <w:tcPr>
            <w:tcW w:w="1276" w:type="dxa"/>
          </w:tcPr>
          <w:p>
            <w:pPr>
              <w:pStyle w:val="nTable"/>
              <w:spacing w:after="40"/>
              <w:rPr>
                <w:sz w:val="19"/>
              </w:rPr>
            </w:pPr>
            <w:r>
              <w:rPr>
                <w:sz w:val="19"/>
              </w:rPr>
              <w:t>30 Dec 2004 p. 6895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Chicken Meat Industry Act Amendment Regulations 2010</w:t>
            </w:r>
          </w:p>
        </w:tc>
        <w:tc>
          <w:tcPr>
            <w:tcW w:w="1276" w:type="dxa"/>
          </w:tcPr>
          <w:p>
            <w:pPr>
              <w:pStyle w:val="nTable"/>
              <w:spacing w:after="40"/>
              <w:rPr>
                <w:sz w:val="19"/>
              </w:rPr>
            </w:pPr>
            <w:r>
              <w:rPr>
                <w:sz w:val="19"/>
              </w:rPr>
              <w:t>2 Mar 2010 p. 829</w:t>
            </w:r>
            <w:r>
              <w:rPr>
                <w:sz w:val="19"/>
              </w:rPr>
              <w:noBreakHyphen/>
              <w:t>31</w:t>
            </w:r>
          </w:p>
        </w:tc>
        <w:tc>
          <w:tcPr>
            <w:tcW w:w="2693" w:type="dxa"/>
          </w:tcPr>
          <w:p>
            <w:pPr>
              <w:pStyle w:val="nTable"/>
              <w:spacing w:after="40"/>
              <w:rPr>
                <w:sz w:val="19"/>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2:  The </w:t>
            </w:r>
            <w:r>
              <w:rPr>
                <w:b/>
                <w:i/>
                <w:sz w:val="19"/>
              </w:rPr>
              <w:t xml:space="preserve">Chicken Meat Industry Act Regulations </w:t>
            </w:r>
            <w:r>
              <w:rPr>
                <w:b/>
                <w:sz w:val="19"/>
              </w:rPr>
              <w:t>as at 20 Aug 2010</w:t>
            </w:r>
            <w:r>
              <w:rPr>
                <w:b/>
                <w:sz w:val="19"/>
              </w:rPr>
              <w:br/>
            </w:r>
            <w:r>
              <w:rPr>
                <w:sz w:val="19"/>
              </w:rPr>
              <w:t>(includes amendments listed above)</w:t>
            </w:r>
          </w:p>
        </w:tc>
      </w:tr>
    </w:tbl>
    <w:p>
      <w:pPr>
        <w:pStyle w:val="nSubsection"/>
        <w:spacing w:before="160"/>
      </w:pPr>
      <w:r>
        <w:rPr>
          <w:vertAlign w:val="superscript"/>
        </w:rPr>
        <w:t>2</w:t>
      </w:r>
      <w:r>
        <w:rPr>
          <w:vertAlign w:val="superscript"/>
        </w:rPr>
        <w:tab/>
      </w:r>
      <w:r>
        <w:t>Marginal notes in Schedules have been represented as bold headnotes in this reprint but that does not change their status as marginal notes.</w:t>
      </w:r>
    </w:p>
    <w:p>
      <w:pPr>
        <w:pStyle w:val="nSubsection"/>
        <w:rPr>
          <w:i/>
          <w:iCs/>
        </w:rPr>
      </w:pPr>
      <w:r>
        <w:rPr>
          <w:vertAlign w:val="superscript"/>
        </w:rPr>
        <w:t xml:space="preserve">3 </w:t>
      </w:r>
      <w:r>
        <w:tab/>
        <w:t xml:space="preserve">Repealed by the </w:t>
      </w:r>
      <w:r>
        <w:rPr>
          <w:i/>
          <w:iCs/>
        </w:rPr>
        <w:t>Workers’ Compensation and Assistance Act 1981</w:t>
      </w:r>
      <w:r>
        <w:t xml:space="preserve"> (now called the </w:t>
      </w:r>
      <w:r>
        <w:rPr>
          <w:i/>
          <w:iCs/>
        </w:rPr>
        <w:t>Workers’ Compensation and Injury Management Act 1981</w:t>
      </w:r>
      <w:r>
        <w:t>)</w:t>
      </w:r>
      <w:r>
        <w:rPr>
          <w:i/>
          <w:iCs/>
        </w:rPr>
        <w:t>.</w:t>
      </w:r>
    </w:p>
    <w:p>
      <w:pPr>
        <w:pStyle w:val="nSubsection"/>
        <w:rPr>
          <w:snapToGrid w:val="0"/>
          <w:vertAlign w:val="superscript"/>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spacing w:before="80"/>
        <w:ind w:left="454" w:hanging="454"/>
        <w:rPr>
          <w:snapToGrid w:val="0"/>
          <w:sz w:val="20"/>
        </w:r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r>
        <w:rPr>
          <w:snapToGrid w:val="0"/>
          <w:sz w:val="20"/>
          <w:vertAlign w:val="superscript"/>
        </w:rPr>
        <w:t>5</w:t>
      </w:r>
      <w:r>
        <w:rPr>
          <w:snapToGrid w:val="0"/>
          <w:sz w:val="20"/>
        </w:rPr>
        <w:tab/>
        <w:t>At the time this reprint was prepared the Minister was known as the Minister for Agriculture and Food.</w:t>
      </w:r>
    </w:p>
    <w:p/>
    <w:p>
      <w:pPr>
        <w:pStyle w:val="nHeading2"/>
        <w:rPr>
          <w:sz w:val="28"/>
        </w:rPr>
      </w:pPr>
      <w:bookmarkStart w:id="187" w:name="_Toc266356147"/>
      <w:bookmarkStart w:id="188" w:name="_Toc269201695"/>
      <w:bookmarkStart w:id="189" w:name="_Toc269202661"/>
      <w:bookmarkStart w:id="190" w:name="_Toc269202714"/>
      <w:bookmarkStart w:id="191" w:name="_Toc269202756"/>
      <w:bookmarkStart w:id="192" w:name="_Toc269721760"/>
      <w:bookmarkStart w:id="193" w:name="_Toc271718380"/>
      <w:r>
        <w:rPr>
          <w:sz w:val="28"/>
        </w:rPr>
        <w:t>Defined Terms</w:t>
      </w:r>
      <w:bookmarkEnd w:id="187"/>
      <w:bookmarkEnd w:id="188"/>
      <w:bookmarkEnd w:id="189"/>
      <w:bookmarkEnd w:id="190"/>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4" w:name="DefinedTerms"/>
      <w:bookmarkEnd w:id="194"/>
      <w:r>
        <w:t>farm model</w:t>
      </w:r>
      <w:r>
        <w:tab/>
        <w:t>Second Sch. cl. 1</w:t>
      </w:r>
    </w:p>
    <w:p>
      <w:pPr>
        <w:pStyle w:val="DefinedTerms"/>
      </w:pPr>
      <w:r>
        <w:t>inspector</w:t>
      </w:r>
      <w:r>
        <w:tab/>
        <w:t>2</w:t>
      </w:r>
    </w:p>
    <w:p>
      <w:pPr>
        <w:pStyle w:val="DefinedTerms"/>
      </w:pPr>
      <w:r>
        <w:t>Schedule</w:t>
      </w:r>
      <w:r>
        <w:tab/>
        <w:t>2</w:t>
      </w:r>
    </w:p>
    <w:p>
      <w:pPr>
        <w:pStyle w:val="DefinedTerms"/>
      </w:pPr>
      <w:r>
        <w:t>the Act</w:t>
      </w:r>
      <w:r>
        <w:tab/>
        <w:t>2</w:t>
      </w:r>
    </w:p>
    <w:p>
      <w:pPr>
        <w:pStyle w:val="DefinedTerms"/>
      </w:pPr>
      <w:r>
        <w:t>the secretary</w:t>
      </w:r>
      <w:r>
        <w:tab/>
        <w:t>2</w:t>
      </w:r>
    </w:p>
    <w:p>
      <w:pPr>
        <w:pStyle w:val="DefinedTerms"/>
      </w:pPr>
      <w:r>
        <w:t>the growing fee</w:t>
      </w:r>
      <w:r>
        <w:tab/>
        <w:t>4</w:t>
      </w:r>
    </w:p>
    <w:p>
      <w:pPr>
        <w:pStyle w:val="DefinedTerms"/>
      </w:pPr>
    </w:p>
    <w:p>
      <w:pPr>
        <w:pStyle w:val="DefinedTerms"/>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FootnoteText"/>
      </w:pPr>
    </w:p>
    <w:sectPr>
      <w:headerReference w:type="even" r:id="rId42"/>
      <w:headerReference w:type="default" r:id="rId4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Chicken Meat Industry Act Regulations</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A2F7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CEB4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77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EE44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4852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D6C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20C3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A667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3E3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4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B444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8AA5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6146</Words>
  <Characters>30548</Characters>
  <Application>Microsoft Office Word</Application>
  <DocSecurity>0</DocSecurity>
  <Lines>825</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36241</CharactersWithSpaces>
  <SharedDoc>false</SharedDoc>
  <HLinks>
    <vt:vector size="18" baseType="variant">
      <vt:variant>
        <vt:i4>3014716</vt:i4>
      </vt:variant>
      <vt:variant>
        <vt:i4>4136</vt:i4>
      </vt:variant>
      <vt:variant>
        <vt:i4>1025</vt:i4>
      </vt:variant>
      <vt:variant>
        <vt:i4>1</vt:i4>
      </vt:variant>
      <vt:variant>
        <vt:lpwstr>C:\Program Files\PCO DLL\Support\Crest.wpg</vt:lpwstr>
      </vt:variant>
      <vt:variant>
        <vt:lpwstr/>
      </vt:variant>
      <vt:variant>
        <vt:i4>5439608</vt:i4>
      </vt:variant>
      <vt:variant>
        <vt:i4>35762</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- 02-a0-01</dc:title>
  <dc:subject/>
  <dc:creator/>
  <cp:keywords/>
  <dc:description/>
  <cp:lastModifiedBy>svcMRProcess</cp:lastModifiedBy>
  <cp:revision>4</cp:revision>
  <cp:lastPrinted>2010-09-06T00:42:00Z</cp:lastPrinted>
  <dcterms:created xsi:type="dcterms:W3CDTF">2020-02-20T06:12:00Z</dcterms:created>
  <dcterms:modified xsi:type="dcterms:W3CDTF">2020-02-20T06:12:00Z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20100820</vt:lpwstr>
  </property>
  <property fmtid="{D5CDD505-2E9C-101B-9397-08002B2CF9AE}" pid="4" name="DocumentType">
    <vt:lpwstr>Reg</vt:lpwstr>
  </property>
  <property fmtid="{D5CDD505-2E9C-101B-9397-08002B2CF9AE}" pid="5" name="OwlsUID">
    <vt:i4>4347</vt:i4>
  </property>
  <property fmtid="{D5CDD505-2E9C-101B-9397-08002B2CF9AE}" pid="6" name="AsAtDate">
    <vt:lpwstr>20 Aug 2010</vt:lpwstr>
  </property>
  <property fmtid="{D5CDD505-2E9C-101B-9397-08002B2CF9AE}" pid="7" name="Suffix">
    <vt:lpwstr>02-a0-01</vt:lpwstr>
  </property>
  <property fmtid="{D5CDD505-2E9C-101B-9397-08002B2CF9AE}" pid="8" name="ReprintedAsAt">
    <vt:filetime>2010-08-19T16:00:00Z</vt:filetime>
  </property>
  <property fmtid="{D5CDD505-2E9C-101B-9397-08002B2CF9AE}" pid="9" name="ReprintNo">
    <vt:lpwstr>2</vt:lpwstr>
  </property>
</Properties>
</file>