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2" name="Picture 2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Settlement Agents Act 1981</w:t>
      </w:r>
    </w:p>
    <w:p>
      <w:pPr>
        <w:pStyle w:val="NameofActRegPage1"/>
        <w:spacing w:before="120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Settlement Agents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 August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_Toc271722248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_Toc271722249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Common seal</w:t>
      </w:r>
      <w:r>
        <w:tab/>
      </w:r>
      <w:r>
        <w:fldChar w:fldCharType="begin"/>
      </w:r>
      <w:r>
        <w:instrText xml:space="preserve"> PAGEREF _Toc271722250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_Toc271722251 \h </w:instrText>
      </w:r>
      <w:r>
        <w:fldChar w:fldCharType="separate"/>
      </w:r>
      <w:r>
        <w:t>2</w:t>
      </w:r>
      <w:r>
        <w:fldChar w:fldCharType="end"/>
      </w:r>
    </w:p>
    <w:p>
      <w:pPr>
        <w:pStyle w:val="TOC8"/>
        <w:rPr>
          <w:sz w:val="24"/>
          <w:szCs w:val="24"/>
        </w:rPr>
      </w:pPr>
      <w:r>
        <w:rPr>
          <w:szCs w:val="24"/>
        </w:rPr>
        <w:t>4A</w:t>
      </w:r>
      <w:r>
        <w:rPr>
          <w:snapToGrid w:val="0"/>
          <w:szCs w:val="24"/>
        </w:rPr>
        <w:t>.</w:t>
      </w:r>
      <w:r>
        <w:rPr>
          <w:snapToGrid w:val="0"/>
          <w:szCs w:val="24"/>
        </w:rPr>
        <w:tab/>
        <w:t>Holding fee</w:t>
      </w:r>
      <w:r>
        <w:tab/>
      </w:r>
      <w:r>
        <w:fldChar w:fldCharType="begin"/>
      </w:r>
      <w:r>
        <w:instrText xml:space="preserve"> PAGEREF _Toc271722252 \h </w:instrText>
      </w:r>
      <w:r>
        <w:fldChar w:fldCharType="separate"/>
      </w:r>
      <w:r>
        <w:t>2</w:t>
      </w:r>
      <w:r>
        <w:fldChar w:fldCharType="end"/>
      </w:r>
    </w:p>
    <w:p>
      <w:pPr>
        <w:pStyle w:val="TOC8"/>
        <w:rPr>
          <w:sz w:val="24"/>
          <w:szCs w:val="24"/>
        </w:rPr>
      </w:pPr>
      <w:r>
        <w:rPr>
          <w:szCs w:val="24"/>
        </w:rPr>
        <w:t>4B.</w:t>
      </w:r>
      <w:r>
        <w:rPr>
          <w:szCs w:val="24"/>
        </w:rPr>
        <w:tab/>
        <w:t>Prescribed educational requirements (Act s. 31(2a))</w:t>
      </w:r>
      <w:r>
        <w:tab/>
      </w:r>
      <w:r>
        <w:fldChar w:fldCharType="begin"/>
      </w:r>
      <w:r>
        <w:instrText xml:space="preserve"> PAGEREF _Toc271722253 \h </w:instrText>
      </w:r>
      <w:r>
        <w:fldChar w:fldCharType="separate"/>
      </w:r>
      <w:r>
        <w:t>3</w:t>
      </w:r>
      <w:r>
        <w:fldChar w:fldCharType="end"/>
      </w:r>
    </w:p>
    <w:p>
      <w:pPr>
        <w:pStyle w:val="TOC8"/>
        <w:rPr>
          <w:sz w:val="24"/>
          <w:szCs w:val="24"/>
        </w:rPr>
      </w:pPr>
      <w:r>
        <w:rPr>
          <w:szCs w:val="24"/>
        </w:rPr>
        <w:t>4C.</w:t>
      </w:r>
      <w:r>
        <w:rPr>
          <w:szCs w:val="24"/>
        </w:rPr>
        <w:tab/>
        <w:t>Board to approve educational activities</w:t>
      </w:r>
      <w:r>
        <w:tab/>
      </w:r>
      <w:r>
        <w:fldChar w:fldCharType="begin"/>
      </w:r>
      <w:r>
        <w:instrText xml:space="preserve"> PAGEREF _Toc271722254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Publication of notice of application (Act s. 24(2))</w:t>
      </w:r>
      <w:r>
        <w:tab/>
      </w:r>
      <w:r>
        <w:fldChar w:fldCharType="begin"/>
      </w:r>
      <w:r>
        <w:instrText xml:space="preserve"> PAGEREF _Toc271722255 \h </w:instrText>
      </w:r>
      <w:r>
        <w:fldChar w:fldCharType="separate"/>
      </w:r>
      <w:r>
        <w:t>6</w:t>
      </w:r>
      <w:r>
        <w:fldChar w:fldCharType="end"/>
      </w:r>
    </w:p>
    <w:p>
      <w:pPr>
        <w:pStyle w:val="TOC8"/>
        <w:rPr>
          <w:sz w:val="24"/>
          <w:szCs w:val="24"/>
        </w:rPr>
      </w:pPr>
      <w:r>
        <w:rPr>
          <w:szCs w:val="24"/>
        </w:rPr>
        <w:t>6.</w:t>
      </w:r>
      <w:r>
        <w:rPr>
          <w:szCs w:val="24"/>
        </w:rPr>
        <w:tab/>
      </w:r>
      <w:r>
        <w:rPr>
          <w:snapToGrid w:val="0"/>
          <w:szCs w:val="24"/>
        </w:rPr>
        <w:t>Examinations</w:t>
      </w:r>
      <w:r>
        <w:tab/>
      </w:r>
      <w:r>
        <w:fldChar w:fldCharType="begin"/>
      </w:r>
      <w:r>
        <w:instrText xml:space="preserve"> PAGEREF _Toc271722256 \h </w:instrText>
      </w:r>
      <w:r>
        <w:fldChar w:fldCharType="separate"/>
      </w:r>
      <w:r>
        <w:t>6</w:t>
      </w:r>
      <w:r>
        <w:fldChar w:fldCharType="end"/>
      </w:r>
    </w:p>
    <w:p>
      <w:pPr>
        <w:pStyle w:val="TOC8"/>
        <w:rPr>
          <w:sz w:val="24"/>
          <w:szCs w:val="24"/>
        </w:rPr>
      </w:pPr>
      <w:r>
        <w:rPr>
          <w:szCs w:val="24"/>
        </w:rPr>
        <w:t>6AA</w:t>
      </w:r>
      <w:r>
        <w:rPr>
          <w:snapToGrid w:val="0"/>
          <w:szCs w:val="24"/>
        </w:rPr>
        <w:t>.</w:t>
      </w:r>
      <w:r>
        <w:rPr>
          <w:snapToGrid w:val="0"/>
          <w:szCs w:val="24"/>
        </w:rPr>
        <w:tab/>
        <w:t>Information to be included in agent’s authority to act (Act s. 43(2)(a))</w:t>
      </w:r>
      <w:r>
        <w:tab/>
      </w:r>
      <w:r>
        <w:fldChar w:fldCharType="begin"/>
      </w:r>
      <w:r>
        <w:instrText xml:space="preserve"> PAGEREF _Toc271722257 \h </w:instrText>
      </w:r>
      <w:r>
        <w:fldChar w:fldCharType="separate"/>
      </w:r>
      <w:r>
        <w:t>8</w:t>
      </w:r>
      <w:r>
        <w:fldChar w:fldCharType="end"/>
      </w:r>
    </w:p>
    <w:p>
      <w:pPr>
        <w:pStyle w:val="TOC8"/>
        <w:rPr>
          <w:sz w:val="24"/>
          <w:szCs w:val="24"/>
        </w:rPr>
      </w:pPr>
      <w:r>
        <w:rPr>
          <w:szCs w:val="24"/>
        </w:rPr>
        <w:t>6A</w:t>
      </w:r>
      <w:r>
        <w:rPr>
          <w:snapToGrid w:val="0"/>
          <w:szCs w:val="24"/>
        </w:rPr>
        <w:t>.</w:t>
      </w:r>
      <w:r>
        <w:rPr>
          <w:snapToGrid w:val="0"/>
          <w:szCs w:val="24"/>
        </w:rPr>
        <w:tab/>
        <w:t>Definition of authorised financial institution — prescribed classes (Act s. 48)</w:t>
      </w:r>
      <w:r>
        <w:tab/>
      </w:r>
      <w:r>
        <w:fldChar w:fldCharType="begin"/>
      </w:r>
      <w:r>
        <w:instrText xml:space="preserve"> PAGEREF _Toc271722258 \h </w:instrText>
      </w:r>
      <w:r>
        <w:fldChar w:fldCharType="separate"/>
      </w:r>
      <w:r>
        <w:t>8</w:t>
      </w:r>
      <w:r>
        <w:fldChar w:fldCharType="end"/>
      </w:r>
    </w:p>
    <w:p>
      <w:pPr>
        <w:pStyle w:val="TOC8"/>
        <w:rPr>
          <w:sz w:val="24"/>
          <w:szCs w:val="24"/>
        </w:rPr>
      </w:pPr>
      <w:r>
        <w:rPr>
          <w:szCs w:val="24"/>
        </w:rPr>
        <w:t>6B</w:t>
      </w:r>
      <w:r>
        <w:rPr>
          <w:snapToGrid w:val="0"/>
          <w:szCs w:val="24"/>
        </w:rPr>
        <w:t>.</w:t>
      </w:r>
      <w:r>
        <w:rPr>
          <w:snapToGrid w:val="0"/>
          <w:szCs w:val="24"/>
        </w:rPr>
        <w:tab/>
        <w:t>Designation of trust accounts (Act s. 49(1))</w:t>
      </w:r>
      <w:r>
        <w:tab/>
      </w:r>
      <w:r>
        <w:fldChar w:fldCharType="begin"/>
      </w:r>
      <w:r>
        <w:instrText xml:space="preserve"> PAGEREF _Toc271722259 \h </w:instrText>
      </w:r>
      <w:r>
        <w:fldChar w:fldCharType="separate"/>
      </w:r>
      <w:r>
        <w:t>8</w:t>
      </w:r>
      <w:r>
        <w:fldChar w:fldCharType="end"/>
      </w:r>
    </w:p>
    <w:p>
      <w:pPr>
        <w:pStyle w:val="TOC8"/>
        <w:rPr>
          <w:sz w:val="24"/>
          <w:szCs w:val="24"/>
        </w:rPr>
      </w:pPr>
      <w:r>
        <w:rPr>
          <w:szCs w:val="24"/>
        </w:rPr>
        <w:t>6C</w:t>
      </w:r>
      <w:r>
        <w:rPr>
          <w:snapToGrid w:val="0"/>
          <w:szCs w:val="24"/>
        </w:rPr>
        <w:t>.</w:t>
      </w:r>
      <w:r>
        <w:rPr>
          <w:snapToGrid w:val="0"/>
          <w:szCs w:val="24"/>
        </w:rPr>
        <w:tab/>
        <w:t>Prescribed requirements for separate accounts (Act s. 49A(4))</w:t>
      </w:r>
      <w:r>
        <w:tab/>
      </w:r>
      <w:r>
        <w:fldChar w:fldCharType="begin"/>
      </w:r>
      <w:r>
        <w:instrText xml:space="preserve"> PAGEREF _Toc271722260 \h </w:instrText>
      </w:r>
      <w:r>
        <w:fldChar w:fldCharType="separate"/>
      </w:r>
      <w:r>
        <w:t>9</w:t>
      </w:r>
      <w:r>
        <w:fldChar w:fldCharType="end"/>
      </w:r>
    </w:p>
    <w:p>
      <w:pPr>
        <w:pStyle w:val="TOC8"/>
        <w:rPr>
          <w:sz w:val="24"/>
          <w:szCs w:val="24"/>
        </w:rPr>
      </w:pPr>
      <w:r>
        <w:rPr>
          <w:szCs w:val="24"/>
        </w:rPr>
        <w:t>6D</w:t>
      </w:r>
      <w:r>
        <w:rPr>
          <w:snapToGrid w:val="0"/>
          <w:szCs w:val="24"/>
        </w:rPr>
        <w:t>.</w:t>
      </w:r>
      <w:r>
        <w:rPr>
          <w:snapToGrid w:val="0"/>
          <w:szCs w:val="24"/>
        </w:rPr>
        <w:tab/>
        <w:t>Interest payable on trust accounts (Act s. 49B(1))</w:t>
      </w:r>
      <w:r>
        <w:tab/>
      </w:r>
      <w:r>
        <w:fldChar w:fldCharType="begin"/>
      </w:r>
      <w:r>
        <w:instrText xml:space="preserve"> PAGEREF _Toc271722261 \h </w:instrText>
      </w:r>
      <w:r>
        <w:fldChar w:fldCharType="separate"/>
      </w:r>
      <w:r>
        <w:t>9</w:t>
      </w:r>
      <w:r>
        <w:fldChar w:fldCharType="end"/>
      </w:r>
    </w:p>
    <w:p>
      <w:pPr>
        <w:pStyle w:val="TOC8"/>
        <w:rPr>
          <w:sz w:val="24"/>
          <w:szCs w:val="24"/>
        </w:rPr>
      </w:pPr>
      <w:r>
        <w:rPr>
          <w:szCs w:val="24"/>
        </w:rPr>
        <w:t>6E.</w:t>
      </w:r>
      <w:r>
        <w:rPr>
          <w:szCs w:val="24"/>
        </w:rPr>
        <w:tab/>
        <w:t>Content of receipts (Act s. 50(1)(a))</w:t>
      </w:r>
      <w:r>
        <w:tab/>
      </w:r>
      <w:r>
        <w:fldChar w:fldCharType="begin"/>
      </w:r>
      <w:r>
        <w:instrText xml:space="preserve"> PAGEREF _Toc271722262 \h </w:instrText>
      </w:r>
      <w:r>
        <w:fldChar w:fldCharType="separate"/>
      </w:r>
      <w:r>
        <w:t>10</w:t>
      </w:r>
      <w:r>
        <w:fldChar w:fldCharType="end"/>
      </w:r>
    </w:p>
    <w:p>
      <w:pPr>
        <w:pStyle w:val="TOC8"/>
        <w:rPr>
          <w:sz w:val="24"/>
          <w:szCs w:val="24"/>
        </w:rPr>
      </w:pPr>
      <w:r>
        <w:rPr>
          <w:szCs w:val="24"/>
        </w:rPr>
        <w:t>6F</w:t>
      </w:r>
      <w:r>
        <w:rPr>
          <w:snapToGrid w:val="0"/>
          <w:szCs w:val="24"/>
        </w:rPr>
        <w:t>.</w:t>
      </w:r>
      <w:r>
        <w:rPr>
          <w:snapToGrid w:val="0"/>
          <w:szCs w:val="24"/>
        </w:rPr>
        <w:tab/>
        <w:t>Records under Act s. 50(1)(b)</w:t>
      </w:r>
      <w:r>
        <w:tab/>
      </w:r>
      <w:r>
        <w:fldChar w:fldCharType="begin"/>
      </w:r>
      <w:r>
        <w:instrText xml:space="preserve"> PAGEREF _Toc271722263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Particulars to be included in registers (Act s. 110(2))</w:t>
      </w:r>
      <w:r>
        <w:tab/>
      </w:r>
      <w:r>
        <w:fldChar w:fldCharType="begin"/>
      </w:r>
      <w:r>
        <w:instrText xml:space="preserve"> PAGEREF _Toc271722264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Recovery of fees and costs</w:t>
      </w:r>
      <w:r>
        <w:tab/>
      </w:r>
      <w:r>
        <w:fldChar w:fldCharType="begin"/>
      </w:r>
      <w:r>
        <w:instrText xml:space="preserve"> PAGEREF _Toc271722265 \h </w:instrText>
      </w:r>
      <w:r>
        <w:fldChar w:fldCharType="separate"/>
      </w:r>
      <w:r>
        <w:t>12</w:t>
      </w:r>
      <w:r>
        <w:fldChar w:fldCharType="end"/>
      </w:r>
    </w:p>
    <w:p>
      <w:pPr>
        <w:pStyle w:val="TOC8"/>
        <w:rPr>
          <w:sz w:val="24"/>
          <w:szCs w:val="24"/>
        </w:rPr>
      </w:pPr>
      <w:r>
        <w:rPr>
          <w:szCs w:val="24"/>
        </w:rPr>
        <w:t>9.</w:t>
      </w:r>
      <w:r>
        <w:rPr>
          <w:szCs w:val="24"/>
        </w:rPr>
        <w:tab/>
        <w:t>Application of Board Interest Account (Act s. 105)</w:t>
      </w:r>
      <w:r>
        <w:tab/>
      </w:r>
      <w:r>
        <w:fldChar w:fldCharType="begin"/>
      </w:r>
      <w:r>
        <w:instrText xml:space="preserve"> PAGEREF _Toc271722266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Claims against Fidelity Guarantee Account</w:t>
      </w:r>
      <w:r>
        <w:tab/>
      </w:r>
      <w:r>
        <w:fldChar w:fldCharType="begin"/>
      </w:r>
      <w:r>
        <w:instrText xml:space="preserve"> PAGEREF _Toc271722267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Documents that real estate settlement agent may draw etc.</w:t>
      </w:r>
      <w:r>
        <w:tab/>
      </w:r>
      <w:r>
        <w:fldChar w:fldCharType="begin"/>
      </w:r>
      <w:r>
        <w:instrText xml:space="preserve"> PAGEREF _Toc271722268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Documents that business settlement agent may draw etc.</w:t>
      </w:r>
      <w:r>
        <w:tab/>
      </w:r>
      <w:r>
        <w:fldChar w:fldCharType="begin"/>
      </w:r>
      <w:r>
        <w:instrText xml:space="preserve"> PAGEREF _Toc271722269 \h </w:instrText>
      </w:r>
      <w:r>
        <w:fldChar w:fldCharType="separate"/>
      </w:r>
      <w:r>
        <w:t>14</w:t>
      </w:r>
      <w:r>
        <w:fldChar w:fldCharType="end"/>
      </w:r>
    </w:p>
    <w:p>
      <w:pPr>
        <w:pStyle w:val="TOC8"/>
        <w:rPr>
          <w:sz w:val="24"/>
          <w:szCs w:val="24"/>
        </w:rPr>
      </w:pPr>
      <w:r>
        <w:rPr>
          <w:szCs w:val="24"/>
        </w:rPr>
        <w:t>12A</w:t>
      </w:r>
      <w:r>
        <w:rPr>
          <w:snapToGrid w:val="0"/>
          <w:szCs w:val="24"/>
        </w:rPr>
        <w:t>.</w:t>
      </w:r>
      <w:r>
        <w:rPr>
          <w:snapToGrid w:val="0"/>
          <w:szCs w:val="24"/>
        </w:rPr>
        <w:tab/>
        <w:t>Power of attorney</w:t>
      </w:r>
      <w:r>
        <w:tab/>
      </w:r>
      <w:r>
        <w:fldChar w:fldCharType="begin"/>
      </w:r>
      <w:r>
        <w:instrText xml:space="preserve"> PAGEREF _Toc271722270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Warning notice by certain exempted persons</w:t>
      </w:r>
      <w:r>
        <w:tab/>
      </w:r>
      <w:r>
        <w:fldChar w:fldCharType="begin"/>
      </w:r>
      <w:r>
        <w:instrText xml:space="preserve"> PAGEREF _Toc271722271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Absence of licensee</w:t>
      </w:r>
      <w:r>
        <w:tab/>
      </w:r>
      <w:r>
        <w:fldChar w:fldCharType="begin"/>
      </w:r>
      <w:r>
        <w:instrText xml:space="preserve"> PAGEREF _Toc271722272 \h </w:instrText>
      </w:r>
      <w:r>
        <w:fldChar w:fldCharType="separate"/>
      </w:r>
      <w:r>
        <w:t>14</w:t>
      </w:r>
      <w:r>
        <w:fldChar w:fldCharType="end"/>
      </w:r>
    </w:p>
    <w:p>
      <w:pPr>
        <w:pStyle w:val="TOC8"/>
        <w:rPr>
          <w:sz w:val="24"/>
          <w:szCs w:val="24"/>
        </w:rPr>
      </w:pPr>
      <w:r>
        <w:rPr>
          <w:szCs w:val="24"/>
        </w:rPr>
        <w:t>15.</w:t>
      </w:r>
      <w:r>
        <w:rPr>
          <w:szCs w:val="24"/>
        </w:rPr>
        <w:tab/>
        <w:t>Infringement notices</w:t>
      </w:r>
      <w:r>
        <w:tab/>
      </w:r>
      <w:r>
        <w:fldChar w:fldCharType="begin"/>
      </w:r>
      <w:r>
        <w:instrText xml:space="preserve"> PAGEREF _Toc271722273 \h </w:instrText>
      </w:r>
      <w:r>
        <w:fldChar w:fldCharType="separate"/>
      </w:r>
      <w:r>
        <w:t>15</w:t>
      </w:r>
      <w:r>
        <w:fldChar w:fldCharType="end"/>
      </w:r>
    </w:p>
    <w:p>
      <w:pPr>
        <w:pStyle w:val="TOC8"/>
        <w:rPr>
          <w:sz w:val="24"/>
          <w:szCs w:val="24"/>
        </w:rPr>
      </w:pPr>
      <w:r>
        <w:rPr>
          <w:szCs w:val="24"/>
        </w:rPr>
        <w:t>16.</w:t>
      </w:r>
      <w:r>
        <w:rPr>
          <w:szCs w:val="24"/>
        </w:rPr>
        <w:tab/>
        <w:t>Forms</w:t>
      </w:r>
      <w:r>
        <w:tab/>
      </w:r>
      <w:r>
        <w:fldChar w:fldCharType="begin"/>
      </w:r>
      <w:r>
        <w:instrText xml:space="preserve"> PAGEREF _Toc271722274 \h </w:instrText>
      </w:r>
      <w:r>
        <w:fldChar w:fldCharType="separate"/>
      </w:r>
      <w:r>
        <w:t>16</w:t>
      </w:r>
      <w:r>
        <w:fldChar w:fldCharType="end"/>
      </w:r>
    </w:p>
    <w:p>
      <w:pPr>
        <w:pStyle w:val="TOC2"/>
        <w:keepNext w:val="0"/>
        <w:tabs>
          <w:tab w:val="right" w:leader="dot" w:pos="7086"/>
        </w:tabs>
        <w:rPr>
          <w:b w:val="0"/>
          <w:sz w:val="24"/>
          <w:szCs w:val="24"/>
        </w:rPr>
      </w:pPr>
      <w:r>
        <w:rPr>
          <w:szCs w:val="28"/>
        </w:rPr>
        <w:t>Schedule 1</w:t>
      </w:r>
      <w:r>
        <w:rPr>
          <w:b w:val="0"/>
          <w:szCs w:val="28"/>
        </w:rPr>
        <w:t> </w:t>
      </w:r>
      <w:r>
        <w:rPr>
          <w:szCs w:val="28"/>
        </w:rPr>
        <w:t>—</w:t>
      </w:r>
      <w:r>
        <w:rPr>
          <w:b w:val="0"/>
          <w:szCs w:val="28"/>
        </w:rPr>
        <w:t> </w:t>
      </w:r>
      <w:r>
        <w:rPr>
          <w:szCs w:val="28"/>
        </w:rPr>
        <w:t>Fees</w:t>
      </w:r>
    </w:p>
    <w:p>
      <w:pPr>
        <w:pStyle w:val="TOC2"/>
        <w:keepNext w:val="0"/>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Professional development subjects</w:t>
      </w:r>
    </w:p>
    <w:p>
      <w:pPr>
        <w:pStyle w:val="TOC2"/>
        <w:keepNext w:val="0"/>
        <w:tabs>
          <w:tab w:val="right" w:leader="dot" w:pos="7086"/>
        </w:tabs>
        <w:rPr>
          <w:b w:val="0"/>
          <w:sz w:val="24"/>
          <w:szCs w:val="24"/>
        </w:rPr>
      </w:pPr>
      <w:r>
        <w:rPr>
          <w:szCs w:val="28"/>
        </w:rPr>
        <w:t>Schedule 2 — Notice under section 26A or 26B of the Act</w:t>
      </w:r>
    </w:p>
    <w:p>
      <w:pPr>
        <w:pStyle w:val="TOC2"/>
        <w:keepNext w:val="0"/>
        <w:tabs>
          <w:tab w:val="right" w:leader="dot" w:pos="7086"/>
        </w:tabs>
        <w:rPr>
          <w:b w:val="0"/>
          <w:sz w:val="24"/>
          <w:szCs w:val="24"/>
        </w:rPr>
      </w:pPr>
      <w:r>
        <w:rPr>
          <w:szCs w:val="28"/>
        </w:rPr>
        <w:t>Schedule 3 — Documents that a real estate settlement agent may draw or prepare</w:t>
      </w:r>
    </w:p>
    <w:p>
      <w:pPr>
        <w:pStyle w:val="TOC4"/>
        <w:keepNext w:val="0"/>
        <w:tabs>
          <w:tab w:val="right" w:leader="dot" w:pos="7086"/>
        </w:tabs>
        <w:rPr>
          <w:b w:val="0"/>
          <w:sz w:val="24"/>
          <w:szCs w:val="24"/>
        </w:rPr>
      </w:pPr>
      <w:r>
        <w:rPr>
          <w:szCs w:val="24"/>
        </w:rPr>
        <w:t>Part A</w:t>
      </w:r>
      <w:r>
        <w:rPr>
          <w:snapToGrid w:val="0"/>
          <w:szCs w:val="24"/>
        </w:rPr>
        <w:t> — </w:t>
      </w:r>
      <w:r>
        <w:rPr>
          <w:szCs w:val="24"/>
        </w:rPr>
        <w:t>Offer and acceptance</w:t>
      </w:r>
    </w:p>
    <w:p>
      <w:pPr>
        <w:pStyle w:val="TOC4"/>
        <w:keepNext w:val="0"/>
        <w:tabs>
          <w:tab w:val="right" w:leader="dot" w:pos="7086"/>
        </w:tabs>
        <w:rPr>
          <w:b w:val="0"/>
          <w:sz w:val="24"/>
          <w:szCs w:val="24"/>
        </w:rPr>
      </w:pPr>
      <w:r>
        <w:rPr>
          <w:szCs w:val="24"/>
        </w:rPr>
        <w:t>Part B</w:t>
      </w:r>
      <w:r>
        <w:rPr>
          <w:snapToGrid w:val="0"/>
          <w:szCs w:val="24"/>
        </w:rPr>
        <w:t> — </w:t>
      </w:r>
      <w:r>
        <w:rPr>
          <w:szCs w:val="24"/>
        </w:rPr>
        <w:t>Requisitions on title</w:t>
      </w:r>
    </w:p>
    <w:p>
      <w:pPr>
        <w:pStyle w:val="TOC4"/>
        <w:keepNext w:val="0"/>
        <w:tabs>
          <w:tab w:val="right" w:leader="dot" w:pos="7086"/>
        </w:tabs>
        <w:rPr>
          <w:b w:val="0"/>
          <w:sz w:val="24"/>
          <w:szCs w:val="24"/>
        </w:rPr>
      </w:pPr>
      <w:r>
        <w:rPr>
          <w:szCs w:val="24"/>
        </w:rPr>
        <w:t>Part C</w:t>
      </w:r>
      <w:r>
        <w:rPr>
          <w:snapToGrid w:val="0"/>
          <w:szCs w:val="24"/>
        </w:rPr>
        <w:t> — </w:t>
      </w:r>
      <w:r>
        <w:rPr>
          <w:szCs w:val="24"/>
        </w:rPr>
        <w:t>Documents for registration or lodgement</w:t>
      </w:r>
    </w:p>
    <w:p>
      <w:pPr>
        <w:pStyle w:val="TOC2"/>
        <w:keepNext w:val="0"/>
        <w:tabs>
          <w:tab w:val="right" w:leader="dot" w:pos="7086"/>
        </w:tabs>
        <w:rPr>
          <w:b w:val="0"/>
          <w:sz w:val="24"/>
          <w:szCs w:val="24"/>
        </w:rPr>
      </w:pPr>
      <w:r>
        <w:rPr>
          <w:szCs w:val="28"/>
        </w:rPr>
        <w:t>Schedule 4 — Documents that a business settlement agent may draw or prepare</w:t>
      </w:r>
    </w:p>
    <w:p>
      <w:pPr>
        <w:pStyle w:val="TOC2"/>
        <w:keepNext w:val="0"/>
        <w:tabs>
          <w:tab w:val="right" w:leader="dot" w:pos="7086"/>
        </w:tabs>
        <w:rPr>
          <w:b w:val="0"/>
          <w:sz w:val="24"/>
          <w:szCs w:val="24"/>
        </w:rPr>
      </w:pPr>
      <w:r>
        <w:rPr>
          <w:szCs w:val="28"/>
        </w:rPr>
        <w:t>Schedule 5 — Prescribed offences and modified penalties</w:t>
      </w:r>
    </w:p>
    <w:p>
      <w:pPr>
        <w:pStyle w:val="TOC4"/>
        <w:keepNext w:val="0"/>
        <w:tabs>
          <w:tab w:val="right" w:leader="dot" w:pos="7086"/>
        </w:tabs>
        <w:rPr>
          <w:b w:val="0"/>
          <w:sz w:val="24"/>
          <w:szCs w:val="24"/>
        </w:rPr>
      </w:pPr>
      <w:r>
        <w:rPr>
          <w:szCs w:val="24"/>
        </w:rPr>
        <w:t>Part 1</w:t>
      </w:r>
      <w:r>
        <w:rPr>
          <w:b w:val="0"/>
          <w:szCs w:val="24"/>
        </w:rPr>
        <w:t> — </w:t>
      </w:r>
      <w:r>
        <w:rPr>
          <w:szCs w:val="24"/>
        </w:rPr>
        <w:t>Offences under section 65</w:t>
      </w:r>
    </w:p>
    <w:p>
      <w:pPr>
        <w:pStyle w:val="TOC4"/>
        <w:keepNext w:val="0"/>
        <w:tabs>
          <w:tab w:val="right" w:leader="dot" w:pos="7086"/>
        </w:tabs>
        <w:rPr>
          <w:b w:val="0"/>
          <w:sz w:val="24"/>
          <w:szCs w:val="24"/>
        </w:rPr>
      </w:pPr>
      <w:r>
        <w:rPr>
          <w:szCs w:val="24"/>
        </w:rPr>
        <w:t>Part 2</w:t>
      </w:r>
      <w:r>
        <w:rPr>
          <w:b w:val="0"/>
          <w:szCs w:val="24"/>
        </w:rPr>
        <w:t> — </w:t>
      </w:r>
      <w:r>
        <w:rPr>
          <w:szCs w:val="24"/>
        </w:rPr>
        <w:t>Offences under section 120</w:t>
      </w:r>
    </w:p>
    <w:p>
      <w:pPr>
        <w:pStyle w:val="TOC2"/>
        <w:tabs>
          <w:tab w:val="right" w:leader="dot" w:pos="7086"/>
        </w:tabs>
        <w:rPr>
          <w:b w:val="0"/>
          <w:sz w:val="24"/>
          <w:szCs w:val="24"/>
        </w:rPr>
      </w:pPr>
      <w:r>
        <w:rPr>
          <w:szCs w:val="28"/>
        </w:rPr>
        <w:t>Schedule 6 — Forms</w:t>
      </w:r>
    </w:p>
    <w:p>
      <w:pPr>
        <w:pStyle w:val="TOC8"/>
        <w:rPr>
          <w:sz w:val="24"/>
          <w:szCs w:val="24"/>
        </w:rPr>
      </w:pPr>
      <w:r>
        <w:rPr>
          <w:szCs w:val="22"/>
        </w:rPr>
        <w:tab/>
        <w:t>Form 1 — Infringement notice</w:t>
      </w:r>
      <w:r>
        <w:tab/>
      </w:r>
      <w:r>
        <w:fldChar w:fldCharType="begin"/>
      </w:r>
      <w:r>
        <w:instrText xml:space="preserve"> PAGEREF _Toc271722287 \h </w:instrText>
      </w:r>
      <w:r>
        <w:fldChar w:fldCharType="separate"/>
      </w:r>
      <w:r>
        <w:t>28</w:t>
      </w:r>
      <w:r>
        <w:fldChar w:fldCharType="end"/>
      </w:r>
    </w:p>
    <w:p>
      <w:pPr>
        <w:pStyle w:val="TOC8"/>
        <w:rPr>
          <w:sz w:val="24"/>
          <w:szCs w:val="24"/>
        </w:rPr>
      </w:pPr>
      <w:r>
        <w:tab/>
        <w:t>Form 2 — Withdrawal of infringement notice</w:t>
      </w:r>
      <w:r>
        <w:tab/>
      </w:r>
      <w:r>
        <w:fldChar w:fldCharType="begin"/>
      </w:r>
      <w:r>
        <w:instrText xml:space="preserve"> PAGEREF _Toc271722288 \h </w:instrText>
      </w:r>
      <w:r>
        <w:fldChar w:fldCharType="separate"/>
      </w:r>
      <w:r>
        <w:t>30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_Toc271722290 \h </w:instrText>
      </w:r>
      <w:r>
        <w:fldChar w:fldCharType="separate"/>
      </w:r>
      <w:r>
        <w:t>31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Text"/>
        </w:rPr>
        <w:t xml:space="preserve"> </w:t>
      </w:r>
      <w:r>
        <w:rPr>
          <w:rStyle w:val="CharSDiv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w:t>
            </w:r>
            <w:r>
              <w:rPr>
                <w:b/>
                <w:snapToGrid w:val="0"/>
                <w:sz w:val="22"/>
              </w:rPr>
              <w:t xml:space="preserve"> August 2010</w:t>
            </w:r>
          </w:p>
        </w:tc>
      </w:tr>
    </w:tbl>
    <w:p>
      <w:pPr>
        <w:pStyle w:val="WA"/>
        <w:spacing w:before="120"/>
      </w:pPr>
      <w:r>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2" w:name="_Toc271722248"/>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3" w:name="_Toc271722249"/>
      <w:r>
        <w:rPr>
          <w:rStyle w:val="CharSectno"/>
        </w:rPr>
        <w:t>2</w:t>
      </w:r>
      <w:r>
        <w:rPr>
          <w:snapToGrid w:val="0"/>
        </w:rPr>
        <w:t>.</w:t>
      </w:r>
      <w:r>
        <w:rPr>
          <w:snapToGrid w:val="0"/>
        </w:rPr>
        <w:tab/>
        <w:t>Terms used</w:t>
      </w:r>
      <w:bookmarkEnd w:id="3"/>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Heading5"/>
        <w:rPr>
          <w:snapToGrid w:val="0"/>
        </w:rPr>
      </w:pPr>
      <w:bookmarkStart w:id="4" w:name="_Toc271722250"/>
      <w:r>
        <w:rPr>
          <w:rStyle w:val="CharSectno"/>
        </w:rPr>
        <w:t>3</w:t>
      </w:r>
      <w:r>
        <w:rPr>
          <w:snapToGrid w:val="0"/>
        </w:rPr>
        <w:t>.</w:t>
      </w:r>
      <w:r>
        <w:rPr>
          <w:snapToGrid w:val="0"/>
        </w:rPr>
        <w:tab/>
        <w:t>Common seal</w:t>
      </w:r>
      <w:bookmarkEnd w:id="4"/>
    </w:p>
    <w:p>
      <w:pPr>
        <w:pStyle w:val="Subsection"/>
        <w:rPr>
          <w:snapToGrid w:val="0"/>
        </w:rPr>
      </w:pPr>
      <w:r>
        <w:rPr>
          <w:snapToGrid w:val="0"/>
        </w:rPr>
        <w:tab/>
        <w:t>(1)</w:t>
      </w:r>
      <w:r>
        <w:rPr>
          <w:snapToGrid w:val="0"/>
        </w:rPr>
        <w:tab/>
        <w:t>The common seal of the Board shall be circular in form inscribed with the words “Settlement Agents Supervisory Board” around its circumference and “Common Seal” in its centre.</w:t>
      </w:r>
    </w:p>
    <w:p>
      <w:pPr>
        <w:pStyle w:val="Subsection"/>
        <w:rPr>
          <w:snapToGrid w:val="0"/>
        </w:rPr>
      </w:pPr>
      <w:r>
        <w:rPr>
          <w:snapToGrid w:val="0"/>
        </w:rPr>
        <w:tab/>
        <w:t>(2)</w:t>
      </w:r>
      <w:r>
        <w:rPr>
          <w:snapToGrid w:val="0"/>
        </w:rPr>
        <w:tab/>
        <w:t>The common seal of the Board shall be kept in safe custody and shall not be applied to any document except pursuant to a resolution of the Board.</w:t>
      </w:r>
    </w:p>
    <w:p>
      <w:pPr>
        <w:pStyle w:val="Subsection"/>
        <w:rPr>
          <w:snapToGrid w:val="0"/>
        </w:rPr>
      </w:pPr>
      <w:r>
        <w:rPr>
          <w:snapToGrid w:val="0"/>
        </w:rPr>
        <w:tab/>
        <w:t>(3)</w:t>
      </w:r>
      <w:r>
        <w:rPr>
          <w:snapToGrid w:val="0"/>
        </w:rPr>
        <w:tab/>
        <w:t>The common seal is to be affixed by the Registrar or by such other officer approved by the Board.</w:t>
      </w:r>
    </w:p>
    <w:p>
      <w:pPr>
        <w:pStyle w:val="Heading5"/>
        <w:rPr>
          <w:snapToGrid w:val="0"/>
        </w:rPr>
      </w:pPr>
      <w:bookmarkStart w:id="5" w:name="_Toc271722251"/>
      <w:r>
        <w:rPr>
          <w:rStyle w:val="CharSectno"/>
        </w:rPr>
        <w:t>4</w:t>
      </w:r>
      <w:r>
        <w:rPr>
          <w:snapToGrid w:val="0"/>
        </w:rPr>
        <w:t>.</w:t>
      </w:r>
      <w:r>
        <w:rPr>
          <w:snapToGrid w:val="0"/>
        </w:rPr>
        <w:tab/>
        <w:t>Fees</w:t>
      </w:r>
      <w:bookmarkEnd w:id="5"/>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6" w:name="_Toc271722252"/>
      <w:r>
        <w:rPr>
          <w:rStyle w:val="CharSectno"/>
        </w:rPr>
        <w:t>4A</w:t>
      </w:r>
      <w:r>
        <w:rPr>
          <w:snapToGrid w:val="0"/>
        </w:rPr>
        <w:t>.</w:t>
      </w:r>
      <w:r>
        <w:rPr>
          <w:snapToGrid w:val="0"/>
        </w:rPr>
        <w:tab/>
        <w:t>Holding fee</w:t>
      </w:r>
      <w:bookmarkEnd w:id="6"/>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The Board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w:t>
      </w:r>
    </w:p>
    <w:p>
      <w:pPr>
        <w:pStyle w:val="Heading5"/>
      </w:pPr>
      <w:bookmarkStart w:id="7" w:name="_Toc271722253"/>
      <w:r>
        <w:rPr>
          <w:rStyle w:val="CharSectno"/>
        </w:rPr>
        <w:t>4B</w:t>
      </w:r>
      <w:r>
        <w:t>.</w:t>
      </w:r>
      <w:r>
        <w:tab/>
        <w:t>Prescribed educational requirements (Act s. 31(2a))</w:t>
      </w:r>
      <w:bookmarkEnd w:id="7"/>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w:t>
      </w:r>
    </w:p>
    <w:p>
      <w:pPr>
        <w:pStyle w:val="Heading5"/>
      </w:pPr>
      <w:bookmarkStart w:id="8" w:name="_Toc271722254"/>
      <w:r>
        <w:rPr>
          <w:rStyle w:val="CharSectno"/>
        </w:rPr>
        <w:t>4C</w:t>
      </w:r>
      <w:r>
        <w:t>.</w:t>
      </w:r>
      <w:r>
        <w:tab/>
        <w:t>Board to approve educational activities</w:t>
      </w:r>
      <w:bookmarkEnd w:id="8"/>
    </w:p>
    <w:p>
      <w:pPr>
        <w:pStyle w:val="Subsection"/>
      </w:pPr>
      <w:r>
        <w:tab/>
        <w:t>(1)</w:t>
      </w:r>
      <w:r>
        <w:tab/>
        <w:t>In respect of each calendar year, commencing with the calendar year beginning 1 January 2008, the Board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Board is to ensure that there is published on its website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Board approves one or more educational activity under subregulation (1)(b) it is to ensure that there is published on its website a notice setting out —</w:t>
      </w:r>
    </w:p>
    <w:p>
      <w:pPr>
        <w:pStyle w:val="Indenta"/>
        <w:spacing w:before="70"/>
      </w:pPr>
      <w:r>
        <w:tab/>
        <w:t>(a)</w:t>
      </w:r>
      <w:r>
        <w:tab/>
        <w:t>sufficient details to identify —</w:t>
      </w:r>
    </w:p>
    <w:p>
      <w:pPr>
        <w:pStyle w:val="Indenti"/>
        <w:spacing w:before="70"/>
      </w:pPr>
      <w:r>
        <w:tab/>
        <w:t>(i)</w:t>
      </w:r>
      <w:r>
        <w:tab/>
        <w:t>each activity approved; and</w:t>
      </w:r>
    </w:p>
    <w:p>
      <w:pPr>
        <w:pStyle w:val="Indenti"/>
        <w:spacing w:before="70"/>
      </w:pPr>
      <w:r>
        <w:tab/>
        <w:t>(ii)</w:t>
      </w:r>
      <w:r>
        <w:tab/>
        <w:t>the professional development subject to which the activity relates;</w:t>
      </w:r>
    </w:p>
    <w:p>
      <w:pPr>
        <w:pStyle w:val="Indenta"/>
        <w:spacing w:before="70"/>
      </w:pPr>
      <w:r>
        <w:tab/>
      </w:r>
      <w:r>
        <w:tab/>
        <w:t>and</w:t>
      </w:r>
    </w:p>
    <w:p>
      <w:pPr>
        <w:pStyle w:val="Indenta"/>
        <w:spacing w:before="70"/>
      </w:pPr>
      <w:r>
        <w:tab/>
        <w:t>(b)</w:t>
      </w:r>
      <w:r>
        <w:tab/>
        <w:t>the value in points that is to be allotted to undertaking each of the activities approved.</w:t>
      </w:r>
    </w:p>
    <w:p>
      <w:pPr>
        <w:pStyle w:val="Subsection"/>
      </w:pPr>
      <w:r>
        <w:tab/>
        <w:t>(4)</w:t>
      </w:r>
      <w:r>
        <w:tab/>
        <w:t>If a person undertakes, or commences to undertake, an educational activity the details of which are later published on the Board’s website as an approved educational activity, then the person does not accrue any points in respect of that activity.</w:t>
      </w:r>
    </w:p>
    <w:p>
      <w:pPr>
        <w:pStyle w:val="Subsection"/>
      </w:pPr>
      <w:r>
        <w:tab/>
        <w:t>(5)</w:t>
      </w:r>
      <w:r>
        <w:tab/>
        <w:t>The following types of educational activities that may be approved under subregulation (1) are —</w:t>
      </w:r>
    </w:p>
    <w:p>
      <w:pPr>
        <w:pStyle w:val="Indenta"/>
        <w:spacing w:before="70"/>
      </w:pPr>
      <w:r>
        <w:tab/>
        <w:t>(a)</w:t>
      </w:r>
      <w:r>
        <w:tab/>
        <w:t>attendance, including by means of audiolink or videolink, at a training course provided by a specified body or person and successful completion of any assessment requirements for that course;</w:t>
      </w:r>
    </w:p>
    <w:p>
      <w:pPr>
        <w:pStyle w:val="Indenta"/>
        <w:spacing w:before="70"/>
      </w:pPr>
      <w:r>
        <w:tab/>
        <w:t>(b)</w:t>
      </w:r>
      <w:r>
        <w:tab/>
        <w:t>attendance, including by means of audiolink or videolink, at a seminar presented by a specified body or person and successful completion of any assessment requirements for that seminar;</w:t>
      </w:r>
    </w:p>
    <w:p>
      <w:pPr>
        <w:pStyle w:val="Indenta"/>
        <w:spacing w:before="70"/>
      </w:pPr>
      <w:r>
        <w:tab/>
        <w:t>(c)</w:t>
      </w:r>
      <w:r>
        <w:tab/>
        <w:t>viewing of a specified recording and successful completion of any assessment requirements for that viewing;</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spacing w:before="140"/>
      </w:pPr>
      <w:r>
        <w:tab/>
        <w:t>(6)</w:t>
      </w:r>
      <w:r>
        <w:tab/>
        <w:t>In subregulations (1) and (5) —</w:t>
      </w:r>
    </w:p>
    <w:p>
      <w:pPr>
        <w:pStyle w:val="Defstart"/>
        <w:spacing w:before="60"/>
      </w:pPr>
      <w:r>
        <w:rPr>
          <w:b/>
        </w:rPr>
        <w:tab/>
      </w:r>
      <w:r>
        <w:rPr>
          <w:rStyle w:val="CharDefText"/>
        </w:rPr>
        <w:t>specified</w:t>
      </w:r>
      <w:r>
        <w:t xml:space="preserve"> means specified by the Board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w:t>
      </w:r>
    </w:p>
    <w:p>
      <w:pPr>
        <w:pStyle w:val="Heading5"/>
        <w:spacing w:before="200"/>
        <w:rPr>
          <w:snapToGrid w:val="0"/>
        </w:rPr>
      </w:pPr>
      <w:bookmarkStart w:id="9" w:name="_Toc271722255"/>
      <w:r>
        <w:rPr>
          <w:rStyle w:val="CharSectno"/>
        </w:rPr>
        <w:t>5</w:t>
      </w:r>
      <w:r>
        <w:rPr>
          <w:snapToGrid w:val="0"/>
        </w:rPr>
        <w:t>.</w:t>
      </w:r>
      <w:r>
        <w:rPr>
          <w:snapToGrid w:val="0"/>
        </w:rPr>
        <w:tab/>
        <w:t>Publication of notice of application (Act s. 24(2))</w:t>
      </w:r>
      <w:bookmarkEnd w:id="9"/>
    </w:p>
    <w:p>
      <w:pPr>
        <w:pStyle w:val="Subsection"/>
        <w:spacing w:before="140"/>
        <w:rPr>
          <w:snapToGrid w:val="0"/>
        </w:rPr>
      </w:pPr>
      <w:r>
        <w:rPr>
          <w:snapToGrid w:val="0"/>
        </w:rPr>
        <w:tab/>
        <w:t>(1)</w:t>
      </w:r>
      <w:r>
        <w:rPr>
          <w:snapToGrid w:val="0"/>
        </w:rPr>
        <w:tab/>
        <w:t>Notice of an application for the grant of a licence to be advertised pursuant to section 24(2) of the Act —</w:t>
      </w:r>
    </w:p>
    <w:p>
      <w:pPr>
        <w:pStyle w:val="Indenta"/>
        <w:spacing w:before="60"/>
        <w:rPr>
          <w:snapToGrid w:val="0"/>
        </w:rPr>
      </w:pPr>
      <w:r>
        <w:rPr>
          <w:snapToGrid w:val="0"/>
        </w:rPr>
        <w:tab/>
        <w:t>(a)</w:t>
      </w:r>
      <w:r>
        <w:rPr>
          <w:snapToGrid w:val="0"/>
        </w:rPr>
        <w:tab/>
        <w:t>shall be in a form approved by the Board; and</w:t>
      </w:r>
    </w:p>
    <w:p>
      <w:pPr>
        <w:pStyle w:val="Indenta"/>
        <w:spacing w:before="60"/>
        <w:rPr>
          <w:snapToGrid w:val="0"/>
        </w:rPr>
      </w:pPr>
      <w:r>
        <w:rPr>
          <w:snapToGrid w:val="0"/>
        </w:rPr>
        <w:tab/>
        <w:t>(b)</w:t>
      </w:r>
      <w:r>
        <w:rPr>
          <w:snapToGrid w:val="0"/>
        </w:rPr>
        <w:tab/>
        <w:t xml:space="preserve">shall be published by the applicant in an issue of a newspaper known as </w:t>
      </w:r>
      <w:r>
        <w:rPr>
          <w:i/>
          <w:snapToGrid w:val="0"/>
        </w:rPr>
        <w:t>The West Australian</w:t>
      </w:r>
      <w:r>
        <w:rPr>
          <w:snapToGrid w:val="0"/>
        </w:rPr>
        <w:t xml:space="preserve"> not less than 14 days before the day fixed for the hearing of the application.</w:t>
      </w:r>
    </w:p>
    <w:p>
      <w:pPr>
        <w:pStyle w:val="Subsection"/>
        <w:spacing w:before="140"/>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spacing w:before="200"/>
      </w:pPr>
      <w:bookmarkStart w:id="10" w:name="_Toc271722256"/>
      <w:r>
        <w:rPr>
          <w:rStyle w:val="CharSectno"/>
        </w:rPr>
        <w:t>6</w:t>
      </w:r>
      <w:r>
        <w:t>.</w:t>
      </w:r>
      <w:r>
        <w:tab/>
      </w:r>
      <w:r>
        <w:rPr>
          <w:snapToGrid w:val="0"/>
        </w:rPr>
        <w:t>Examinations</w:t>
      </w:r>
      <w:bookmarkEnd w:id="10"/>
    </w:p>
    <w:p>
      <w:pPr>
        <w:pStyle w:val="Subsection"/>
        <w:spacing w:before="140"/>
      </w:pPr>
      <w:r>
        <w:tab/>
        <w:t>(1)</w:t>
      </w:r>
      <w:r>
        <w:tab/>
        <w:t>The prescribed examinations for the purposes of Schedule 1 clause 1(1)(a) of the Act are the examinations which are required by a public training provider or a registered training provider to be passed to complete —</w:t>
      </w:r>
    </w:p>
    <w:p>
      <w:pPr>
        <w:pStyle w:val="Indenta"/>
        <w:spacing w:before="60"/>
      </w:pPr>
      <w:r>
        <w:tab/>
        <w:t>(a)</w:t>
      </w:r>
      <w:r>
        <w:tab/>
        <w:t>a Diploma of Financial Services (Conveyancing); and</w:t>
      </w:r>
    </w:p>
    <w:p>
      <w:pPr>
        <w:pStyle w:val="Indenta"/>
        <w:keepNext/>
        <w:spacing w:before="60"/>
      </w:pPr>
      <w:r>
        <w:tab/>
        <w:t>(b)</w:t>
      </w:r>
      <w:r>
        <w:tab/>
        <w:t>the following units —</w:t>
      </w:r>
    </w:p>
    <w:p>
      <w:pPr>
        <w:pStyle w:val="Indenti"/>
        <w:spacing w:before="60"/>
      </w:pPr>
      <w:r>
        <w:tab/>
        <w:t>(i)</w:t>
      </w:r>
      <w:r>
        <w:tab/>
        <w:t>FNSCONV601A: Obtain and analyse information;</w:t>
      </w:r>
    </w:p>
    <w:p>
      <w:pPr>
        <w:pStyle w:val="Indenti"/>
      </w:pPr>
      <w:r>
        <w:tab/>
        <w:t>(ii)</w:t>
      </w:r>
      <w:r>
        <w:tab/>
        <w:t>FNSCONV603A: Negotiate to achieve goals and manage disputes.</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Despite subregulations (1) and (2), until 30 June 2009 —</w:t>
      </w:r>
    </w:p>
    <w:p>
      <w:pPr>
        <w:pStyle w:val="Indenta"/>
      </w:pPr>
      <w:r>
        <w:tab/>
        <w:t>(a)</w:t>
      </w:r>
      <w:r>
        <w:tab/>
        <w:t xml:space="preserve">a person who has passed the examinations prescribed under subregulation (1) as in force immediately before the coming into operation of the </w:t>
      </w:r>
      <w:r>
        <w:rPr>
          <w:i/>
          <w:iCs/>
        </w:rPr>
        <w:t>Settlement Agents Amendment Regulations (No. 2) 2007</w:t>
      </w:r>
      <w:r>
        <w:rPr>
          <w:snapToGrid w:val="0"/>
        </w:rPr>
        <w:t xml:space="preserve"> </w:t>
      </w:r>
      <w:r>
        <w:rPr>
          <w:snapToGrid w:val="0"/>
          <w:vertAlign w:val="superscript"/>
        </w:rPr>
        <w:t>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as in force immediately before the coming into operation of the </w:t>
      </w:r>
      <w:r>
        <w:rPr>
          <w:i/>
          <w:iCs/>
        </w:rPr>
        <w:t>Settlement Agents Amendment Regulations (No. 2) 2007</w:t>
      </w:r>
      <w:r>
        <w:rPr>
          <w:snapToGrid w:val="0"/>
        </w:rPr>
        <w:t xml:space="preserve"> </w:t>
      </w:r>
      <w:r>
        <w:rPr>
          <w:snapToGrid w:val="0"/>
          <w:vertAlign w:val="superscript"/>
        </w:rPr>
        <w:t>1</w:t>
      </w:r>
      <w:r>
        <w:t xml:space="preserve"> and the examinations referred to in subregulation (2)(b)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w:t>
      </w:r>
    </w:p>
    <w:p>
      <w:pPr>
        <w:pStyle w:val="Heading5"/>
      </w:pPr>
      <w:bookmarkStart w:id="11" w:name="_Toc271722257"/>
      <w:r>
        <w:rPr>
          <w:rStyle w:val="CharSectno"/>
        </w:rPr>
        <w:t>6AA</w:t>
      </w:r>
      <w:r>
        <w:rPr>
          <w:snapToGrid w:val="0"/>
        </w:rPr>
        <w:t>.</w:t>
      </w:r>
      <w:r>
        <w:rPr>
          <w:snapToGrid w:val="0"/>
        </w:rPr>
        <w:tab/>
        <w:t>Information to be included in agent’s authority to act (Act s. 43(2)(a))</w:t>
      </w:r>
      <w:bookmarkEnd w:id="11"/>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12" w:name="_Toc271722258"/>
      <w:r>
        <w:rPr>
          <w:rStyle w:val="CharSectno"/>
        </w:rPr>
        <w:t>6A</w:t>
      </w:r>
      <w:r>
        <w:rPr>
          <w:snapToGrid w:val="0"/>
        </w:rPr>
        <w:t>.</w:t>
      </w:r>
      <w:r>
        <w:rPr>
          <w:snapToGrid w:val="0"/>
        </w:rPr>
        <w:tab/>
        <w:t>Definition of authorised financial institution — prescribed classes (Act s. 48)</w:t>
      </w:r>
      <w:bookmarkEnd w:id="12"/>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13" w:name="_Toc271722259"/>
      <w:r>
        <w:rPr>
          <w:rStyle w:val="CharSectno"/>
        </w:rPr>
        <w:t>6B</w:t>
      </w:r>
      <w:r>
        <w:rPr>
          <w:snapToGrid w:val="0"/>
        </w:rPr>
        <w:t>.</w:t>
      </w:r>
      <w:r>
        <w:rPr>
          <w:snapToGrid w:val="0"/>
        </w:rPr>
        <w:tab/>
        <w:t>Designation of trust accounts (Act s. 49(1))</w:t>
      </w:r>
      <w:bookmarkEnd w:id="13"/>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14" w:name="_Toc271722260"/>
      <w:r>
        <w:rPr>
          <w:rStyle w:val="CharSectno"/>
        </w:rPr>
        <w:t>6C</w:t>
      </w:r>
      <w:r>
        <w:rPr>
          <w:snapToGrid w:val="0"/>
        </w:rPr>
        <w:t>.</w:t>
      </w:r>
      <w:r>
        <w:rPr>
          <w:snapToGrid w:val="0"/>
        </w:rPr>
        <w:tab/>
        <w:t>Prescribed requirements for separate accounts (Act s. 49A(4))</w:t>
      </w:r>
      <w:bookmarkEnd w:id="14"/>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15" w:name="_Toc271722261"/>
      <w:r>
        <w:rPr>
          <w:rStyle w:val="CharSectno"/>
        </w:rPr>
        <w:t>6D</w:t>
      </w:r>
      <w:r>
        <w:rPr>
          <w:snapToGrid w:val="0"/>
        </w:rPr>
        <w:t>.</w:t>
      </w:r>
      <w:r>
        <w:rPr>
          <w:snapToGrid w:val="0"/>
        </w:rPr>
        <w:tab/>
        <w:t>Interest payable on trust accounts (Act s. 49B(1))</w:t>
      </w:r>
      <w:bookmarkEnd w:id="15"/>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16" w:name="_Toc271722262"/>
      <w:r>
        <w:rPr>
          <w:rStyle w:val="CharSectno"/>
        </w:rPr>
        <w:t>6E</w:t>
      </w:r>
      <w:r>
        <w:t>.</w:t>
      </w:r>
      <w:r>
        <w:tab/>
        <w:t>Content of receipts (Act s. 50(1)(a))</w:t>
      </w:r>
      <w:bookmarkEnd w:id="16"/>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w:t>
      </w:r>
    </w:p>
    <w:p>
      <w:pPr>
        <w:pStyle w:val="Indenta"/>
        <w:spacing w:before="60"/>
      </w:pPr>
      <w:r>
        <w:tab/>
        <w:t>(b)</w:t>
      </w:r>
      <w:r>
        <w:tab/>
        <w:t>a number or letter, or a combination of both, in consecutive order that allows the receipt to be uniquely identified;</w:t>
      </w:r>
    </w:p>
    <w:p>
      <w:pPr>
        <w:pStyle w:val="Indenta"/>
        <w:spacing w:before="60"/>
      </w:pPr>
      <w:r>
        <w:tab/>
        <w:t>(c)</w:t>
      </w:r>
      <w:r>
        <w:tab/>
        <w:t>the date on which the money is received;</w:t>
      </w:r>
    </w:p>
    <w:p>
      <w:pPr>
        <w:pStyle w:val="Indenta"/>
        <w:spacing w:before="60"/>
      </w:pPr>
      <w:r>
        <w:tab/>
        <w:t>(d)</w:t>
      </w:r>
      <w:r>
        <w:tab/>
        <w:t>the name of the person paying the money;</w:t>
      </w:r>
    </w:p>
    <w:p>
      <w:pPr>
        <w:pStyle w:val="Indenta"/>
        <w:spacing w:before="60"/>
      </w:pPr>
      <w:r>
        <w:tab/>
        <w:t>(e)</w:t>
      </w:r>
      <w:r>
        <w:tab/>
        <w:t>the amount of money received;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17" w:name="_Toc271722263"/>
      <w:r>
        <w:rPr>
          <w:rStyle w:val="CharSectno"/>
        </w:rPr>
        <w:t>6F</w:t>
      </w:r>
      <w:r>
        <w:rPr>
          <w:snapToGrid w:val="0"/>
        </w:rPr>
        <w:t>.</w:t>
      </w:r>
      <w:r>
        <w:rPr>
          <w:snapToGrid w:val="0"/>
        </w:rPr>
        <w:tab/>
        <w:t>Records under Act s. 50(1)(b)</w:t>
      </w:r>
      <w:bookmarkEnd w:id="17"/>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18" w:name="_Toc271722264"/>
      <w:r>
        <w:rPr>
          <w:rStyle w:val="CharSectno"/>
        </w:rPr>
        <w:t>7</w:t>
      </w:r>
      <w:r>
        <w:rPr>
          <w:snapToGrid w:val="0"/>
        </w:rPr>
        <w:t>.</w:t>
      </w:r>
      <w:r>
        <w:rPr>
          <w:snapToGrid w:val="0"/>
        </w:rPr>
        <w:tab/>
        <w:t>Particulars to be included in registers (Act s. 110(2))</w:t>
      </w:r>
      <w:bookmarkEnd w:id="18"/>
    </w:p>
    <w:p>
      <w:pPr>
        <w:pStyle w:val="Subsection"/>
        <w:rPr>
          <w:snapToGrid w:val="0"/>
        </w:rPr>
      </w:pPr>
      <w:r>
        <w:rPr>
          <w:snapToGrid w:val="0"/>
        </w:rPr>
        <w:tab/>
      </w:r>
      <w:r>
        <w:rPr>
          <w:snapToGrid w:val="0"/>
        </w:rPr>
        <w:tab/>
        <w:t>The particulars to be recorded, pursuant to section 110(2) of the Act, by the Registrar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spacing w:before="60"/>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spacing w:before="60"/>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60"/>
        <w:rPr>
          <w:snapToGrid w:val="0"/>
        </w:rPr>
      </w:pPr>
      <w:r>
        <w:rPr>
          <w:snapToGrid w:val="0"/>
        </w:rPr>
        <w:tab/>
        <w:t>(viii)</w:t>
      </w:r>
      <w:r>
        <w:rPr>
          <w:snapToGrid w:val="0"/>
        </w:rPr>
        <w:tab/>
        <w:t>the licence number and the date on which the licence held by the holder of the certificate was granted;</w:t>
      </w:r>
    </w:p>
    <w:p>
      <w:pPr>
        <w:pStyle w:val="Indenti"/>
        <w:spacing w:before="60"/>
        <w:rPr>
          <w:snapToGrid w:val="0"/>
        </w:rPr>
      </w:pPr>
      <w:r>
        <w:rPr>
          <w:snapToGrid w:val="0"/>
        </w:rPr>
        <w:tab/>
        <w:t>(ix)</w:t>
      </w:r>
      <w:r>
        <w:rPr>
          <w:snapToGrid w:val="0"/>
        </w:rPr>
        <w:tab/>
        <w:t>whether the holder is licensed as a real estate settlement agent, business settlement agent or both;</w:t>
      </w:r>
    </w:p>
    <w:p>
      <w:pPr>
        <w:pStyle w:val="Indenti"/>
        <w:spacing w:before="60"/>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spacing w:before="60"/>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spacing w:before="60"/>
        <w:rPr>
          <w:snapToGrid w:val="0"/>
        </w:rPr>
      </w:pPr>
      <w:r>
        <w:rPr>
          <w:snapToGrid w:val="0"/>
        </w:rPr>
        <w:tab/>
        <w:t>(xii)</w:t>
      </w:r>
      <w:r>
        <w:rPr>
          <w:snapToGrid w:val="0"/>
        </w:rPr>
        <w:tab/>
        <w:t>the name and address of the auditor appointed by the holder; and</w:t>
      </w:r>
    </w:p>
    <w:p>
      <w:pPr>
        <w:pStyle w:val="Indenti"/>
        <w:spacing w:before="60"/>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w:t>
      </w:r>
    </w:p>
    <w:p>
      <w:pPr>
        <w:pStyle w:val="Heading5"/>
        <w:rPr>
          <w:snapToGrid w:val="0"/>
        </w:rPr>
      </w:pPr>
      <w:bookmarkStart w:id="19" w:name="_Toc271722265"/>
      <w:r>
        <w:rPr>
          <w:rStyle w:val="CharSectno"/>
        </w:rPr>
        <w:t>8</w:t>
      </w:r>
      <w:r>
        <w:rPr>
          <w:snapToGrid w:val="0"/>
        </w:rPr>
        <w:t>.</w:t>
      </w:r>
      <w:r>
        <w:rPr>
          <w:snapToGrid w:val="0"/>
        </w:rPr>
        <w:tab/>
        <w:t>Recovery of fees and costs</w:t>
      </w:r>
      <w:bookmarkEnd w:id="19"/>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spacing w:before="60"/>
        <w:rPr>
          <w:snapToGrid w:val="0"/>
        </w:rPr>
      </w:pPr>
      <w:r>
        <w:rPr>
          <w:snapToGrid w:val="0"/>
        </w:rPr>
        <w:tab/>
        <w:t>(a)</w:t>
      </w:r>
      <w:r>
        <w:rPr>
          <w:snapToGrid w:val="0"/>
        </w:rPr>
        <w:tab/>
        <w:t>any fees prescribed by these regulations;</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any costs ordered by the Board to be paid to the Registrar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w:t>
      </w:r>
    </w:p>
    <w:p>
      <w:pPr>
        <w:pStyle w:val="Heading5"/>
      </w:pPr>
      <w:bookmarkStart w:id="20" w:name="_Toc271722266"/>
      <w:r>
        <w:rPr>
          <w:rStyle w:val="CharSectno"/>
        </w:rPr>
        <w:t>9</w:t>
      </w:r>
      <w:r>
        <w:t>.</w:t>
      </w:r>
      <w:r>
        <w:tab/>
        <w:t>Application of Board Interest Account (Act s. 105)</w:t>
      </w:r>
      <w:bookmarkEnd w:id="20"/>
    </w:p>
    <w:p>
      <w:pPr>
        <w:pStyle w:val="Subsection"/>
      </w:pPr>
      <w:r>
        <w:tab/>
      </w:r>
      <w:r>
        <w:tab/>
        <w:t>For the purposes of section 105 of the Act moneys standing to the credit of the Account are to be applied monthly before the end of each month.</w:t>
      </w:r>
    </w:p>
    <w:p>
      <w:pPr>
        <w:pStyle w:val="Footnotesection"/>
        <w:spacing w:before="100"/>
        <w:ind w:left="890" w:hanging="890"/>
      </w:pPr>
      <w:r>
        <w:tab/>
        <w:t>[Regulation 9 inserted in Gazette 6 Feb 2007 p. 310.]</w:t>
      </w:r>
    </w:p>
    <w:p>
      <w:pPr>
        <w:pStyle w:val="Heading5"/>
        <w:rPr>
          <w:snapToGrid w:val="0"/>
        </w:rPr>
      </w:pPr>
      <w:bookmarkStart w:id="21" w:name="_Toc271722267"/>
      <w:r>
        <w:rPr>
          <w:rStyle w:val="CharSectno"/>
        </w:rPr>
        <w:t>10</w:t>
      </w:r>
      <w:r>
        <w:rPr>
          <w:snapToGrid w:val="0"/>
        </w:rPr>
        <w:t>.</w:t>
      </w:r>
      <w:r>
        <w:rPr>
          <w:snapToGrid w:val="0"/>
        </w:rPr>
        <w:tab/>
        <w:t>Claims against Fidelity Guarantee Account</w:t>
      </w:r>
      <w:bookmarkEnd w:id="21"/>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22" w:name="_Toc271722268"/>
      <w:r>
        <w:rPr>
          <w:rStyle w:val="CharSectno"/>
        </w:rPr>
        <w:t>11</w:t>
      </w:r>
      <w:r>
        <w:rPr>
          <w:snapToGrid w:val="0"/>
        </w:rPr>
        <w:t>.</w:t>
      </w:r>
      <w:r>
        <w:rPr>
          <w:snapToGrid w:val="0"/>
        </w:rPr>
        <w:tab/>
        <w:t>Documents that real estate settlement agent may draw etc.</w:t>
      </w:r>
      <w:bookmarkEnd w:id="22"/>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23" w:name="_Toc271722269"/>
      <w:r>
        <w:rPr>
          <w:rStyle w:val="CharSectno"/>
        </w:rPr>
        <w:t>12</w:t>
      </w:r>
      <w:r>
        <w:rPr>
          <w:snapToGrid w:val="0"/>
        </w:rPr>
        <w:t>.</w:t>
      </w:r>
      <w:r>
        <w:rPr>
          <w:snapToGrid w:val="0"/>
        </w:rPr>
        <w:tab/>
        <w:t>Documents that business settlement agent may draw etc.</w:t>
      </w:r>
      <w:bookmarkEnd w:id="23"/>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24" w:name="_Toc271722270"/>
      <w:r>
        <w:rPr>
          <w:rStyle w:val="CharSectno"/>
        </w:rPr>
        <w:t>12A</w:t>
      </w:r>
      <w:r>
        <w:rPr>
          <w:snapToGrid w:val="0"/>
        </w:rPr>
        <w:t>.</w:t>
      </w:r>
      <w:r>
        <w:rPr>
          <w:snapToGrid w:val="0"/>
        </w:rPr>
        <w:tab/>
        <w:t>Power of attorney</w:t>
      </w:r>
      <w:bookmarkEnd w:id="24"/>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25" w:name="_Toc271722271"/>
      <w:r>
        <w:rPr>
          <w:rStyle w:val="CharSectno"/>
        </w:rPr>
        <w:t>13</w:t>
      </w:r>
      <w:r>
        <w:rPr>
          <w:snapToGrid w:val="0"/>
        </w:rPr>
        <w:t>.</w:t>
      </w:r>
      <w:r>
        <w:rPr>
          <w:snapToGrid w:val="0"/>
        </w:rPr>
        <w:tab/>
        <w:t>Warning notice by certain exempted persons</w:t>
      </w:r>
      <w:bookmarkEnd w:id="25"/>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26" w:name="_Toc271722272"/>
      <w:r>
        <w:rPr>
          <w:rStyle w:val="CharSectno"/>
        </w:rPr>
        <w:t>14</w:t>
      </w:r>
      <w:r>
        <w:rPr>
          <w:snapToGrid w:val="0"/>
        </w:rPr>
        <w:t>.</w:t>
      </w:r>
      <w:r>
        <w:rPr>
          <w:snapToGrid w:val="0"/>
        </w:rPr>
        <w:tab/>
        <w:t>Absence of licensee</w:t>
      </w:r>
      <w:bookmarkEnd w:id="26"/>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 Board,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The Board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Board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where the business is to be conducted by another person, if the Board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Board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[Regulation 14 inserted in Gazette 30 Mar 1984 p. 910; Erratum in Gazette 6 Apr 1984 p. 998.]</w:t>
      </w:r>
    </w:p>
    <w:p>
      <w:pPr>
        <w:pStyle w:val="Heading5"/>
      </w:pPr>
      <w:bookmarkStart w:id="27" w:name="_Toc271722273"/>
      <w:r>
        <w:rPr>
          <w:rStyle w:val="CharSectno"/>
        </w:rPr>
        <w:t>15</w:t>
      </w:r>
      <w:r>
        <w:t>.</w:t>
      </w:r>
      <w:r>
        <w:tab/>
        <w:t>Infringement notices</w:t>
      </w:r>
      <w:bookmarkEnd w:id="27"/>
    </w:p>
    <w:p>
      <w:pPr>
        <w:pStyle w:val="Subsection"/>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p>
    <w:p>
      <w:pPr>
        <w:pStyle w:val="Subsection"/>
      </w:pPr>
      <w:r>
        <w:tab/>
        <w:t>(3)</w:t>
      </w:r>
      <w:r>
        <w:tab/>
        <w:t xml:space="preserve">The Board may, in writing, appoint persons or classes of persons to be authorised officers or approved officers for the purposes of Part 2 of the </w:t>
      </w:r>
      <w:r>
        <w:rPr>
          <w:i/>
        </w:rPr>
        <w:t>Criminal Procedure Act 2004</w:t>
      </w:r>
      <w:r>
        <w:t>.</w:t>
      </w:r>
    </w:p>
    <w:p>
      <w:pPr>
        <w:pStyle w:val="Subsection"/>
      </w:pPr>
      <w:r>
        <w:tab/>
        <w:t>(4)</w:t>
      </w:r>
      <w:r>
        <w:tab/>
        <w:t>The Board is to issue to each authorised officer a certificate, badge or identity card identifying the officer as a person authorised to issue infringement notices.</w:t>
      </w:r>
    </w:p>
    <w:p>
      <w:pPr>
        <w:pStyle w:val="Footnotesection"/>
      </w:pPr>
      <w:r>
        <w:tab/>
        <w:t>[Regulation 15 inserted in Gazette 22 Sep 2006 p. 4131; amended in Gazette 23 Dec 2008 p. 5469</w:t>
      </w:r>
      <w:r>
        <w:noBreakHyphen/>
        <w:t>70.]</w:t>
      </w:r>
    </w:p>
    <w:p>
      <w:pPr>
        <w:pStyle w:val="Heading5"/>
      </w:pPr>
      <w:bookmarkStart w:id="28" w:name="_Toc271722274"/>
      <w:r>
        <w:rPr>
          <w:rStyle w:val="CharSectno"/>
        </w:rPr>
        <w:t>16</w:t>
      </w:r>
      <w:r>
        <w:t>.</w:t>
      </w:r>
      <w:r>
        <w:tab/>
        <w:t>Forms</w:t>
      </w:r>
      <w:bookmarkEnd w:id="28"/>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29" w:name="_Toc233704934"/>
      <w:bookmarkStart w:id="30" w:name="_Toc265671443"/>
      <w:bookmarkStart w:id="31" w:name="_Toc267993851"/>
      <w:bookmarkStart w:id="32" w:name="_Toc268001319"/>
      <w:bookmarkStart w:id="33" w:name="_Toc269710840"/>
      <w:bookmarkStart w:id="34" w:name="_Toc269711357"/>
      <w:bookmarkStart w:id="35" w:name="_Toc269712517"/>
      <w:bookmarkStart w:id="36" w:name="_Toc269712561"/>
      <w:bookmarkStart w:id="37" w:name="_Toc271722275"/>
      <w:bookmarkStart w:id="38" w:name="_Toc189887856"/>
      <w:bookmarkStart w:id="39" w:name="_Toc191098782"/>
      <w:r>
        <w:rPr>
          <w:rStyle w:val="CharSchNo"/>
        </w:rPr>
        <w:t>Schedule 1</w:t>
      </w:r>
      <w:r>
        <w:rPr>
          <w:b w:val="0"/>
        </w:rPr>
        <w:t> </w:t>
      </w:r>
      <w:r>
        <w:t>—</w:t>
      </w:r>
      <w:r>
        <w:rPr>
          <w:b w:val="0"/>
        </w:rPr>
        <w:t> </w:t>
      </w:r>
      <w:r>
        <w:rPr>
          <w:rStyle w:val="CharSchText"/>
        </w:rPr>
        <w:t>Fees</w:t>
      </w:r>
      <w:bookmarkEnd w:id="29"/>
      <w:bookmarkEnd w:id="30"/>
      <w:bookmarkEnd w:id="31"/>
      <w:bookmarkEnd w:id="32"/>
      <w:bookmarkEnd w:id="33"/>
      <w:bookmarkEnd w:id="34"/>
      <w:bookmarkEnd w:id="35"/>
      <w:bookmarkEnd w:id="36"/>
      <w:bookmarkEnd w:id="37"/>
    </w:p>
    <w:p>
      <w:pPr>
        <w:pStyle w:val="yShoulderClause"/>
      </w:pPr>
      <w:r>
        <w:t>[r. 4 and 4A]</w:t>
      </w:r>
    </w:p>
    <w:p>
      <w:pPr>
        <w:pStyle w:val="yFootnoteheading"/>
        <w:spacing w:after="60"/>
      </w:pPr>
      <w:r>
        <w:tab/>
        <w:t>[Heading inserted in Gazette 23 Jun 2009 p. 2455.]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387"/>
        <w:gridCol w:w="1098"/>
      </w:tblGrid>
      <w:tr>
        <w:trPr>
          <w:tblHeader/>
        </w:trPr>
        <w:tc>
          <w:tcPr>
            <w:tcW w:w="709" w:type="dxa"/>
          </w:tcPr>
          <w:p>
            <w:pPr>
              <w:pStyle w:val="yTableNAm"/>
              <w:jc w:val="center"/>
              <w:rPr>
                <w:b/>
                <w:bCs/>
              </w:rPr>
            </w:pPr>
            <w:r>
              <w:rPr>
                <w:b/>
                <w:bCs/>
              </w:rPr>
              <w:t>Item</w:t>
            </w:r>
          </w:p>
        </w:tc>
        <w:tc>
          <w:tcPr>
            <w:tcW w:w="5387" w:type="dxa"/>
          </w:tcPr>
          <w:p>
            <w:pPr>
              <w:pStyle w:val="yTableNAm"/>
              <w:tabs>
                <w:tab w:val="left" w:leader="dot" w:pos="5171"/>
              </w:tabs>
              <w:jc w:val="center"/>
              <w:rPr>
                <w:b/>
                <w:bCs/>
              </w:rPr>
            </w:pPr>
            <w:r>
              <w:rPr>
                <w:b/>
                <w:bCs/>
              </w:rPr>
              <w:t>Type of fee</w:t>
            </w:r>
          </w:p>
        </w:tc>
        <w:tc>
          <w:tcPr>
            <w:tcW w:w="1098" w:type="dxa"/>
          </w:tcPr>
          <w:p>
            <w:pPr>
              <w:pStyle w:val="yTableNAm"/>
              <w:tabs>
                <w:tab w:val="clear" w:pos="567"/>
              </w:tabs>
              <w:ind w:right="126"/>
              <w:jc w:val="center"/>
              <w:rPr>
                <w:b/>
                <w:bCs/>
              </w:rPr>
            </w:pPr>
            <w:r>
              <w:rPr>
                <w:b/>
                <w:bCs/>
              </w:rPr>
              <w:t>Fee</w:t>
            </w:r>
          </w:p>
        </w:tc>
      </w:tr>
      <w:tr>
        <w:tc>
          <w:tcPr>
            <w:tcW w:w="709" w:type="dxa"/>
          </w:tcPr>
          <w:p>
            <w:pPr>
              <w:pStyle w:val="yTableNAm"/>
            </w:pPr>
            <w:r>
              <w:t>1.</w:t>
            </w:r>
          </w:p>
        </w:tc>
        <w:tc>
          <w:tcPr>
            <w:tcW w:w="5387" w:type="dxa"/>
          </w:tcPr>
          <w:p>
            <w:pPr>
              <w:pStyle w:val="yTableNAm"/>
              <w:tabs>
                <w:tab w:val="left" w:leader="dot" w:pos="5171"/>
              </w:tabs>
            </w:pPr>
            <w:r>
              <w:t xml:space="preserve">Grant of licence (including a triennial certificate) to a natural person </w:t>
            </w:r>
            <w:r>
              <w:tab/>
            </w:r>
          </w:p>
        </w:tc>
        <w:tc>
          <w:tcPr>
            <w:tcW w:w="1098" w:type="dxa"/>
          </w:tcPr>
          <w:p>
            <w:pPr>
              <w:pStyle w:val="yTableNAm"/>
              <w:tabs>
                <w:tab w:val="clear" w:pos="567"/>
              </w:tabs>
              <w:ind w:right="126"/>
              <w:jc w:val="right"/>
            </w:pPr>
            <w:r>
              <w:br/>
              <w:t>$668.00</w:t>
            </w:r>
          </w:p>
        </w:tc>
      </w:tr>
      <w:tr>
        <w:tc>
          <w:tcPr>
            <w:tcW w:w="709" w:type="dxa"/>
          </w:tcPr>
          <w:p>
            <w:pPr>
              <w:pStyle w:val="yTableNAm"/>
            </w:pPr>
            <w:r>
              <w:t>2.</w:t>
            </w:r>
          </w:p>
        </w:tc>
        <w:tc>
          <w:tcPr>
            <w:tcW w:w="5387" w:type="dxa"/>
          </w:tcPr>
          <w:p>
            <w:pPr>
              <w:pStyle w:val="yTableNAm"/>
              <w:tabs>
                <w:tab w:val="left" w:leader="dot" w:pos="5171"/>
              </w:tabs>
            </w:pPr>
            <w:r>
              <w:t>Grant of licence (including a triennial certificate) to</w:t>
            </w:r>
            <w:r>
              <w:br/>
              <w:t xml:space="preserve">a firm </w:t>
            </w:r>
            <w:r>
              <w:tab/>
            </w:r>
          </w:p>
        </w:tc>
        <w:tc>
          <w:tcPr>
            <w:tcW w:w="1098" w:type="dxa"/>
          </w:tcPr>
          <w:p>
            <w:pPr>
              <w:pStyle w:val="yTableNAm"/>
              <w:tabs>
                <w:tab w:val="clear" w:pos="567"/>
              </w:tabs>
              <w:ind w:right="126"/>
              <w:jc w:val="right"/>
            </w:pPr>
            <w:r>
              <w:br/>
              <w:t>$874.00</w:t>
            </w:r>
          </w:p>
        </w:tc>
      </w:tr>
      <w:tr>
        <w:tc>
          <w:tcPr>
            <w:tcW w:w="709" w:type="dxa"/>
          </w:tcPr>
          <w:p>
            <w:pPr>
              <w:pStyle w:val="yTableNAm"/>
            </w:pPr>
            <w:r>
              <w:t>3.</w:t>
            </w:r>
          </w:p>
        </w:tc>
        <w:tc>
          <w:tcPr>
            <w:tcW w:w="5387" w:type="dxa"/>
          </w:tcPr>
          <w:p>
            <w:pPr>
              <w:pStyle w:val="yTableNAm"/>
              <w:tabs>
                <w:tab w:val="left" w:leader="dot" w:pos="5171"/>
              </w:tabs>
            </w:pPr>
            <w:r>
              <w:t xml:space="preserve">Grant of licence (including a triennial certificate) to a body corporate </w:t>
            </w:r>
            <w:r>
              <w:tab/>
            </w:r>
          </w:p>
        </w:tc>
        <w:tc>
          <w:tcPr>
            <w:tcW w:w="1098" w:type="dxa"/>
          </w:tcPr>
          <w:p>
            <w:pPr>
              <w:pStyle w:val="yTableNAm"/>
              <w:tabs>
                <w:tab w:val="clear" w:pos="567"/>
              </w:tabs>
              <w:ind w:right="126"/>
              <w:jc w:val="right"/>
            </w:pPr>
            <w:r>
              <w:br/>
              <w:t>$874.00</w:t>
            </w:r>
          </w:p>
        </w:tc>
      </w:tr>
      <w:tr>
        <w:tc>
          <w:tcPr>
            <w:tcW w:w="709" w:type="dxa"/>
          </w:tcPr>
          <w:p>
            <w:pPr>
              <w:pStyle w:val="yTableNAm"/>
            </w:pPr>
            <w:r>
              <w:t>4.</w:t>
            </w:r>
          </w:p>
        </w:tc>
        <w:tc>
          <w:tcPr>
            <w:tcW w:w="5387" w:type="dxa"/>
          </w:tcPr>
          <w:p>
            <w:pPr>
              <w:pStyle w:val="yTableNAm"/>
              <w:tabs>
                <w:tab w:val="left" w:leader="dot" w:pos="5171"/>
              </w:tabs>
            </w:pPr>
            <w:r>
              <w:t xml:space="preserve">Renewal of triennial certificate </w:t>
            </w:r>
            <w:r>
              <w:tab/>
            </w:r>
          </w:p>
        </w:tc>
        <w:tc>
          <w:tcPr>
            <w:tcW w:w="1098" w:type="dxa"/>
          </w:tcPr>
          <w:p>
            <w:pPr>
              <w:pStyle w:val="yTableNAm"/>
              <w:tabs>
                <w:tab w:val="clear" w:pos="567"/>
              </w:tabs>
              <w:ind w:right="126"/>
              <w:jc w:val="right"/>
            </w:pPr>
            <w:r>
              <w:t>$430.00</w:t>
            </w:r>
          </w:p>
        </w:tc>
      </w:tr>
      <w:tr>
        <w:tc>
          <w:tcPr>
            <w:tcW w:w="709" w:type="dxa"/>
          </w:tcPr>
          <w:p>
            <w:pPr>
              <w:pStyle w:val="yTableNAm"/>
            </w:pPr>
            <w:r>
              <w:t>5.</w:t>
            </w:r>
          </w:p>
        </w:tc>
        <w:tc>
          <w:tcPr>
            <w:tcW w:w="5387" w:type="dxa"/>
          </w:tcPr>
          <w:p>
            <w:pPr>
              <w:pStyle w:val="yTableNAm"/>
              <w:tabs>
                <w:tab w:val="left" w:leader="dot" w:pos="5171"/>
              </w:tabs>
            </w:pPr>
            <w:r>
              <w:t xml:space="preserve">Inspection of register </w:t>
            </w:r>
            <w:r>
              <w:tab/>
            </w:r>
          </w:p>
        </w:tc>
        <w:tc>
          <w:tcPr>
            <w:tcW w:w="1098" w:type="dxa"/>
          </w:tcPr>
          <w:p>
            <w:pPr>
              <w:pStyle w:val="yTableNAm"/>
              <w:tabs>
                <w:tab w:val="clear" w:pos="567"/>
              </w:tabs>
              <w:ind w:right="126"/>
              <w:jc w:val="right"/>
            </w:pPr>
            <w:r>
              <w:t>$10.00</w:t>
            </w:r>
          </w:p>
        </w:tc>
      </w:tr>
      <w:tr>
        <w:tc>
          <w:tcPr>
            <w:tcW w:w="709" w:type="dxa"/>
          </w:tcPr>
          <w:p>
            <w:pPr>
              <w:pStyle w:val="yTableNAm"/>
            </w:pPr>
            <w:r>
              <w:t>6.</w:t>
            </w:r>
          </w:p>
        </w:tc>
        <w:tc>
          <w:tcPr>
            <w:tcW w:w="5387" w:type="dxa"/>
          </w:tcPr>
          <w:p>
            <w:pPr>
              <w:pStyle w:val="yTableNAm"/>
              <w:tabs>
                <w:tab w:val="left" w:leader="dot" w:pos="5171"/>
              </w:tabs>
            </w:pPr>
            <w:r>
              <w:t xml:space="preserve">Certificate as to an individual registration — </w:t>
            </w:r>
          </w:p>
          <w:p>
            <w:pPr>
              <w:pStyle w:val="yTableNAm"/>
              <w:tabs>
                <w:tab w:val="left" w:leader="dot" w:pos="5171"/>
              </w:tabs>
            </w:pPr>
            <w:r>
              <w:tab/>
              <w:t xml:space="preserve">first page </w:t>
            </w:r>
            <w:r>
              <w:tab/>
            </w:r>
          </w:p>
          <w:p>
            <w:pPr>
              <w:pStyle w:val="yTableNAm"/>
              <w:tabs>
                <w:tab w:val="left" w:leader="dot" w:pos="5171"/>
              </w:tabs>
            </w:pPr>
            <w:r>
              <w:tab/>
              <w:t xml:space="preserve">each subsequence page </w:t>
            </w:r>
            <w:r>
              <w:tab/>
            </w:r>
          </w:p>
        </w:tc>
        <w:tc>
          <w:tcPr>
            <w:tcW w:w="1098" w:type="dxa"/>
          </w:tcPr>
          <w:p>
            <w:pPr>
              <w:pStyle w:val="yTableNAm"/>
              <w:tabs>
                <w:tab w:val="clear" w:pos="567"/>
              </w:tabs>
              <w:ind w:right="126"/>
              <w:jc w:val="right"/>
            </w:pPr>
          </w:p>
          <w:p>
            <w:pPr>
              <w:pStyle w:val="yTableNAm"/>
              <w:tabs>
                <w:tab w:val="clear" w:pos="567"/>
              </w:tabs>
              <w:ind w:right="126"/>
              <w:jc w:val="right"/>
            </w:pPr>
            <w:r>
              <w:t>$20.00</w:t>
            </w:r>
          </w:p>
          <w:p>
            <w:pPr>
              <w:pStyle w:val="yTableNAm"/>
              <w:tabs>
                <w:tab w:val="clear" w:pos="567"/>
              </w:tabs>
              <w:ind w:right="126"/>
              <w:jc w:val="right"/>
            </w:pPr>
            <w:r>
              <w:t>$2.00</w:t>
            </w:r>
          </w:p>
        </w:tc>
      </w:tr>
      <w:tr>
        <w:tc>
          <w:tcPr>
            <w:tcW w:w="709" w:type="dxa"/>
          </w:tcPr>
          <w:p>
            <w:pPr>
              <w:pStyle w:val="yTableNAm"/>
            </w:pPr>
            <w:r>
              <w:t>7.</w:t>
            </w:r>
          </w:p>
        </w:tc>
        <w:tc>
          <w:tcPr>
            <w:tcW w:w="5387" w:type="dxa"/>
          </w:tcPr>
          <w:p>
            <w:pPr>
              <w:pStyle w:val="yTableNAm"/>
              <w:tabs>
                <w:tab w:val="left" w:leader="dot" w:pos="5171"/>
              </w:tabs>
            </w:pPr>
            <w:r>
              <w:t xml:space="preserve">Certificate as to all registrations in register </w:t>
            </w:r>
            <w:r>
              <w:tab/>
            </w:r>
          </w:p>
        </w:tc>
        <w:tc>
          <w:tcPr>
            <w:tcW w:w="1098" w:type="dxa"/>
          </w:tcPr>
          <w:p>
            <w:pPr>
              <w:pStyle w:val="yTableNAm"/>
              <w:tabs>
                <w:tab w:val="clear" w:pos="567"/>
              </w:tabs>
              <w:ind w:right="126"/>
              <w:jc w:val="right"/>
            </w:pPr>
            <w:r>
              <w:t>$143.00</w:t>
            </w:r>
          </w:p>
        </w:tc>
      </w:tr>
      <w:tr>
        <w:tc>
          <w:tcPr>
            <w:tcW w:w="709" w:type="dxa"/>
          </w:tcPr>
          <w:p>
            <w:pPr>
              <w:pStyle w:val="yTableNAm"/>
            </w:pPr>
            <w:r>
              <w:t>8.</w:t>
            </w:r>
          </w:p>
        </w:tc>
        <w:tc>
          <w:tcPr>
            <w:tcW w:w="5387" w:type="dxa"/>
          </w:tcPr>
          <w:p>
            <w:pPr>
              <w:pStyle w:val="yTableNAm"/>
              <w:tabs>
                <w:tab w:val="left" w:leader="dot" w:pos="5171"/>
              </w:tabs>
            </w:pPr>
            <w:r>
              <w:t xml:space="preserve">For the purposes of section 30(3a) (the holding fee) </w:t>
            </w:r>
            <w:r>
              <w:tab/>
            </w:r>
          </w:p>
        </w:tc>
        <w:tc>
          <w:tcPr>
            <w:tcW w:w="1098" w:type="dxa"/>
          </w:tcPr>
          <w:p>
            <w:pPr>
              <w:pStyle w:val="yTableNAm"/>
              <w:tabs>
                <w:tab w:val="clear" w:pos="567"/>
              </w:tabs>
              <w:ind w:right="126"/>
              <w:jc w:val="right"/>
            </w:pPr>
            <w:r>
              <w:t>$202.00</w:t>
            </w:r>
          </w:p>
        </w:tc>
      </w:tr>
    </w:tbl>
    <w:p>
      <w:pPr>
        <w:pStyle w:val="yFootnotesection"/>
      </w:pPr>
      <w:r>
        <w:tab/>
        <w:t>[Schedule 1 inserted in Gazette 23 Jun 2009 p. 2455</w:t>
      </w:r>
      <w:r>
        <w:noBreakHyphen/>
        <w:t>6; amended in Gazette 25 Jun 2010 p. 2853.]</w:t>
      </w:r>
    </w:p>
    <w:p>
      <w:pPr>
        <w:pStyle w:val="yScheduleHeading"/>
      </w:pPr>
      <w:bookmarkStart w:id="40" w:name="_Toc233704935"/>
      <w:bookmarkStart w:id="41" w:name="_Toc265671444"/>
      <w:bookmarkStart w:id="42" w:name="_Toc267993852"/>
      <w:bookmarkStart w:id="43" w:name="_Toc268001320"/>
      <w:bookmarkStart w:id="44" w:name="_Toc269710841"/>
      <w:bookmarkStart w:id="45" w:name="_Toc269711358"/>
      <w:bookmarkStart w:id="46" w:name="_Toc269712518"/>
      <w:bookmarkStart w:id="47" w:name="_Toc269712562"/>
      <w:bookmarkStart w:id="48" w:name="_Toc271722276"/>
      <w:r>
        <w:rPr>
          <w:rStyle w:val="CharSchNo"/>
        </w:rPr>
        <w:t>Schedule 1A</w:t>
      </w:r>
      <w:r>
        <w:rPr>
          <w:rStyle w:val="CharSDivNo"/>
        </w:rPr>
        <w:t> </w:t>
      </w:r>
      <w:r>
        <w:t>—</w:t>
      </w:r>
      <w:r>
        <w:rPr>
          <w:rStyle w:val="CharSDivText"/>
        </w:rPr>
        <w:t> </w:t>
      </w:r>
      <w:r>
        <w:rPr>
          <w:rStyle w:val="CharSchText"/>
        </w:rPr>
        <w:t>Professional development subjects</w:t>
      </w:r>
      <w:bookmarkEnd w:id="38"/>
      <w:bookmarkEnd w:id="39"/>
      <w:bookmarkEnd w:id="40"/>
      <w:bookmarkEnd w:id="41"/>
      <w:bookmarkEnd w:id="42"/>
      <w:bookmarkEnd w:id="43"/>
      <w:bookmarkEnd w:id="44"/>
      <w:bookmarkEnd w:id="45"/>
      <w:bookmarkEnd w:id="46"/>
      <w:bookmarkEnd w:id="47"/>
      <w:bookmarkEnd w:id="48"/>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49" w:name="_Toc189887857"/>
      <w:bookmarkStart w:id="50" w:name="_Toc191098783"/>
      <w:bookmarkStart w:id="51" w:name="_Toc233704936"/>
      <w:bookmarkStart w:id="52" w:name="_Toc265671445"/>
      <w:bookmarkStart w:id="53" w:name="_Toc267993853"/>
      <w:bookmarkStart w:id="54" w:name="_Toc268001321"/>
      <w:bookmarkStart w:id="55" w:name="_Toc269710842"/>
      <w:bookmarkStart w:id="56" w:name="_Toc269711359"/>
      <w:bookmarkStart w:id="57" w:name="_Toc269712519"/>
      <w:bookmarkStart w:id="58" w:name="_Toc269712563"/>
      <w:bookmarkStart w:id="59" w:name="_Toc271722277"/>
      <w:r>
        <w:rPr>
          <w:rStyle w:val="CharSchNo"/>
        </w:rPr>
        <w:t>Schedule 2</w:t>
      </w:r>
      <w:r>
        <w:t> — </w:t>
      </w:r>
      <w:r>
        <w:rPr>
          <w:rStyle w:val="CharSchText"/>
        </w:rPr>
        <w:t>Notice under section 26A or 26B of the Act</w:t>
      </w:r>
      <w:bookmarkEnd w:id="49"/>
      <w:bookmarkEnd w:id="50"/>
      <w:bookmarkEnd w:id="51"/>
      <w:bookmarkEnd w:id="52"/>
      <w:bookmarkEnd w:id="53"/>
      <w:bookmarkEnd w:id="54"/>
      <w:bookmarkEnd w:id="55"/>
      <w:bookmarkEnd w:id="56"/>
      <w:bookmarkEnd w:id="57"/>
      <w:bookmarkEnd w:id="58"/>
      <w:bookmarkEnd w:id="59"/>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60" w:name="_Toc189887858"/>
      <w:bookmarkStart w:id="61" w:name="_Toc191098784"/>
      <w:bookmarkStart w:id="62" w:name="_Toc233704937"/>
      <w:bookmarkStart w:id="63" w:name="_Toc265671446"/>
      <w:bookmarkStart w:id="64" w:name="_Toc267993854"/>
      <w:bookmarkStart w:id="65" w:name="_Toc268001322"/>
      <w:bookmarkStart w:id="66" w:name="_Toc269710843"/>
      <w:bookmarkStart w:id="67" w:name="_Toc269711360"/>
      <w:bookmarkStart w:id="68" w:name="_Toc269712520"/>
      <w:bookmarkStart w:id="69" w:name="_Toc269712564"/>
      <w:bookmarkStart w:id="70" w:name="_Toc271722278"/>
      <w:r>
        <w:rPr>
          <w:rStyle w:val="CharSchNo"/>
        </w:rPr>
        <w:t>Schedule 3</w:t>
      </w:r>
      <w:r>
        <w:t> — </w:t>
      </w:r>
      <w:r>
        <w:rPr>
          <w:rStyle w:val="CharSchText"/>
        </w:rPr>
        <w:t>Documents that a real estate settlement agent may draw or prepare</w:t>
      </w:r>
      <w:bookmarkEnd w:id="60"/>
      <w:bookmarkEnd w:id="61"/>
      <w:bookmarkEnd w:id="62"/>
      <w:bookmarkEnd w:id="63"/>
      <w:bookmarkEnd w:id="64"/>
      <w:bookmarkEnd w:id="65"/>
      <w:bookmarkEnd w:id="66"/>
      <w:bookmarkEnd w:id="67"/>
      <w:bookmarkEnd w:id="68"/>
      <w:bookmarkEnd w:id="69"/>
      <w:bookmarkEnd w:id="70"/>
    </w:p>
    <w:p>
      <w:pPr>
        <w:pStyle w:val="yFootnoteheading"/>
      </w:pPr>
      <w:r>
        <w:tab/>
        <w:t>[Heading inserted in Gazette 23 May 1997 p. 2421.]</w:t>
      </w:r>
    </w:p>
    <w:p>
      <w:pPr>
        <w:pStyle w:val="yShoulderClause"/>
        <w:rPr>
          <w:snapToGrid w:val="0"/>
        </w:rPr>
      </w:pPr>
      <w:r>
        <w:rPr>
          <w:snapToGrid w:val="0"/>
        </w:rPr>
        <w:t>[Reg. 11]</w:t>
      </w:r>
    </w:p>
    <w:p>
      <w:pPr>
        <w:pStyle w:val="yHeading3"/>
        <w:rPr>
          <w:snapToGrid w:val="0"/>
        </w:rPr>
      </w:pPr>
      <w:bookmarkStart w:id="71" w:name="_Toc189887859"/>
      <w:bookmarkStart w:id="72" w:name="_Toc191098785"/>
      <w:bookmarkStart w:id="73" w:name="_Toc233704938"/>
      <w:bookmarkStart w:id="74" w:name="_Toc265671447"/>
      <w:bookmarkStart w:id="75" w:name="_Toc267993855"/>
      <w:bookmarkStart w:id="76" w:name="_Toc268001323"/>
      <w:bookmarkStart w:id="77" w:name="_Toc269710844"/>
      <w:bookmarkStart w:id="78" w:name="_Toc269711361"/>
      <w:bookmarkStart w:id="79" w:name="_Toc269712521"/>
      <w:bookmarkStart w:id="80" w:name="_Toc269712565"/>
      <w:bookmarkStart w:id="81" w:name="_Toc271722279"/>
      <w:r>
        <w:rPr>
          <w:rStyle w:val="CharSDivNo"/>
        </w:rPr>
        <w:t>Part A</w:t>
      </w:r>
      <w:r>
        <w:rPr>
          <w:snapToGrid w:val="0"/>
        </w:rPr>
        <w:t> — </w:t>
      </w:r>
      <w:r>
        <w:rPr>
          <w:rStyle w:val="CharSDivText"/>
        </w:rPr>
        <w:t>Offer and acceptance</w:t>
      </w:r>
      <w:bookmarkEnd w:id="71"/>
      <w:bookmarkEnd w:id="72"/>
      <w:bookmarkEnd w:id="73"/>
      <w:bookmarkEnd w:id="74"/>
      <w:bookmarkEnd w:id="75"/>
      <w:bookmarkEnd w:id="76"/>
      <w:bookmarkEnd w:id="77"/>
      <w:bookmarkEnd w:id="78"/>
      <w:bookmarkEnd w:id="79"/>
      <w:bookmarkEnd w:id="80"/>
      <w:bookmarkEnd w:id="81"/>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82" w:name="_Toc189887860"/>
      <w:bookmarkStart w:id="83" w:name="_Toc191098786"/>
      <w:bookmarkStart w:id="84" w:name="_Toc233704939"/>
      <w:bookmarkStart w:id="85" w:name="_Toc265671448"/>
      <w:bookmarkStart w:id="86" w:name="_Toc267993856"/>
      <w:bookmarkStart w:id="87" w:name="_Toc268001324"/>
      <w:bookmarkStart w:id="88" w:name="_Toc269710845"/>
      <w:bookmarkStart w:id="89" w:name="_Toc269711362"/>
      <w:bookmarkStart w:id="90" w:name="_Toc269712522"/>
      <w:bookmarkStart w:id="91" w:name="_Toc269712566"/>
      <w:bookmarkStart w:id="92" w:name="_Toc271722280"/>
      <w:r>
        <w:rPr>
          <w:rStyle w:val="CharSDivNo"/>
        </w:rPr>
        <w:t>Part B</w:t>
      </w:r>
      <w:r>
        <w:rPr>
          <w:snapToGrid w:val="0"/>
        </w:rPr>
        <w:t> — </w:t>
      </w:r>
      <w:r>
        <w:rPr>
          <w:rStyle w:val="CharSDivText"/>
        </w:rPr>
        <w:t>Requisitions on title</w:t>
      </w:r>
      <w:bookmarkEnd w:id="82"/>
      <w:bookmarkEnd w:id="83"/>
      <w:bookmarkEnd w:id="84"/>
      <w:bookmarkEnd w:id="85"/>
      <w:bookmarkEnd w:id="86"/>
      <w:bookmarkEnd w:id="87"/>
      <w:bookmarkEnd w:id="88"/>
      <w:bookmarkEnd w:id="89"/>
      <w:bookmarkEnd w:id="90"/>
      <w:bookmarkEnd w:id="91"/>
      <w:bookmarkEnd w:id="92"/>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93" w:name="_Toc189887861"/>
      <w:bookmarkStart w:id="94" w:name="_Toc191098787"/>
      <w:bookmarkStart w:id="95" w:name="_Toc233704940"/>
      <w:bookmarkStart w:id="96" w:name="_Toc265671449"/>
      <w:bookmarkStart w:id="97" w:name="_Toc267993857"/>
      <w:bookmarkStart w:id="98" w:name="_Toc268001325"/>
      <w:bookmarkStart w:id="99" w:name="_Toc269710846"/>
      <w:bookmarkStart w:id="100" w:name="_Toc269711363"/>
      <w:bookmarkStart w:id="101" w:name="_Toc269712523"/>
      <w:bookmarkStart w:id="102" w:name="_Toc269712567"/>
      <w:bookmarkStart w:id="103" w:name="_Toc271722281"/>
      <w:r>
        <w:rPr>
          <w:rStyle w:val="CharSDivNo"/>
        </w:rPr>
        <w:t>Part C</w:t>
      </w:r>
      <w:r>
        <w:rPr>
          <w:snapToGrid w:val="0"/>
        </w:rPr>
        <w:t> — </w:t>
      </w:r>
      <w:r>
        <w:rPr>
          <w:rStyle w:val="CharSDivText"/>
        </w:rPr>
        <w:t>Documents for registration or lodgement</w:t>
      </w:r>
      <w:bookmarkEnd w:id="93"/>
      <w:bookmarkEnd w:id="94"/>
      <w:bookmarkEnd w:id="95"/>
      <w:bookmarkEnd w:id="96"/>
      <w:bookmarkEnd w:id="97"/>
      <w:bookmarkEnd w:id="98"/>
      <w:bookmarkEnd w:id="99"/>
      <w:bookmarkEnd w:id="100"/>
      <w:bookmarkEnd w:id="101"/>
      <w:bookmarkEnd w:id="102"/>
      <w:bookmarkEnd w:id="103"/>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4; amended in Gazette 30 Dec 2004 p. 6927.]</w:t>
      </w:r>
    </w:p>
    <w:p>
      <w:pPr>
        <w:pStyle w:val="yScheduleHeading"/>
      </w:pPr>
      <w:bookmarkStart w:id="104" w:name="_Toc189887862"/>
      <w:bookmarkStart w:id="105" w:name="_Toc191098788"/>
      <w:bookmarkStart w:id="106" w:name="_Toc233704941"/>
      <w:bookmarkStart w:id="107" w:name="_Toc265671450"/>
      <w:bookmarkStart w:id="108" w:name="_Toc267993858"/>
      <w:bookmarkStart w:id="109" w:name="_Toc268001326"/>
      <w:bookmarkStart w:id="110" w:name="_Toc269710847"/>
      <w:bookmarkStart w:id="111" w:name="_Toc269711364"/>
      <w:bookmarkStart w:id="112" w:name="_Toc269712524"/>
      <w:bookmarkStart w:id="113" w:name="_Toc269712568"/>
      <w:bookmarkStart w:id="114" w:name="_Toc271722282"/>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04"/>
      <w:bookmarkEnd w:id="105"/>
      <w:bookmarkEnd w:id="106"/>
      <w:bookmarkEnd w:id="107"/>
      <w:bookmarkEnd w:id="108"/>
      <w:bookmarkEnd w:id="109"/>
      <w:bookmarkEnd w:id="110"/>
      <w:bookmarkEnd w:id="111"/>
      <w:bookmarkEnd w:id="112"/>
      <w:bookmarkEnd w:id="113"/>
      <w:bookmarkEnd w:id="114"/>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[Schedule 4 inserted in Gazette 23 May 1997 p. 2424.]</w:t>
      </w:r>
    </w:p>
    <w:p>
      <w:pPr>
        <w:pStyle w:val="yScheduleHeading"/>
      </w:pPr>
      <w:bookmarkStart w:id="115" w:name="_Toc233704942"/>
      <w:bookmarkStart w:id="116" w:name="_Toc265671451"/>
      <w:bookmarkStart w:id="117" w:name="_Toc267993859"/>
      <w:bookmarkStart w:id="118" w:name="_Toc268001327"/>
      <w:bookmarkStart w:id="119" w:name="_Toc269710848"/>
      <w:bookmarkStart w:id="120" w:name="_Toc269711365"/>
      <w:bookmarkStart w:id="121" w:name="_Toc269712525"/>
      <w:bookmarkStart w:id="122" w:name="_Toc269712569"/>
      <w:bookmarkStart w:id="123" w:name="_Toc271722283"/>
      <w:bookmarkStart w:id="124" w:name="_Toc189887864"/>
      <w:bookmarkStart w:id="125" w:name="_Toc191098790"/>
      <w:r>
        <w:rPr>
          <w:rStyle w:val="CharSchNo"/>
        </w:rPr>
        <w:t>Schedule 5</w:t>
      </w:r>
      <w:r>
        <w:t> — </w:t>
      </w:r>
      <w:r>
        <w:rPr>
          <w:rStyle w:val="CharSchText"/>
        </w:rPr>
        <w:t>Prescribed offences and modified penalties</w:t>
      </w:r>
      <w:bookmarkEnd w:id="115"/>
      <w:bookmarkEnd w:id="116"/>
      <w:bookmarkEnd w:id="117"/>
      <w:bookmarkEnd w:id="118"/>
      <w:bookmarkEnd w:id="119"/>
      <w:bookmarkEnd w:id="120"/>
      <w:bookmarkEnd w:id="121"/>
      <w:bookmarkEnd w:id="122"/>
      <w:bookmarkEnd w:id="123"/>
    </w:p>
    <w:p>
      <w:pPr>
        <w:pStyle w:val="yShoulderClause"/>
      </w:pPr>
      <w:r>
        <w:t>[r. 15]</w:t>
      </w:r>
    </w:p>
    <w:p>
      <w:pPr>
        <w:pStyle w:val="yFootnoteheading"/>
      </w:pPr>
      <w:r>
        <w:tab/>
        <w:t>[Heading inserted in Gazette 23 Dec 2008 p. 5470.]</w:t>
      </w:r>
    </w:p>
    <w:p>
      <w:pPr>
        <w:pStyle w:val="yHeading3"/>
      </w:pPr>
      <w:bookmarkStart w:id="126" w:name="_Toc233704943"/>
      <w:bookmarkStart w:id="127" w:name="_Toc265671452"/>
      <w:bookmarkStart w:id="128" w:name="_Toc267993860"/>
      <w:bookmarkStart w:id="129" w:name="_Toc268001328"/>
      <w:bookmarkStart w:id="130" w:name="_Toc269710849"/>
      <w:bookmarkStart w:id="131" w:name="_Toc269711366"/>
      <w:bookmarkStart w:id="132" w:name="_Toc269712526"/>
      <w:bookmarkStart w:id="133" w:name="_Toc269712570"/>
      <w:bookmarkStart w:id="134" w:name="_Toc271722284"/>
      <w:r>
        <w:rPr>
          <w:rStyle w:val="CharSDivNo"/>
        </w:rPr>
        <w:t>Part 1</w:t>
      </w:r>
      <w:r>
        <w:rPr>
          <w:b w:val="0"/>
        </w:rPr>
        <w:t> — </w:t>
      </w:r>
      <w:r>
        <w:rPr>
          <w:rStyle w:val="CharSDivText"/>
        </w:rPr>
        <w:t>Offences under section 65</w:t>
      </w:r>
      <w:bookmarkEnd w:id="126"/>
      <w:bookmarkEnd w:id="127"/>
      <w:bookmarkEnd w:id="128"/>
      <w:bookmarkEnd w:id="129"/>
      <w:bookmarkEnd w:id="130"/>
      <w:bookmarkEnd w:id="131"/>
      <w:bookmarkEnd w:id="132"/>
      <w:bookmarkEnd w:id="133"/>
      <w:bookmarkEnd w:id="134"/>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135" w:name="_Toc233704944"/>
      <w:bookmarkStart w:id="136" w:name="_Toc265671453"/>
      <w:bookmarkStart w:id="137" w:name="_Toc267993861"/>
      <w:bookmarkStart w:id="138" w:name="_Toc268001329"/>
      <w:bookmarkStart w:id="139" w:name="_Toc269710850"/>
      <w:bookmarkStart w:id="140" w:name="_Toc269711367"/>
      <w:bookmarkStart w:id="141" w:name="_Toc269712527"/>
      <w:bookmarkStart w:id="142" w:name="_Toc269712571"/>
      <w:bookmarkStart w:id="143" w:name="_Toc271722285"/>
      <w:r>
        <w:rPr>
          <w:rStyle w:val="CharSDivNo"/>
        </w:rPr>
        <w:t>Part 2</w:t>
      </w:r>
      <w:r>
        <w:rPr>
          <w:b w:val="0"/>
        </w:rPr>
        <w:t> — </w:t>
      </w:r>
      <w:r>
        <w:rPr>
          <w:rStyle w:val="CharSDivText"/>
        </w:rPr>
        <w:t>Offences under section 120</w:t>
      </w:r>
      <w:bookmarkEnd w:id="135"/>
      <w:bookmarkEnd w:id="136"/>
      <w:bookmarkEnd w:id="137"/>
      <w:bookmarkEnd w:id="138"/>
      <w:bookmarkEnd w:id="139"/>
      <w:bookmarkEnd w:id="140"/>
      <w:bookmarkEnd w:id="141"/>
      <w:bookmarkEnd w:id="142"/>
      <w:bookmarkEnd w:id="143"/>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144" w:name="_Toc233704945"/>
      <w:bookmarkStart w:id="145" w:name="_Toc265671454"/>
      <w:bookmarkStart w:id="146" w:name="_Toc267993862"/>
      <w:bookmarkStart w:id="147" w:name="_Toc268001330"/>
      <w:bookmarkStart w:id="148" w:name="_Toc269710851"/>
      <w:bookmarkStart w:id="149" w:name="_Toc269711368"/>
      <w:bookmarkStart w:id="150" w:name="_Toc269712528"/>
      <w:bookmarkStart w:id="151" w:name="_Toc269712572"/>
      <w:bookmarkStart w:id="152" w:name="_Toc271722286"/>
      <w:r>
        <w:rPr>
          <w:rStyle w:val="CharSchNo"/>
        </w:rPr>
        <w:t>Schedule 6</w:t>
      </w:r>
      <w:r>
        <w:rPr>
          <w:rStyle w:val="CharSDivNo"/>
          <w:sz w:val="28"/>
        </w:rPr>
        <w:t> </w:t>
      </w:r>
      <w:r>
        <w:t>—</w:t>
      </w:r>
      <w:r>
        <w:rPr>
          <w:rStyle w:val="CharSDivText"/>
          <w:sz w:val="28"/>
        </w:rPr>
        <w:t> </w:t>
      </w:r>
      <w:r>
        <w:rPr>
          <w:rStyle w:val="CharSchText"/>
        </w:rPr>
        <w:t>Forms</w:t>
      </w:r>
      <w:bookmarkEnd w:id="124"/>
      <w:bookmarkEnd w:id="125"/>
      <w:bookmarkEnd w:id="144"/>
      <w:bookmarkEnd w:id="145"/>
      <w:bookmarkEnd w:id="146"/>
      <w:bookmarkEnd w:id="147"/>
      <w:bookmarkEnd w:id="148"/>
      <w:bookmarkEnd w:id="149"/>
      <w:bookmarkEnd w:id="150"/>
      <w:bookmarkEnd w:id="151"/>
      <w:bookmarkEnd w:id="152"/>
    </w:p>
    <w:p>
      <w:pPr>
        <w:pStyle w:val="yShoulderClause"/>
        <w:spacing w:before="60"/>
      </w:pPr>
      <w:r>
        <w:t>[r. 16]</w:t>
      </w:r>
    </w:p>
    <w:p>
      <w:pPr>
        <w:pStyle w:val="yFootnoteheading"/>
        <w:spacing w:before="60"/>
      </w:pPr>
      <w:r>
        <w:tab/>
        <w:t>[Heading inserted in Gazette 22 Sep 2006 p. 4132.]</w:t>
      </w:r>
    </w:p>
    <w:p>
      <w:pPr>
        <w:pStyle w:val="yHeading5"/>
        <w:spacing w:after="40"/>
        <w:outlineLvl w:val="9"/>
      </w:pPr>
      <w:bookmarkStart w:id="153" w:name="_Toc271722287"/>
      <w:r>
        <w:t>Form 1 — Infringement notice</w:t>
      </w:r>
      <w:bookmarkEnd w:id="1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Settlement Agents Supervisory Board</w:t>
            </w:r>
          </w:p>
          <w:p>
            <w:pPr>
              <w:pStyle w:val="yTableNAm"/>
              <w:tabs>
                <w:tab w:val="left" w:pos="1114"/>
              </w:tabs>
              <w:spacing w:before="0"/>
              <w:rPr>
                <w:sz w:val="20"/>
              </w:rPr>
            </w:pPr>
            <w:r>
              <w:rPr>
                <w:sz w:val="20"/>
              </w:rPr>
              <w:tab/>
              <w:t>Locked Bag 14  Cloisters Square</w:t>
            </w:r>
          </w:p>
          <w:p>
            <w:pPr>
              <w:pStyle w:val="yTableNAm"/>
              <w:spacing w:before="0"/>
              <w:rPr>
                <w:sz w:val="20"/>
              </w:rPr>
            </w:pPr>
            <w:r>
              <w:rPr>
                <w:sz w:val="20"/>
              </w:rPr>
              <w:tab/>
              <w:t>Perth  WA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tabs>
                <w:tab w:val="left" w:pos="1114"/>
              </w:tabs>
              <w:spacing w:before="0"/>
              <w:rPr>
                <w:sz w:val="20"/>
              </w:rPr>
            </w:pPr>
            <w:r>
              <w:rPr>
                <w:sz w:val="20"/>
              </w:rPr>
              <w:tab/>
              <w:t>Settlement Agents Supervisory Board</w:t>
            </w:r>
          </w:p>
          <w:p>
            <w:pPr>
              <w:pStyle w:val="yTableNAm"/>
              <w:spacing w:before="0"/>
              <w:rPr>
                <w:sz w:val="20"/>
              </w:rPr>
            </w:pPr>
            <w:r>
              <w:rPr>
                <w:sz w:val="20"/>
              </w:rPr>
              <w:tab/>
              <w:t>219 St George’s Terrace,  Perth  WA</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w:t>
      </w:r>
    </w:p>
    <w:p>
      <w:pPr>
        <w:pStyle w:val="yHeading5"/>
        <w:pageBreakBefore/>
        <w:spacing w:after="40"/>
        <w:outlineLvl w:val="9"/>
      </w:pPr>
      <w:bookmarkStart w:id="154" w:name="_Toc271722288"/>
      <w:r>
        <w:t>Form 2 — Withdrawal of infringement notice</w:t>
      </w:r>
      <w:bookmarkEnd w:id="1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Settlement Agents Supervisory Board</w:t>
            </w:r>
          </w:p>
          <w:p>
            <w:pPr>
              <w:pStyle w:val="yTableNAm"/>
              <w:spacing w:before="0"/>
              <w:ind w:left="754"/>
              <w:rPr>
                <w:sz w:val="20"/>
              </w:rPr>
            </w:pPr>
            <w:r>
              <w:rPr>
                <w:sz w:val="20"/>
              </w:rPr>
              <w:t>Locked Bag 14  Cloisters Square</w:t>
            </w:r>
          </w:p>
          <w:p>
            <w:pPr>
              <w:pStyle w:val="yTableNAm"/>
              <w:spacing w:before="0"/>
              <w:ind w:left="754"/>
              <w:rPr>
                <w:sz w:val="20"/>
              </w:rPr>
            </w:pPr>
            <w:r>
              <w:rPr>
                <w:sz w:val="20"/>
              </w:rPr>
              <w:t>Perth  WA  6850</w:t>
            </w:r>
          </w:p>
          <w:p>
            <w:pPr>
              <w:pStyle w:val="yTableNAm"/>
              <w:tabs>
                <w:tab w:val="left" w:pos="3874"/>
                <w:tab w:val="left" w:pos="4594"/>
              </w:tabs>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w:t>
      </w:r>
    </w:p>
    <w:p>
      <w:pPr>
        <w:pStyle w:val="CentredBaseLine"/>
        <w:spacing w:before="120"/>
        <w:jc w:val="center"/>
      </w:pPr>
      <w:bookmarkStart w:id="155" w:name="_Toc189887867"/>
      <w:bookmarkStart w:id="156" w:name="_Toc191098793"/>
      <w:bookmarkStart w:id="157" w:name="_Toc233704948"/>
      <w:bookmarkStart w:id="158" w:name="_Toc265671457"/>
      <w:bookmarkStart w:id="159" w:name="_Toc267993865"/>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60" w:name="_Toc268001333"/>
      <w:bookmarkStart w:id="161" w:name="_Toc269710854"/>
      <w:bookmarkStart w:id="162" w:name="_Toc269711371"/>
      <w:bookmarkStart w:id="163" w:name="_Toc269712531"/>
      <w:bookmarkStart w:id="164" w:name="_Toc269712575"/>
      <w:bookmarkStart w:id="165" w:name="_Toc271722289"/>
      <w:r>
        <w:t>Notes</w:t>
      </w:r>
      <w:bookmarkEnd w:id="155"/>
      <w:bookmarkEnd w:id="156"/>
      <w:bookmarkEnd w:id="157"/>
      <w:bookmarkEnd w:id="158"/>
      <w:bookmarkEnd w:id="159"/>
      <w:bookmarkEnd w:id="160"/>
      <w:bookmarkEnd w:id="161"/>
      <w:bookmarkEnd w:id="162"/>
      <w:bookmarkEnd w:id="163"/>
      <w:bookmarkEnd w:id="164"/>
      <w:bookmarkEnd w:id="165"/>
    </w:p>
    <w:p>
      <w:pPr>
        <w:pStyle w:val="nSubsection"/>
        <w:rPr>
          <w:snapToGrid w:val="0"/>
        </w:rPr>
      </w:pPr>
      <w:r>
        <w:rPr>
          <w:snapToGrid w:val="0"/>
          <w:vertAlign w:val="superscript"/>
        </w:rPr>
        <w:t>1</w:t>
      </w:r>
      <w:r>
        <w:rPr>
          <w:snapToGrid w:val="0"/>
        </w:rPr>
        <w:tab/>
        <w:t xml:space="preserve">This reprint is a compilation as at 20 August 2010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6" w:name="_Toc271722290"/>
      <w:r>
        <w:t>Compilation table</w:t>
      </w:r>
      <w:bookmarkEnd w:id="1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8" w:type="dxa"/>
          </w:tcPr>
          <w:p>
            <w:pPr>
              <w:pStyle w:val="nTable"/>
              <w:spacing w:after="40"/>
              <w:rPr>
                <w:i/>
                <w:sz w:val="19"/>
              </w:rPr>
            </w:pPr>
            <w:r>
              <w:rPr>
                <w:i/>
                <w:sz w:val="19"/>
              </w:rPr>
              <w:t>Settlement Agents Amendment Regulations (No. 3) 2007</w:t>
            </w:r>
          </w:p>
        </w:tc>
        <w:tc>
          <w:tcPr>
            <w:tcW w:w="1276" w:type="dxa"/>
          </w:tcPr>
          <w:p>
            <w:pPr>
              <w:pStyle w:val="nTable"/>
              <w:spacing w:after="40"/>
              <w:rPr>
                <w:sz w:val="19"/>
              </w:rPr>
            </w:pPr>
            <w:r>
              <w:rPr>
                <w:sz w:val="19"/>
              </w:rPr>
              <w:t>26 Oct 2007 p. 5651-2</w:t>
            </w:r>
          </w:p>
        </w:tc>
        <w:tc>
          <w:tcPr>
            <w:tcW w:w="2693" w:type="dxa"/>
          </w:tcPr>
          <w:p>
            <w:pPr>
              <w:pStyle w:val="nTable"/>
              <w:spacing w:after="40"/>
              <w:rPr>
                <w:sz w:val="19"/>
              </w:rPr>
            </w:pPr>
            <w:r>
              <w:rPr>
                <w:sz w:val="19"/>
              </w:rPr>
              <w:t>r. 1 and 2: 26 Oct 2007 (see r. 2(a));</w:t>
            </w:r>
            <w:r>
              <w:rPr>
                <w:sz w:val="19"/>
              </w:rPr>
              <w:br/>
              <w:t>Regulations other than r. 1 and 2: 27 Oct 2007 (see r. 2(b))</w:t>
            </w:r>
          </w:p>
        </w:tc>
      </w:tr>
      <w:tr>
        <w:trPr>
          <w:cantSplit/>
        </w:trPr>
        <w:tc>
          <w:tcPr>
            <w:tcW w:w="3118" w:type="dxa"/>
          </w:tcPr>
          <w:p>
            <w:pPr>
              <w:pStyle w:val="nTable"/>
              <w:spacing w:after="40"/>
              <w:rPr>
                <w:i/>
                <w:sz w:val="19"/>
              </w:rPr>
            </w:pPr>
            <w:r>
              <w:rPr>
                <w:i/>
                <w:sz w:val="19"/>
              </w:rPr>
              <w:t>Settlement Agents Amendment Regulations (No. 4) 2007</w:t>
            </w:r>
          </w:p>
        </w:tc>
        <w:tc>
          <w:tcPr>
            <w:tcW w:w="1276" w:type="dxa"/>
          </w:tcPr>
          <w:p>
            <w:pPr>
              <w:pStyle w:val="nTable"/>
              <w:spacing w:after="40"/>
              <w:rPr>
                <w:sz w:val="19"/>
              </w:rPr>
            </w:pPr>
            <w:r>
              <w:rPr>
                <w:sz w:val="19"/>
              </w:rPr>
              <w:t>28 Dec 2007 p. 6407-11</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Settlement Agents Regulations 1982</w:t>
            </w:r>
            <w:r>
              <w:rPr>
                <w:b/>
                <w:sz w:val="19"/>
              </w:rPr>
              <w:t xml:space="preserve"> as at 1 Feb 2008</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2008</w:t>
            </w:r>
          </w:p>
        </w:tc>
        <w:tc>
          <w:tcPr>
            <w:tcW w:w="1276" w:type="dxa"/>
          </w:tcPr>
          <w:p>
            <w:pPr>
              <w:pStyle w:val="nTable"/>
              <w:spacing w:after="40"/>
              <w:rPr>
                <w:sz w:val="19"/>
              </w:rPr>
            </w:pPr>
            <w:r>
              <w:rPr>
                <w:sz w:val="19"/>
              </w:rPr>
              <w:t>17 Jun 2008 p. 2559-60</w:t>
            </w:r>
          </w:p>
        </w:tc>
        <w:tc>
          <w:tcPr>
            <w:tcW w:w="2693" w:type="dxa"/>
          </w:tcPr>
          <w:p>
            <w:pPr>
              <w:pStyle w:val="nTable"/>
              <w:spacing w:after="40"/>
              <w:rPr>
                <w:sz w:val="19"/>
              </w:rPr>
            </w:pPr>
            <w:r>
              <w:rPr>
                <w:snapToGrid w:val="0"/>
                <w:sz w:val="19"/>
                <w:lang w:val="en-US"/>
              </w:rPr>
              <w:t xml:space="preserve">r. 1 and 2: </w:t>
            </w:r>
            <w:r>
              <w:rPr>
                <w:sz w:val="19"/>
              </w:rPr>
              <w:t>17 Jun 2008</w:t>
            </w:r>
            <w:r>
              <w:rPr>
                <w:snapToGrid w:val="0"/>
                <w:sz w:val="19"/>
                <w:lang w:val="en-US"/>
              </w:rPr>
              <w:t xml:space="preserve"> (see r. 2(a))</w:t>
            </w:r>
            <w:r>
              <w:rPr>
                <w:snapToGrid w:val="0"/>
                <w:sz w:val="19"/>
                <w:lang w:val="en-US"/>
              </w:rPr>
              <w:br/>
              <w:t>Regulations other than r. 1 and 2: 1 Jul 2008 (see r. 2(b))</w:t>
            </w:r>
          </w:p>
        </w:tc>
      </w:tr>
      <w:tr>
        <w:trPr>
          <w:cantSplit/>
        </w:trPr>
        <w:tc>
          <w:tcPr>
            <w:tcW w:w="3118" w:type="dxa"/>
          </w:tcPr>
          <w:p>
            <w:pPr>
              <w:pStyle w:val="nTable"/>
              <w:spacing w:after="40"/>
              <w:rPr>
                <w:iCs/>
                <w:sz w:val="19"/>
                <w:vertAlign w:val="superscript"/>
              </w:rPr>
            </w:pPr>
            <w:r>
              <w:rPr>
                <w:i/>
                <w:sz w:val="19"/>
              </w:rPr>
              <w:t>Settlement Agents Amendment Regulations (No. 2) 2008 </w:t>
            </w:r>
            <w:r>
              <w:rPr>
                <w:iCs/>
                <w:sz w:val="19"/>
                <w:vertAlign w:val="superscript"/>
              </w:rPr>
              <w:t>4</w:t>
            </w:r>
          </w:p>
        </w:tc>
        <w:tc>
          <w:tcPr>
            <w:tcW w:w="1276" w:type="dxa"/>
          </w:tcPr>
          <w:p>
            <w:pPr>
              <w:pStyle w:val="nTable"/>
              <w:spacing w:after="40"/>
              <w:rPr>
                <w:sz w:val="19"/>
              </w:rPr>
            </w:pPr>
            <w:r>
              <w:rPr>
                <w:sz w:val="19"/>
              </w:rPr>
              <w:t>23 Dec 2008 p. 5469</w:t>
            </w:r>
            <w:r>
              <w:rPr>
                <w:sz w:val="19"/>
              </w:rPr>
              <w:noBreakHyphen/>
              <w:t>70</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24 Dec 2008 (see r. 2(b))</w:t>
            </w:r>
          </w:p>
        </w:tc>
      </w:tr>
      <w:tr>
        <w:trPr>
          <w:cantSplit/>
        </w:trPr>
        <w:tc>
          <w:tcPr>
            <w:tcW w:w="3118" w:type="dxa"/>
          </w:tcPr>
          <w:p>
            <w:pPr>
              <w:pStyle w:val="nTable"/>
              <w:spacing w:after="40"/>
              <w:rPr>
                <w:i/>
                <w:sz w:val="19"/>
              </w:rPr>
            </w:pPr>
            <w:r>
              <w:rPr>
                <w:i/>
                <w:sz w:val="19"/>
              </w:rPr>
              <w:t>Settlement Agents Amendment Regulations 2009</w:t>
            </w:r>
          </w:p>
        </w:tc>
        <w:tc>
          <w:tcPr>
            <w:tcW w:w="1276" w:type="dxa"/>
          </w:tcPr>
          <w:p>
            <w:pPr>
              <w:pStyle w:val="nTable"/>
              <w:spacing w:after="40"/>
              <w:rPr>
                <w:sz w:val="19"/>
              </w:rPr>
            </w:pPr>
            <w:r>
              <w:rPr>
                <w:sz w:val="19"/>
              </w:rPr>
              <w:t>23 Jun 2009 p. 2455</w:t>
            </w:r>
            <w:r>
              <w:rPr>
                <w:sz w:val="19"/>
              </w:rPr>
              <w:noBreakHyphen/>
              <w:t>6</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rPr>
                <w:i/>
                <w:sz w:val="19"/>
              </w:rPr>
            </w:pPr>
            <w:r>
              <w:rPr>
                <w:i/>
                <w:sz w:val="19"/>
              </w:rPr>
              <w:t>Settlement Agents Amendment Regulations 2010</w:t>
            </w:r>
          </w:p>
        </w:tc>
        <w:tc>
          <w:tcPr>
            <w:tcW w:w="1276" w:type="dxa"/>
          </w:tcPr>
          <w:p>
            <w:pPr>
              <w:pStyle w:val="nTable"/>
              <w:spacing w:after="40"/>
              <w:rPr>
                <w:sz w:val="19"/>
              </w:rPr>
            </w:pPr>
            <w:r>
              <w:rPr>
                <w:sz w:val="19"/>
              </w:rPr>
              <w:t>25 Jun 2010 p. 2852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7087" w:type="dxa"/>
            <w:gridSpan w:val="3"/>
            <w:tcBorders>
              <w:bottom w:val="single" w:sz="8" w:space="0" w:color="auto"/>
            </w:tcBorders>
          </w:tcPr>
          <w:p>
            <w:pPr>
              <w:pStyle w:val="nTable"/>
              <w:spacing w:after="40"/>
              <w:rPr>
                <w:snapToGrid w:val="0"/>
                <w:spacing w:val="-2"/>
                <w:sz w:val="19"/>
                <w:lang w:val="en-US"/>
              </w:rPr>
            </w:pPr>
            <w:r>
              <w:rPr>
                <w:b/>
                <w:sz w:val="19"/>
              </w:rPr>
              <w:t xml:space="preserve">Reprint 5: The </w:t>
            </w:r>
            <w:r>
              <w:rPr>
                <w:b/>
                <w:i/>
                <w:sz w:val="19"/>
              </w:rPr>
              <w:t>Settlement Agents Regulations 1982</w:t>
            </w:r>
            <w:r>
              <w:rPr>
                <w:b/>
                <w:sz w:val="19"/>
              </w:rPr>
              <w:t xml:space="preserve"> as at 20 Aug 2010</w:t>
            </w:r>
            <w:r>
              <w:rPr>
                <w:sz w:val="19"/>
              </w:rPr>
              <w:t xml:space="preserve"> (includes amendments listed above)</w:t>
            </w:r>
          </w:p>
        </w:tc>
      </w:tr>
    </w:tbl>
    <w:p>
      <w:pPr>
        <w:pStyle w:val="nSubsection"/>
        <w:spacing w:before="120"/>
      </w:pPr>
      <w:r>
        <w:rPr>
          <w:vertAlign w:val="superscript"/>
        </w:rPr>
        <w:t>2</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spacing w:before="120"/>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BlankOpen"/>
      </w:pP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4</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
      <w:pPr>
        <w:sectPr>
          <w:headerReference w:type="even" r:id="rId32"/>
          <w:headerReference w:type="default" r:id="rId33"/>
          <w:pgSz w:w="11906" w:h="16838" w:code="9"/>
          <w:pgMar w:top="2376" w:right="2404" w:bottom="3544" w:left="2404" w:header="720" w:footer="3380" w:gutter="0"/>
          <w:cols w:space="720"/>
          <w:noEndnote/>
          <w:docGrid w:linePitch="326"/>
        </w:sectPr>
      </w:pPr>
    </w:p>
    <w:p>
      <w:pPr>
        <w:pStyle w:val="nHeading2"/>
        <w:rPr>
          <w:sz w:val="28"/>
        </w:rPr>
      </w:pPr>
      <w:bookmarkStart w:id="167" w:name="_Toc189887869"/>
      <w:bookmarkStart w:id="168" w:name="_Toc191098795"/>
      <w:bookmarkStart w:id="169" w:name="_Toc233704950"/>
      <w:bookmarkStart w:id="170" w:name="_Toc265671459"/>
      <w:bookmarkStart w:id="171" w:name="_Toc267993867"/>
      <w:bookmarkStart w:id="172" w:name="_Toc268001335"/>
      <w:bookmarkStart w:id="173" w:name="_Toc269710856"/>
      <w:bookmarkStart w:id="174" w:name="_Toc269711373"/>
      <w:bookmarkStart w:id="175" w:name="_Toc269712533"/>
      <w:bookmarkStart w:id="176" w:name="_Toc269712577"/>
      <w:bookmarkStart w:id="177" w:name="_Toc271722291"/>
      <w:r>
        <w:rPr>
          <w:sz w:val="28"/>
        </w:rPr>
        <w:t>Defined Terms</w:t>
      </w:r>
      <w:bookmarkEnd w:id="167"/>
      <w:bookmarkEnd w:id="168"/>
      <w:bookmarkEnd w:id="169"/>
      <w:bookmarkEnd w:id="170"/>
      <w:bookmarkEnd w:id="171"/>
      <w:bookmarkEnd w:id="172"/>
      <w:bookmarkEnd w:id="173"/>
      <w:bookmarkEnd w:id="174"/>
      <w:bookmarkEnd w:id="175"/>
      <w:bookmarkEnd w:id="176"/>
      <w:bookmarkEnd w:id="1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8" w:name="DefinedTerms"/>
      <w:bookmarkEnd w:id="178"/>
      <w:r>
        <w:t>approved educational activity</w:t>
      </w:r>
      <w:r>
        <w:tab/>
        <w:t>2</w:t>
      </w:r>
    </w:p>
    <w:p>
      <w:pPr>
        <w:pStyle w:val="DefinedTerms"/>
      </w:pPr>
      <w:r>
        <w:t>core professional development subject</w:t>
      </w:r>
      <w:r>
        <w:tab/>
        <w:t>2</w:t>
      </w:r>
    </w:p>
    <w:p>
      <w:pPr>
        <w:pStyle w:val="DefinedTerms"/>
      </w:pPr>
      <w:r>
        <w:t>holding fee</w:t>
      </w:r>
      <w:r>
        <w:tab/>
        <w:t>4A(1)</w:t>
      </w:r>
    </w:p>
    <w:p>
      <w:pPr>
        <w:pStyle w:val="DefinedTerms"/>
      </w:pPr>
      <w:r>
        <w:t>points</w:t>
      </w:r>
      <w:r>
        <w:tab/>
        <w:t>2</w:t>
      </w:r>
    </w:p>
    <w:p>
      <w:pPr>
        <w:pStyle w:val="DefinedTerms"/>
      </w:pPr>
      <w:r>
        <w:t>public training provider</w:t>
      </w:r>
      <w:r>
        <w:tab/>
        <w:t>6(3)</w:t>
      </w:r>
    </w:p>
    <w:p>
      <w:pPr>
        <w:pStyle w:val="DefinedTerms"/>
      </w:pPr>
      <w:r>
        <w:t>record</w:t>
      </w:r>
      <w:r>
        <w:tab/>
        <w:t>2</w:t>
      </w:r>
    </w:p>
    <w:p>
      <w:pPr>
        <w:pStyle w:val="DefinedTerms"/>
      </w:pPr>
      <w:r>
        <w:t>register</w:t>
      </w:r>
      <w:r>
        <w:tab/>
        <w:t>2</w:t>
      </w:r>
    </w:p>
    <w:p>
      <w:pPr>
        <w:pStyle w:val="DefinedTerms"/>
      </w:pPr>
      <w:r>
        <w:t>registered training provider</w:t>
      </w:r>
      <w:r>
        <w:tab/>
        <w:t>6(3)</w:t>
      </w:r>
    </w:p>
    <w:p>
      <w:pPr>
        <w:pStyle w:val="DefinedTerms"/>
      </w:pPr>
      <w:r>
        <w:t>relevant bank accepted bills rate</w:t>
      </w:r>
      <w:r>
        <w:tab/>
        <w:t>6D(2)</w:t>
      </w:r>
    </w:p>
    <w:p>
      <w:pPr>
        <w:pStyle w:val="DefinedTerms"/>
      </w:pPr>
      <w:r>
        <w:t>specified</w:t>
      </w:r>
      <w:r>
        <w:tab/>
        <w:t>4C(6)</w:t>
      </w:r>
    </w:p>
    <w:p>
      <w:pPr>
        <w:pStyle w:val="DefinedTerms"/>
      </w:pPr>
      <w:r>
        <w:t>unit</w:t>
      </w:r>
      <w:r>
        <w:tab/>
        <w:t>6(3)</w:t>
      </w:r>
    </w:p>
    <w:p>
      <w:pPr>
        <w:pStyle w:val="DefinedTerms"/>
      </w:pPr>
      <w:r>
        <w:t>working day</w:t>
      </w:r>
      <w:r>
        <w:tab/>
        <w:t>2</w:t>
      </w:r>
    </w:p>
    <w:p>
      <w:pPr>
        <w:pStyle w:val="DefinedTerms"/>
      </w:pP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rPr>
        <w:cantSplit/>
      </w:trP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Settlement Agents Regulations 1982</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Settlement Agents Regulations 1982</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5BEA77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A5E0E2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927"/>
    <w:docVar w:name="WAFER_20151210114927" w:val="RemoveTrackChanges"/>
    <w:docVar w:name="WAFER_20151210114927_GUID" w:val="f0fb55d7-e1f0-40ef-9071-3370dcf715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8000</Words>
  <Characters>38801</Characters>
  <Application>Microsoft Office Word</Application>
  <DocSecurity>0</DocSecurity>
  <Lines>1385</Lines>
  <Paragraphs>900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45901</CharactersWithSpaces>
  <SharedDoc>false</SharedDoc>
  <HLinks>
    <vt:vector size="18" baseType="variant">
      <vt:variant>
        <vt:i4>3014716</vt:i4>
      </vt:variant>
      <vt:variant>
        <vt:i4>4354</vt:i4>
      </vt:variant>
      <vt:variant>
        <vt:i4>1025</vt:i4>
      </vt:variant>
      <vt:variant>
        <vt:i4>1</vt:i4>
      </vt:variant>
      <vt:variant>
        <vt:lpwstr>C:\Program Files\PCO DLL\Support\Crest.wpg</vt:lpwstr>
      </vt:variant>
      <vt:variant>
        <vt:lpwstr/>
      </vt:variant>
      <vt:variant>
        <vt:i4>5439608</vt:i4>
      </vt:variant>
      <vt:variant>
        <vt:i4>41427</vt:i4>
      </vt:variant>
      <vt:variant>
        <vt:i4>1026</vt:i4>
      </vt:variant>
      <vt:variant>
        <vt:i4>1</vt:i4>
      </vt:variant>
      <vt:variant>
        <vt:lpwstr>A:\dline.gif</vt:lpwstr>
      </vt:variant>
      <vt:variant>
        <vt:lpwstr/>
      </vt:variant>
      <vt:variant>
        <vt:i4>3014716</vt:i4>
      </vt:variant>
      <vt:variant>
        <vt:i4>-1</vt:i4>
      </vt:variant>
      <vt:variant>
        <vt:i4>1046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1982 - 05-a0-02</dc:title>
  <dc:subject/>
  <dc:creator/>
  <cp:keywords/>
  <dc:description/>
  <cp:lastModifiedBy>svcMRProcess</cp:lastModifiedBy>
  <cp:revision>4</cp:revision>
  <cp:lastPrinted>2010-08-16T01:02:00Z</cp:lastPrinted>
  <dcterms:created xsi:type="dcterms:W3CDTF">2018-09-15T23:54:00Z</dcterms:created>
  <dcterms:modified xsi:type="dcterms:W3CDTF">2018-09-15T23:54:00Z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20100820</vt:lpwstr>
  </property>
  <property fmtid="{D5CDD505-2E9C-101B-9397-08002B2CF9AE}" pid="6" name="AsAtDate">
    <vt:lpwstr>20 Aug 2010</vt:lpwstr>
  </property>
  <property fmtid="{D5CDD505-2E9C-101B-9397-08002B2CF9AE}" pid="7" name="Suffix">
    <vt:lpwstr>05-a0-02</vt:lpwstr>
  </property>
  <property fmtid="{D5CDD505-2E9C-101B-9397-08002B2CF9AE}" pid="8" name="ReprintNo">
    <vt:lpwstr>5</vt:lpwstr>
  </property>
  <property fmtid="{D5CDD505-2E9C-101B-9397-08002B2CF9AE}" pid="9" name="ReprintedAsAt">
    <vt:filetime>2010-08-19T16:00:00Z</vt:filetime>
  </property>
</Properties>
</file>