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Administration Act 1903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Administration Act 1903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construction</w:t>
      </w:r>
      <w:r>
        <w:tab/>
      </w:r>
      <w:r>
        <w:fldChar w:fldCharType="begin"/>
      </w:r>
      <w:r>
        <w:instrText xml:space="preserve"> PAGEREF _Toc271807615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_Toc271807616 \h </w:instrText>
      </w:r>
      <w:r>
        <w:fldChar w:fldCharType="separate"/>
      </w:r>
      <w:r>
        <w:t>2</w:t>
      </w:r>
      <w:r>
        <w:fldChar w:fldCharType="end"/>
      </w:r>
    </w:p>
    <w:p>
      <w:pPr>
        <w:pStyle w:val="TOC2"/>
        <w:tabs>
          <w:tab w:val="right" w:leader="dot" w:pos="7086"/>
        </w:tabs>
        <w:rPr>
          <w:b w:val="0"/>
          <w:sz w:val="24"/>
          <w:szCs w:val="24"/>
        </w:rPr>
      </w:pPr>
      <w:r>
        <w:rPr>
          <w:szCs w:val="30"/>
        </w:rPr>
        <w:t>Part II — Probate and administration</w:t>
      </w:r>
    </w:p>
    <w:p>
      <w:pPr>
        <w:pStyle w:val="TOC8"/>
        <w:rPr>
          <w:sz w:val="24"/>
          <w:szCs w:val="24"/>
        </w:rPr>
      </w:pPr>
      <w:r>
        <w:rPr>
          <w:szCs w:val="24"/>
        </w:rPr>
        <w:t>4</w:t>
      </w:r>
      <w:r>
        <w:rPr>
          <w:snapToGrid w:val="0"/>
          <w:szCs w:val="24"/>
        </w:rPr>
        <w:t>.</w:t>
      </w:r>
      <w:r>
        <w:rPr>
          <w:snapToGrid w:val="0"/>
          <w:szCs w:val="24"/>
        </w:rPr>
        <w:tab/>
        <w:t>Jurisdiction of Court as heretofore</w:t>
      </w:r>
      <w:r>
        <w:tab/>
      </w:r>
      <w:r>
        <w:fldChar w:fldCharType="begin"/>
      </w:r>
      <w:r>
        <w:instrText xml:space="preserve"> PAGEREF _Toc271807618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Duties of Principal Registrar</w:t>
      </w:r>
      <w:r>
        <w:tab/>
      </w:r>
      <w:r>
        <w:fldChar w:fldCharType="begin"/>
      </w:r>
      <w:r>
        <w:instrText xml:space="preserve"> PAGEREF _Toc271807619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Power to grant probate and administration</w:t>
      </w:r>
      <w:r>
        <w:tab/>
      </w:r>
      <w:r>
        <w:fldChar w:fldCharType="begin"/>
      </w:r>
      <w:r>
        <w:instrText xml:space="preserve"> PAGEREF _Toc271807620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Probate may be granted to one or more executors</w:t>
      </w:r>
      <w:r>
        <w:tab/>
      </w:r>
      <w:r>
        <w:fldChar w:fldCharType="begin"/>
      </w:r>
      <w:r>
        <w:instrText xml:space="preserve"> PAGEREF _Toc271807621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Upon grant of probate or administration real and personal estate to vest in executor or administrator</w:t>
      </w:r>
      <w:r>
        <w:tab/>
      </w:r>
      <w:r>
        <w:fldChar w:fldCharType="begin"/>
      </w:r>
      <w:r>
        <w:instrText xml:space="preserve"> PAGEREF _Toc271807622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Real estate to vest subject to trusts</w:t>
      </w:r>
      <w:r>
        <w:tab/>
      </w:r>
      <w:r>
        <w:fldChar w:fldCharType="begin"/>
      </w:r>
      <w:r>
        <w:instrText xml:space="preserve"> PAGEREF _Toc271807623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Real and personal estate to be assets</w:t>
      </w:r>
      <w:r>
        <w:tab/>
      </w:r>
      <w:r>
        <w:fldChar w:fldCharType="begin"/>
      </w:r>
      <w:r>
        <w:instrText xml:space="preserve"> PAGEREF _Toc271807624 \h </w:instrText>
      </w:r>
      <w:r>
        <w:fldChar w:fldCharType="separate"/>
      </w:r>
      <w:r>
        <w:t>5</w:t>
      </w:r>
      <w:r>
        <w:fldChar w:fldCharType="end"/>
      </w:r>
    </w:p>
    <w:p>
      <w:pPr>
        <w:pStyle w:val="TOC8"/>
        <w:rPr>
          <w:sz w:val="24"/>
          <w:szCs w:val="24"/>
        </w:rPr>
      </w:pPr>
      <w:r>
        <w:rPr>
          <w:szCs w:val="24"/>
        </w:rPr>
        <w:t>10A</w:t>
      </w:r>
      <w:r>
        <w:rPr>
          <w:snapToGrid w:val="0"/>
          <w:szCs w:val="24"/>
        </w:rPr>
        <w:t xml:space="preserve">. </w:t>
      </w:r>
      <w:r>
        <w:rPr>
          <w:snapToGrid w:val="0"/>
          <w:szCs w:val="24"/>
        </w:rPr>
        <w:tab/>
        <w:t>Insolvent estates</w:t>
      </w:r>
      <w:r>
        <w:tab/>
      </w:r>
      <w:r>
        <w:fldChar w:fldCharType="begin"/>
      </w:r>
      <w:r>
        <w:instrText xml:space="preserve"> PAGEREF _Toc271807625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Subject as aforesaid real estate to vest according to will</w:t>
      </w:r>
      <w:r>
        <w:tab/>
      </w:r>
      <w:r>
        <w:fldChar w:fldCharType="begin"/>
      </w:r>
      <w:r>
        <w:instrText xml:space="preserve"> PAGEREF _Toc271807626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Executor to have same rights and duties as to real estate as heretofore as to personal estate</w:t>
      </w:r>
      <w:r>
        <w:tab/>
      </w:r>
      <w:r>
        <w:fldChar w:fldCharType="begin"/>
      </w:r>
      <w:r>
        <w:instrText xml:space="preserve"> PAGEREF _Toc271807627 \h </w:instrText>
      </w:r>
      <w:r>
        <w:fldChar w:fldCharType="separate"/>
      </w:r>
      <w:r>
        <w:t>7</w:t>
      </w:r>
      <w:r>
        <w:fldChar w:fldCharType="end"/>
      </w:r>
    </w:p>
    <w:p>
      <w:pPr>
        <w:pStyle w:val="TOC8"/>
        <w:rPr>
          <w:sz w:val="24"/>
          <w:szCs w:val="24"/>
        </w:rPr>
      </w:pPr>
      <w:r>
        <w:rPr>
          <w:szCs w:val="24"/>
        </w:rPr>
        <w:t>12A</w:t>
      </w:r>
      <w:r>
        <w:rPr>
          <w:snapToGrid w:val="0"/>
          <w:szCs w:val="24"/>
        </w:rPr>
        <w:t xml:space="preserve">. </w:t>
      </w:r>
      <w:r>
        <w:rPr>
          <w:snapToGrid w:val="0"/>
          <w:szCs w:val="24"/>
        </w:rPr>
        <w:tab/>
        <w:t>Entitlement to participation in distribution of intestate estates</w:t>
      </w:r>
      <w:r>
        <w:tab/>
      </w:r>
      <w:r>
        <w:fldChar w:fldCharType="begin"/>
      </w:r>
      <w:r>
        <w:instrText xml:space="preserve"> PAGEREF _Toc271807628 \h </w:instrText>
      </w:r>
      <w:r>
        <w:fldChar w:fldCharType="separate"/>
      </w:r>
      <w:r>
        <w:t>7</w:t>
      </w:r>
      <w:r>
        <w:fldChar w:fldCharType="end"/>
      </w:r>
    </w:p>
    <w:p>
      <w:pPr>
        <w:pStyle w:val="TOC8"/>
        <w:rPr>
          <w:sz w:val="24"/>
          <w:szCs w:val="24"/>
        </w:rPr>
      </w:pPr>
      <w:r>
        <w:rPr>
          <w:szCs w:val="24"/>
        </w:rPr>
        <w:t>12B</w:t>
      </w:r>
      <w:r>
        <w:rPr>
          <w:snapToGrid w:val="0"/>
          <w:szCs w:val="24"/>
        </w:rPr>
        <w:t xml:space="preserve">. </w:t>
      </w:r>
      <w:r>
        <w:rPr>
          <w:snapToGrid w:val="0"/>
          <w:szCs w:val="24"/>
        </w:rPr>
        <w:tab/>
        <w:t>Relationships of the whole and the half blood</w:t>
      </w:r>
      <w:r>
        <w:tab/>
      </w:r>
      <w:r>
        <w:fldChar w:fldCharType="begin"/>
      </w:r>
      <w:r>
        <w:instrText xml:space="preserve"> PAGEREF _Toc271807629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Real and personal estate in case of intestacy</w:t>
      </w:r>
      <w:r>
        <w:tab/>
      </w:r>
      <w:r>
        <w:fldChar w:fldCharType="begin"/>
      </w:r>
      <w:r>
        <w:instrText xml:space="preserve"> PAGEREF _Toc271807630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Entitlements on intestacy</w:t>
      </w:r>
      <w:r>
        <w:tab/>
      </w:r>
      <w:r>
        <w:fldChar w:fldCharType="begin"/>
      </w:r>
      <w:r>
        <w:instrText xml:space="preserve"> PAGEREF _Toc271807631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De facto partners and distribution on intestacy</w:t>
      </w:r>
      <w:r>
        <w:tab/>
      </w:r>
      <w:r>
        <w:fldChar w:fldCharType="begin"/>
      </w:r>
      <w:r>
        <w:instrText xml:space="preserve"> PAGEREF _Toc271807632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Courtesy and dower abolished</w:t>
      </w:r>
      <w:r>
        <w:tab/>
      </w:r>
      <w:r>
        <w:fldChar w:fldCharType="begin"/>
      </w:r>
      <w:r>
        <w:instrText xml:space="preserve"> PAGEREF _Toc271807633 \h </w:instrText>
      </w:r>
      <w:r>
        <w:fldChar w:fldCharType="separate"/>
      </w:r>
      <w:r>
        <w:t>19</w:t>
      </w:r>
      <w:r>
        <w:fldChar w:fldCharType="end"/>
      </w:r>
    </w:p>
    <w:p>
      <w:pPr>
        <w:pStyle w:val="TOC8"/>
        <w:rPr>
          <w:sz w:val="24"/>
          <w:szCs w:val="24"/>
        </w:rPr>
      </w:pPr>
      <w:r>
        <w:rPr>
          <w:szCs w:val="24"/>
        </w:rPr>
        <w:lastRenderedPageBreak/>
        <w:t>17</w:t>
      </w:r>
      <w:r>
        <w:rPr>
          <w:snapToGrid w:val="0"/>
          <w:szCs w:val="24"/>
        </w:rPr>
        <w:t>.</w:t>
      </w:r>
      <w:r>
        <w:rPr>
          <w:snapToGrid w:val="0"/>
          <w:szCs w:val="24"/>
        </w:rPr>
        <w:tab/>
        <w:t>Court may deal with interest of infants in certain cases</w:t>
      </w:r>
      <w:r>
        <w:tab/>
      </w:r>
      <w:r>
        <w:fldChar w:fldCharType="begin"/>
      </w:r>
      <w:r>
        <w:instrText xml:space="preserve"> PAGEREF _Toc271807634 \h </w:instrText>
      </w:r>
      <w:r>
        <w:fldChar w:fldCharType="separate"/>
      </w:r>
      <w:r>
        <w:t>19</w:t>
      </w:r>
      <w:r>
        <w:fldChar w:fldCharType="end"/>
      </w:r>
    </w:p>
    <w:p>
      <w:pPr>
        <w:pStyle w:val="TOC8"/>
        <w:rPr>
          <w:sz w:val="24"/>
          <w:szCs w:val="24"/>
        </w:rPr>
      </w:pPr>
      <w:r>
        <w:rPr>
          <w:szCs w:val="24"/>
        </w:rPr>
        <w:t>17A</w:t>
      </w:r>
      <w:r>
        <w:rPr>
          <w:snapToGrid w:val="0"/>
          <w:szCs w:val="24"/>
        </w:rPr>
        <w:t xml:space="preserve">. </w:t>
      </w:r>
      <w:r>
        <w:rPr>
          <w:snapToGrid w:val="0"/>
          <w:szCs w:val="24"/>
        </w:rPr>
        <w:tab/>
        <w:t>Power to appoint trustees of infant’s property</w:t>
      </w:r>
      <w:r>
        <w:tab/>
      </w:r>
      <w:r>
        <w:fldChar w:fldCharType="begin"/>
      </w:r>
      <w:r>
        <w:instrText xml:space="preserve"> PAGEREF _Toc271807635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Court may direct partition of real estate</w:t>
      </w:r>
      <w:r>
        <w:tab/>
      </w:r>
      <w:r>
        <w:fldChar w:fldCharType="begin"/>
      </w:r>
      <w:r>
        <w:instrText xml:space="preserve"> PAGEREF _Toc271807636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Personal representative may relinquish trust</w:t>
      </w:r>
      <w:r>
        <w:tab/>
      </w:r>
      <w:r>
        <w:fldChar w:fldCharType="begin"/>
      </w:r>
      <w:r>
        <w:instrText xml:space="preserve"> PAGEREF _Toc271807637 \h </w:instrText>
      </w:r>
      <w:r>
        <w:fldChar w:fldCharType="separate"/>
      </w:r>
      <w:r>
        <w:t>21</w:t>
      </w:r>
      <w:r>
        <w:fldChar w:fldCharType="end"/>
      </w:r>
    </w:p>
    <w:p>
      <w:pPr>
        <w:pStyle w:val="TOC8"/>
        <w:rPr>
          <w:sz w:val="24"/>
          <w:szCs w:val="24"/>
        </w:rPr>
      </w:pPr>
      <w:r>
        <w:rPr>
          <w:szCs w:val="24"/>
        </w:rPr>
        <w:t>21</w:t>
      </w:r>
      <w:r>
        <w:rPr>
          <w:snapToGrid w:val="0"/>
          <w:szCs w:val="24"/>
        </w:rPr>
        <w:t>.</w:t>
      </w:r>
      <w:r>
        <w:rPr>
          <w:snapToGrid w:val="0"/>
          <w:szCs w:val="24"/>
        </w:rPr>
        <w:tab/>
        <w:t>Executor or administrator to represent real estate</w:t>
      </w:r>
      <w:r>
        <w:tab/>
      </w:r>
      <w:r>
        <w:fldChar w:fldCharType="begin"/>
      </w:r>
      <w:r>
        <w:instrText xml:space="preserve"> PAGEREF _Toc271807638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All creditors to stand in equal degree</w:t>
      </w:r>
      <w:r>
        <w:tab/>
      </w:r>
      <w:r>
        <w:fldChar w:fldCharType="begin"/>
      </w:r>
      <w:r>
        <w:instrText xml:space="preserve"> PAGEREF _Toc271807639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Administration in case of intestacy</w:t>
      </w:r>
      <w:r>
        <w:tab/>
      </w:r>
      <w:r>
        <w:fldChar w:fldCharType="begin"/>
      </w:r>
      <w:r>
        <w:instrText xml:space="preserve"> PAGEREF _Toc271807640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Persons entitled to administration</w:t>
      </w:r>
      <w:r>
        <w:tab/>
      </w:r>
      <w:r>
        <w:fldChar w:fldCharType="begin"/>
      </w:r>
      <w:r>
        <w:instrText xml:space="preserve"> PAGEREF _Toc271807641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Power to require administrator to produce sureties</w:t>
      </w:r>
      <w:r>
        <w:tab/>
      </w:r>
      <w:r>
        <w:fldChar w:fldCharType="begin"/>
      </w:r>
      <w:r>
        <w:instrText xml:space="preserve"> PAGEREF _Toc271807642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Court may revoke grant of administration</w:t>
      </w:r>
      <w:r>
        <w:tab/>
      </w:r>
      <w:r>
        <w:fldChar w:fldCharType="begin"/>
      </w:r>
      <w:r>
        <w:instrText xml:space="preserve"> PAGEREF _Toc271807643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In case of renunciation or failure to take probate, right of executor gone</w:t>
      </w:r>
      <w:r>
        <w:tab/>
      </w:r>
      <w:r>
        <w:fldChar w:fldCharType="begin"/>
      </w:r>
      <w:r>
        <w:instrText xml:space="preserve"> PAGEREF _Toc271807644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Where infant is executor, etc.</w:t>
      </w:r>
      <w:r>
        <w:tab/>
      </w:r>
      <w:r>
        <w:fldChar w:fldCharType="begin"/>
      </w:r>
      <w:r>
        <w:instrText xml:space="preserve"> PAGEREF _Toc271807645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Where person entitled to probate or administration is out of the jurisdiction</w:t>
      </w:r>
      <w:r>
        <w:tab/>
      </w:r>
      <w:r>
        <w:fldChar w:fldCharType="begin"/>
      </w:r>
      <w:r>
        <w:instrText xml:space="preserve"> PAGEREF _Toc271807646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Court may appoint a manager and receiver pending litigation</w:t>
      </w:r>
      <w:r>
        <w:tab/>
      </w:r>
      <w:r>
        <w:fldChar w:fldCharType="begin"/>
      </w:r>
      <w:r>
        <w:instrText xml:space="preserve"> PAGEREF _Toc271807647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Administration with the will annexed</w:t>
      </w:r>
      <w:r>
        <w:tab/>
      </w:r>
      <w:r>
        <w:fldChar w:fldCharType="begin"/>
      </w:r>
      <w:r>
        <w:instrText xml:space="preserve"> PAGEREF _Toc271807648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Probate or administration if executor, etc. absent or neglects to obtain probate, etc.</w:t>
      </w:r>
      <w:r>
        <w:tab/>
      </w:r>
      <w:r>
        <w:fldChar w:fldCharType="begin"/>
      </w:r>
      <w:r>
        <w:instrText xml:space="preserve"> PAGEREF _Toc271807649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Special letters of administration if executor or administrator not within jurisdiction</w:t>
      </w:r>
      <w:r>
        <w:tab/>
      </w:r>
      <w:r>
        <w:fldChar w:fldCharType="begin"/>
      </w:r>
      <w:r>
        <w:instrText xml:space="preserve"> PAGEREF _Toc271807650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On return of executor or administrator, special administration may be revoked</w:t>
      </w:r>
      <w:r>
        <w:tab/>
      </w:r>
      <w:r>
        <w:fldChar w:fldCharType="begin"/>
      </w:r>
      <w:r>
        <w:instrText xml:space="preserve"> PAGEREF _Toc271807651 \h </w:instrText>
      </w:r>
      <w:r>
        <w:fldChar w:fldCharType="separate"/>
      </w:r>
      <w:r>
        <w:t>28</w:t>
      </w:r>
      <w:r>
        <w:fldChar w:fldCharType="end"/>
      </w:r>
    </w:p>
    <w:p>
      <w:pPr>
        <w:pStyle w:val="TOC8"/>
        <w:rPr>
          <w:sz w:val="24"/>
          <w:szCs w:val="24"/>
        </w:rPr>
      </w:pPr>
      <w:r>
        <w:rPr>
          <w:szCs w:val="24"/>
        </w:rPr>
        <w:t>40</w:t>
      </w:r>
      <w:r>
        <w:rPr>
          <w:snapToGrid w:val="0"/>
          <w:szCs w:val="24"/>
        </w:rPr>
        <w:t>.</w:t>
      </w:r>
      <w:r>
        <w:rPr>
          <w:snapToGrid w:val="0"/>
          <w:szCs w:val="24"/>
        </w:rPr>
        <w:tab/>
        <w:t>Absent executor liable to account</w:t>
      </w:r>
      <w:r>
        <w:tab/>
      </w:r>
      <w:r>
        <w:fldChar w:fldCharType="begin"/>
      </w:r>
      <w:r>
        <w:instrText xml:space="preserve"> PAGEREF _Toc271807652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Revocation pending litigation not to abate proceedings</w:t>
      </w:r>
      <w:r>
        <w:tab/>
      </w:r>
      <w:r>
        <w:fldChar w:fldCharType="begin"/>
      </w:r>
      <w:r>
        <w:instrText xml:space="preserve"> PAGEREF _Toc271807653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Devisee or legatee may apply to Court in certain cases</w:t>
      </w:r>
      <w:r>
        <w:tab/>
      </w:r>
      <w:r>
        <w:fldChar w:fldCharType="begin"/>
      </w:r>
      <w:r>
        <w:instrText xml:space="preserve"> PAGEREF _Toc271807654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Inventory and accounts</w:t>
      </w:r>
      <w:r>
        <w:tab/>
      </w:r>
      <w:r>
        <w:fldChar w:fldCharType="begin"/>
      </w:r>
      <w:r>
        <w:instrText xml:space="preserve"> PAGEREF _Toc271807655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If accounts not filed Principal Registrar to give notice, etc.</w:t>
      </w:r>
      <w:r>
        <w:tab/>
      </w:r>
      <w:r>
        <w:fldChar w:fldCharType="begin"/>
      </w:r>
      <w:r>
        <w:instrText xml:space="preserve"> PAGEREF _Toc271807656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Court may settle all questions arising in administration</w:t>
      </w:r>
      <w:r>
        <w:tab/>
      </w:r>
      <w:r>
        <w:fldChar w:fldCharType="begin"/>
      </w:r>
      <w:r>
        <w:instrText xml:space="preserve"> PAGEREF _Toc271807657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Payments made before revocation to be valid</w:t>
      </w:r>
      <w:r>
        <w:tab/>
      </w:r>
      <w:r>
        <w:fldChar w:fldCharType="begin"/>
      </w:r>
      <w:r>
        <w:instrText xml:space="preserve"> PAGEREF _Toc271807658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Payments etc. to be valid notwithstanding defect</w:t>
      </w:r>
      <w:r>
        <w:tab/>
      </w:r>
      <w:r>
        <w:fldChar w:fldCharType="begin"/>
      </w:r>
      <w:r>
        <w:instrText xml:space="preserve"> PAGEREF _Toc271807659 \h </w:instrText>
      </w:r>
      <w:r>
        <w:fldChar w:fldCharType="separate"/>
      </w:r>
      <w:r>
        <w:t>31</w:t>
      </w:r>
      <w:r>
        <w:fldChar w:fldCharType="end"/>
      </w:r>
    </w:p>
    <w:p>
      <w:pPr>
        <w:pStyle w:val="TOC8"/>
        <w:rPr>
          <w:sz w:val="24"/>
          <w:szCs w:val="24"/>
        </w:rPr>
      </w:pPr>
      <w:r>
        <w:rPr>
          <w:szCs w:val="24"/>
        </w:rPr>
        <w:t>47A</w:t>
      </w:r>
      <w:r>
        <w:rPr>
          <w:snapToGrid w:val="0"/>
          <w:szCs w:val="24"/>
        </w:rPr>
        <w:t xml:space="preserve">. </w:t>
      </w:r>
      <w:r>
        <w:rPr>
          <w:snapToGrid w:val="0"/>
          <w:szCs w:val="24"/>
        </w:rPr>
        <w:tab/>
        <w:t>Protection of executors, administrators and trustees</w:t>
      </w:r>
      <w:r>
        <w:tab/>
      </w:r>
      <w:r>
        <w:fldChar w:fldCharType="begin"/>
      </w:r>
      <w:r>
        <w:instrText xml:space="preserve"> PAGEREF _Toc271807660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Executor deemed to be resident in State</w:t>
      </w:r>
      <w:r>
        <w:tab/>
      </w:r>
      <w:r>
        <w:fldChar w:fldCharType="begin"/>
      </w:r>
      <w:r>
        <w:instrText xml:space="preserve"> PAGEREF _Toc271807661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Court may appoint district agents</w:t>
      </w:r>
      <w:r>
        <w:tab/>
      </w:r>
      <w:r>
        <w:fldChar w:fldCharType="begin"/>
      </w:r>
      <w:r>
        <w:instrText xml:space="preserve"> PAGEREF _Toc271807662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Where estate does not exceed $10 000 the Principal Registrar or district agent may act</w:t>
      </w:r>
      <w:r>
        <w:tab/>
      </w:r>
      <w:r>
        <w:fldChar w:fldCharType="begin"/>
      </w:r>
      <w:r>
        <w:instrText xml:space="preserve"> PAGEREF _Toc271807663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Information to be furnished by Principal Registrar or agent</w:t>
      </w:r>
      <w:r>
        <w:tab/>
      </w:r>
      <w:r>
        <w:fldChar w:fldCharType="begin"/>
      </w:r>
      <w:r>
        <w:instrText xml:space="preserve"> PAGEREF _Toc271807664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Applications to be transmitted by agent to Principal Registrar</w:t>
      </w:r>
      <w:r>
        <w:tab/>
      </w:r>
      <w:r>
        <w:fldChar w:fldCharType="begin"/>
      </w:r>
      <w:r>
        <w:instrText xml:space="preserve"> PAGEREF _Toc271807665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Principal Registrar to refer matter back to agent if not satisfied</w:t>
      </w:r>
      <w:r>
        <w:tab/>
      </w:r>
      <w:r>
        <w:fldChar w:fldCharType="begin"/>
      </w:r>
      <w:r>
        <w:instrText xml:space="preserve"> PAGEREF _Toc271807666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Principal Registrar may refer to Court</w:t>
      </w:r>
      <w:r>
        <w:tab/>
      </w:r>
      <w:r>
        <w:fldChar w:fldCharType="begin"/>
      </w:r>
      <w:r>
        <w:instrText xml:space="preserve"> PAGEREF _Toc271807667 \h </w:instrText>
      </w:r>
      <w:r>
        <w:fldChar w:fldCharType="separate"/>
      </w:r>
      <w:r>
        <w:t>34</w:t>
      </w:r>
      <w:r>
        <w:fldChar w:fldCharType="end"/>
      </w:r>
    </w:p>
    <w:p>
      <w:pPr>
        <w:pStyle w:val="TOC8"/>
        <w:rPr>
          <w:sz w:val="24"/>
          <w:szCs w:val="24"/>
        </w:rPr>
      </w:pPr>
      <w:r>
        <w:rPr>
          <w:szCs w:val="24"/>
        </w:rPr>
        <w:t>60A</w:t>
      </w:r>
      <w:r>
        <w:rPr>
          <w:snapToGrid w:val="0"/>
          <w:szCs w:val="24"/>
        </w:rPr>
        <w:t>.</w:t>
      </w:r>
      <w:r>
        <w:rPr>
          <w:snapToGrid w:val="0"/>
          <w:szCs w:val="24"/>
        </w:rPr>
        <w:tab/>
        <w:t xml:space="preserve">Application of </w:t>
      </w:r>
      <w:r>
        <w:rPr>
          <w:i/>
          <w:snapToGrid w:val="0"/>
          <w:szCs w:val="24"/>
        </w:rPr>
        <w:t>Inheritance (Family and Dependants Provision) Act 1972</w:t>
      </w:r>
      <w:r>
        <w:tab/>
      </w:r>
      <w:r>
        <w:fldChar w:fldCharType="begin"/>
      </w:r>
      <w:r>
        <w:instrText xml:space="preserve"> PAGEREF _Toc271807668 \h </w:instrText>
      </w:r>
      <w:r>
        <w:fldChar w:fldCharType="separate"/>
      </w:r>
      <w:r>
        <w:t>34</w:t>
      </w:r>
      <w:r>
        <w:fldChar w:fldCharType="end"/>
      </w:r>
    </w:p>
    <w:p>
      <w:pPr>
        <w:pStyle w:val="TOC2"/>
        <w:tabs>
          <w:tab w:val="right" w:leader="dot" w:pos="7086"/>
        </w:tabs>
        <w:rPr>
          <w:b w:val="0"/>
          <w:sz w:val="24"/>
          <w:szCs w:val="24"/>
        </w:rPr>
      </w:pPr>
      <w:r>
        <w:rPr>
          <w:szCs w:val="30"/>
        </w:rPr>
        <w:t>Part III — Foreign probates and administration</w:t>
      </w:r>
    </w:p>
    <w:p>
      <w:pPr>
        <w:pStyle w:val="TOC8"/>
        <w:rPr>
          <w:sz w:val="24"/>
          <w:szCs w:val="24"/>
        </w:rPr>
      </w:pPr>
      <w:r>
        <w:rPr>
          <w:szCs w:val="24"/>
        </w:rPr>
        <w:t>61</w:t>
      </w:r>
      <w:r>
        <w:rPr>
          <w:snapToGrid w:val="0"/>
          <w:szCs w:val="24"/>
        </w:rPr>
        <w:t>.</w:t>
      </w:r>
      <w:r>
        <w:rPr>
          <w:snapToGrid w:val="0"/>
          <w:szCs w:val="24"/>
        </w:rPr>
        <w:tab/>
        <w:t>Foreign probates, etc. may be sealed</w:t>
      </w:r>
      <w:r>
        <w:tab/>
      </w:r>
      <w:r>
        <w:fldChar w:fldCharType="begin"/>
      </w:r>
      <w:r>
        <w:instrText xml:space="preserve"> PAGEREF _Toc271807670 \h </w:instrText>
      </w:r>
      <w:r>
        <w:fldChar w:fldCharType="separate"/>
      </w:r>
      <w:r>
        <w:t>35</w:t>
      </w:r>
      <w:r>
        <w:fldChar w:fldCharType="end"/>
      </w:r>
    </w:p>
    <w:p>
      <w:pPr>
        <w:pStyle w:val="TOC8"/>
        <w:rPr>
          <w:sz w:val="24"/>
          <w:szCs w:val="24"/>
        </w:rPr>
      </w:pPr>
      <w:r>
        <w:rPr>
          <w:szCs w:val="24"/>
        </w:rPr>
        <w:t>62</w:t>
      </w:r>
      <w:r>
        <w:rPr>
          <w:snapToGrid w:val="0"/>
          <w:szCs w:val="24"/>
        </w:rPr>
        <w:t>.</w:t>
      </w:r>
      <w:r>
        <w:rPr>
          <w:snapToGrid w:val="0"/>
          <w:szCs w:val="24"/>
        </w:rPr>
        <w:tab/>
        <w:t>Power to require sureties to be provided before foreign administration sealed</w:t>
      </w:r>
      <w:r>
        <w:tab/>
      </w:r>
      <w:r>
        <w:fldChar w:fldCharType="begin"/>
      </w:r>
      <w:r>
        <w:instrText xml:space="preserve"> PAGEREF _Toc271807671 \h </w:instrText>
      </w:r>
      <w:r>
        <w:fldChar w:fldCharType="separate"/>
      </w:r>
      <w:r>
        <w:t>35</w:t>
      </w:r>
      <w:r>
        <w:fldChar w:fldCharType="end"/>
      </w:r>
    </w:p>
    <w:p>
      <w:pPr>
        <w:pStyle w:val="TOC2"/>
        <w:tabs>
          <w:tab w:val="right" w:leader="dot" w:pos="7086"/>
        </w:tabs>
        <w:rPr>
          <w:b w:val="0"/>
          <w:sz w:val="24"/>
          <w:szCs w:val="24"/>
        </w:rPr>
      </w:pPr>
      <w:r>
        <w:rPr>
          <w:szCs w:val="30"/>
        </w:rPr>
        <w:t>Part IV — Caveats</w:t>
      </w:r>
      <w:r>
        <w:rPr>
          <w:szCs w:val="30"/>
          <w:vertAlign w:val="superscript"/>
        </w:rPr>
        <w:t xml:space="preserve"> </w:t>
      </w:r>
    </w:p>
    <w:p>
      <w:pPr>
        <w:pStyle w:val="TOC8"/>
        <w:rPr>
          <w:sz w:val="24"/>
          <w:szCs w:val="24"/>
        </w:rPr>
      </w:pPr>
      <w:r>
        <w:rPr>
          <w:szCs w:val="24"/>
        </w:rPr>
        <w:t>63</w:t>
      </w:r>
      <w:r>
        <w:rPr>
          <w:snapToGrid w:val="0"/>
          <w:szCs w:val="24"/>
        </w:rPr>
        <w:t>.</w:t>
      </w:r>
      <w:r>
        <w:rPr>
          <w:snapToGrid w:val="0"/>
          <w:szCs w:val="24"/>
        </w:rPr>
        <w:tab/>
        <w:t>Caveat</w:t>
      </w:r>
      <w:r>
        <w:tab/>
      </w:r>
      <w:r>
        <w:fldChar w:fldCharType="begin"/>
      </w:r>
      <w:r>
        <w:instrText xml:space="preserve"> PAGEREF _Toc271807673 \h </w:instrText>
      </w:r>
      <w:r>
        <w:fldChar w:fldCharType="separate"/>
      </w:r>
      <w:r>
        <w:t>37</w:t>
      </w:r>
      <w:r>
        <w:fldChar w:fldCharType="end"/>
      </w:r>
    </w:p>
    <w:p>
      <w:pPr>
        <w:pStyle w:val="TOC8"/>
        <w:rPr>
          <w:sz w:val="24"/>
          <w:szCs w:val="24"/>
        </w:rPr>
      </w:pPr>
      <w:r>
        <w:rPr>
          <w:szCs w:val="24"/>
        </w:rPr>
        <w:t>64</w:t>
      </w:r>
      <w:r>
        <w:rPr>
          <w:snapToGrid w:val="0"/>
          <w:szCs w:val="24"/>
        </w:rPr>
        <w:t>.</w:t>
      </w:r>
      <w:r>
        <w:rPr>
          <w:snapToGrid w:val="0"/>
          <w:szCs w:val="24"/>
        </w:rPr>
        <w:tab/>
        <w:t>Court may remove caveat</w:t>
      </w:r>
      <w:r>
        <w:tab/>
      </w:r>
      <w:r>
        <w:fldChar w:fldCharType="begin"/>
      </w:r>
      <w:r>
        <w:instrText xml:space="preserve"> PAGEREF _Toc271807674 \h </w:instrText>
      </w:r>
      <w:r>
        <w:fldChar w:fldCharType="separate"/>
      </w:r>
      <w:r>
        <w:t>37</w:t>
      </w:r>
      <w:r>
        <w:fldChar w:fldCharType="end"/>
      </w:r>
    </w:p>
    <w:p>
      <w:pPr>
        <w:pStyle w:val="TOC2"/>
        <w:tabs>
          <w:tab w:val="right" w:leader="dot" w:pos="7086"/>
        </w:tabs>
        <w:rPr>
          <w:b w:val="0"/>
          <w:sz w:val="24"/>
          <w:szCs w:val="24"/>
        </w:rPr>
      </w:pPr>
      <w:r>
        <w:rPr>
          <w:szCs w:val="30"/>
        </w:rPr>
        <w:t xml:space="preserve">Part V — Duties on deceased persons’ estates and succession duties </w:t>
      </w:r>
    </w:p>
    <w:p>
      <w:pPr>
        <w:pStyle w:val="TOC8"/>
        <w:rPr>
          <w:sz w:val="24"/>
          <w:szCs w:val="24"/>
        </w:rPr>
      </w:pPr>
      <w:r>
        <w:rPr>
          <w:szCs w:val="24"/>
        </w:rPr>
        <w:t>71</w:t>
      </w:r>
      <w:r>
        <w:rPr>
          <w:snapToGrid w:val="0"/>
          <w:szCs w:val="24"/>
        </w:rPr>
        <w:t>.</w:t>
      </w:r>
      <w:r>
        <w:rPr>
          <w:snapToGrid w:val="0"/>
          <w:szCs w:val="24"/>
        </w:rPr>
        <w:tab/>
        <w:t>No will to be registered or admissible in evidence until proved</w:t>
      </w:r>
      <w:r>
        <w:tab/>
      </w:r>
      <w:r>
        <w:fldChar w:fldCharType="begin"/>
      </w:r>
      <w:r>
        <w:instrText xml:space="preserve"> PAGEREF _Toc271807676 \h </w:instrText>
      </w:r>
      <w:r>
        <w:fldChar w:fldCharType="separate"/>
      </w:r>
      <w:r>
        <w:t>38</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139</w:t>
      </w:r>
      <w:r>
        <w:rPr>
          <w:snapToGrid w:val="0"/>
          <w:szCs w:val="24"/>
        </w:rPr>
        <w:t>.</w:t>
      </w:r>
      <w:r>
        <w:rPr>
          <w:snapToGrid w:val="0"/>
          <w:szCs w:val="24"/>
        </w:rPr>
        <w:tab/>
        <w:t>Deposits not exceeding prescribed amount in any ADI may be paid to widow or next of kin without probate or administration</w:t>
      </w:r>
      <w:r>
        <w:tab/>
      </w:r>
      <w:r>
        <w:fldChar w:fldCharType="begin"/>
      </w:r>
      <w:r>
        <w:instrText xml:space="preserve"> PAGEREF _Toc271807678 \h </w:instrText>
      </w:r>
      <w:r>
        <w:fldChar w:fldCharType="separate"/>
      </w:r>
      <w:r>
        <w:t>39</w:t>
      </w:r>
      <w:r>
        <w:fldChar w:fldCharType="end"/>
      </w:r>
    </w:p>
    <w:p>
      <w:pPr>
        <w:pStyle w:val="TOC8"/>
        <w:rPr>
          <w:sz w:val="24"/>
          <w:szCs w:val="24"/>
        </w:rPr>
      </w:pPr>
      <w:r>
        <w:rPr>
          <w:szCs w:val="24"/>
        </w:rPr>
        <w:t>140</w:t>
      </w:r>
      <w:r>
        <w:rPr>
          <w:snapToGrid w:val="0"/>
          <w:szCs w:val="24"/>
        </w:rPr>
        <w:t>.</w:t>
      </w:r>
      <w:r>
        <w:rPr>
          <w:snapToGrid w:val="0"/>
          <w:szCs w:val="24"/>
        </w:rPr>
        <w:tab/>
        <w:t>Records of grants, etc.</w:t>
      </w:r>
      <w:r>
        <w:tab/>
      </w:r>
      <w:r>
        <w:fldChar w:fldCharType="begin"/>
      </w:r>
      <w:r>
        <w:instrText xml:space="preserve"> PAGEREF _Toc271807679 \h </w:instrText>
      </w:r>
      <w:r>
        <w:fldChar w:fldCharType="separate"/>
      </w:r>
      <w:r>
        <w:t>40</w:t>
      </w:r>
      <w:r>
        <w:fldChar w:fldCharType="end"/>
      </w:r>
    </w:p>
    <w:p>
      <w:pPr>
        <w:pStyle w:val="TOC8"/>
        <w:rPr>
          <w:sz w:val="24"/>
          <w:szCs w:val="24"/>
        </w:rPr>
      </w:pPr>
      <w:r>
        <w:rPr>
          <w:szCs w:val="24"/>
        </w:rPr>
        <w:t>141</w:t>
      </w:r>
      <w:r>
        <w:rPr>
          <w:snapToGrid w:val="0"/>
          <w:szCs w:val="24"/>
        </w:rPr>
        <w:t>.</w:t>
      </w:r>
      <w:r>
        <w:rPr>
          <w:snapToGrid w:val="0"/>
          <w:szCs w:val="24"/>
        </w:rPr>
        <w:tab/>
        <w:t>Court may appoint an attorney for an absent executor</w:t>
      </w:r>
      <w:r>
        <w:tab/>
      </w:r>
      <w:r>
        <w:fldChar w:fldCharType="begin"/>
      </w:r>
      <w:r>
        <w:instrText xml:space="preserve"> PAGEREF _Toc271807680 \h </w:instrText>
      </w:r>
      <w:r>
        <w:fldChar w:fldCharType="separate"/>
      </w:r>
      <w:r>
        <w:t>40</w:t>
      </w:r>
      <w:r>
        <w:fldChar w:fldCharType="end"/>
      </w:r>
    </w:p>
    <w:p>
      <w:pPr>
        <w:pStyle w:val="TOC8"/>
        <w:rPr>
          <w:sz w:val="24"/>
          <w:szCs w:val="24"/>
        </w:rPr>
      </w:pPr>
      <w:r>
        <w:rPr>
          <w:szCs w:val="24"/>
        </w:rPr>
        <w:t>142</w:t>
      </w:r>
      <w:r>
        <w:rPr>
          <w:snapToGrid w:val="0"/>
          <w:szCs w:val="24"/>
        </w:rPr>
        <w:t>.</w:t>
      </w:r>
      <w:r>
        <w:rPr>
          <w:snapToGrid w:val="0"/>
          <w:szCs w:val="24"/>
        </w:rPr>
        <w:tab/>
        <w:t>Payment of balance of estate to Curator or Public Trustee of State or Colony where deceased was domiciled. Public Trustee may receive any part of estate from outside the State</w:t>
      </w:r>
      <w:r>
        <w:tab/>
      </w:r>
      <w:r>
        <w:fldChar w:fldCharType="begin"/>
      </w:r>
      <w:r>
        <w:instrText xml:space="preserve"> PAGEREF _Toc271807681 \h </w:instrText>
      </w:r>
      <w:r>
        <w:fldChar w:fldCharType="separate"/>
      </w:r>
      <w:r>
        <w:t>41</w:t>
      </w:r>
      <w:r>
        <w:fldChar w:fldCharType="end"/>
      </w:r>
    </w:p>
    <w:p>
      <w:pPr>
        <w:pStyle w:val="TOC8"/>
        <w:rPr>
          <w:sz w:val="24"/>
          <w:szCs w:val="24"/>
        </w:rPr>
      </w:pPr>
      <w:r>
        <w:rPr>
          <w:szCs w:val="24"/>
        </w:rPr>
        <w:t>143A</w:t>
      </w:r>
      <w:r>
        <w:rPr>
          <w:snapToGrid w:val="0"/>
          <w:szCs w:val="24"/>
        </w:rPr>
        <w:t xml:space="preserve">. </w:t>
      </w:r>
      <w:r>
        <w:rPr>
          <w:snapToGrid w:val="0"/>
          <w:szCs w:val="24"/>
        </w:rPr>
        <w:tab/>
        <w:t>Rate of interest payable on legacies</w:t>
      </w:r>
      <w:r>
        <w:tab/>
      </w:r>
      <w:r>
        <w:fldChar w:fldCharType="begin"/>
      </w:r>
      <w:r>
        <w:instrText xml:space="preserve"> PAGEREF _Toc271807682 \h </w:instrText>
      </w:r>
      <w:r>
        <w:fldChar w:fldCharType="separate"/>
      </w:r>
      <w:r>
        <w:t>42</w:t>
      </w:r>
      <w:r>
        <w:fldChar w:fldCharType="end"/>
      </w:r>
    </w:p>
    <w:p>
      <w:pPr>
        <w:pStyle w:val="TOC8"/>
        <w:rPr>
          <w:sz w:val="24"/>
          <w:szCs w:val="24"/>
        </w:rPr>
      </w:pPr>
      <w:r>
        <w:rPr>
          <w:szCs w:val="24"/>
        </w:rPr>
        <w:t>143B</w:t>
      </w:r>
      <w:r>
        <w:rPr>
          <w:snapToGrid w:val="0"/>
          <w:szCs w:val="24"/>
        </w:rPr>
        <w:t xml:space="preserve">. </w:t>
      </w:r>
      <w:r>
        <w:rPr>
          <w:snapToGrid w:val="0"/>
          <w:szCs w:val="24"/>
        </w:rPr>
        <w:tab/>
        <w:t>Saving provision as to bonds</w:t>
      </w:r>
      <w:r>
        <w:tab/>
      </w:r>
      <w:r>
        <w:fldChar w:fldCharType="begin"/>
      </w:r>
      <w:r>
        <w:instrText xml:space="preserve"> PAGEREF _Toc271807683 \h </w:instrText>
      </w:r>
      <w:r>
        <w:fldChar w:fldCharType="separate"/>
      </w:r>
      <w:r>
        <w:t>42</w:t>
      </w:r>
      <w:r>
        <w:fldChar w:fldCharType="end"/>
      </w:r>
    </w:p>
    <w:p>
      <w:pPr>
        <w:pStyle w:val="TOC8"/>
        <w:rPr>
          <w:sz w:val="24"/>
          <w:szCs w:val="24"/>
        </w:rPr>
      </w:pPr>
      <w:r>
        <w:rPr>
          <w:szCs w:val="24"/>
        </w:rPr>
        <w:t>144</w:t>
      </w:r>
      <w:r>
        <w:rPr>
          <w:snapToGrid w:val="0"/>
          <w:szCs w:val="24"/>
        </w:rPr>
        <w:t>.</w:t>
      </w:r>
      <w:r>
        <w:rPr>
          <w:snapToGrid w:val="0"/>
          <w:szCs w:val="24"/>
        </w:rPr>
        <w:tab/>
        <w:t>Rules of Court</w:t>
      </w:r>
      <w:r>
        <w:tab/>
      </w:r>
      <w:r>
        <w:fldChar w:fldCharType="begin"/>
      </w:r>
      <w:r>
        <w:instrText xml:space="preserve"> PAGEREF _Toc271807684 \h </w:instrText>
      </w:r>
      <w:r>
        <w:fldChar w:fldCharType="separate"/>
      </w:r>
      <w:r>
        <w:t>42</w:t>
      </w:r>
      <w:r>
        <w:fldChar w:fldCharType="end"/>
      </w:r>
    </w:p>
    <w:p>
      <w:pPr>
        <w:pStyle w:val="TOC2"/>
        <w:tabs>
          <w:tab w:val="right" w:leader="dot" w:pos="7086"/>
        </w:tabs>
        <w:rPr>
          <w:b w:val="0"/>
          <w:sz w:val="24"/>
          <w:szCs w:val="24"/>
        </w:rPr>
      </w:pPr>
      <w:r>
        <w:rPr>
          <w:szCs w:val="28"/>
        </w:rPr>
        <w:t>Fourth Schedule</w:t>
      </w:r>
      <w:r>
        <w:rPr>
          <w:sz w:val="24"/>
          <w:szCs w:val="28"/>
        </w:rPr>
        <w:t> </w:t>
      </w:r>
      <w:r>
        <w:rPr>
          <w:szCs w:val="28"/>
        </w:rPr>
        <w:t>—</w:t>
      </w:r>
      <w:r>
        <w:rPr>
          <w:sz w:val="24"/>
          <w:szCs w:val="28"/>
        </w:rPr>
        <w:t> </w:t>
      </w:r>
      <w:r>
        <w:rPr>
          <w:szCs w:val="28"/>
        </w:rPr>
        <w:t>Rights in respect of dwelling houses</w:t>
      </w:r>
    </w:p>
    <w:p>
      <w:pPr>
        <w:pStyle w:val="TOC8"/>
        <w:rPr>
          <w:sz w:val="24"/>
          <w:szCs w:val="24"/>
        </w:rPr>
      </w:pPr>
      <w:r>
        <w:rPr>
          <w:szCs w:val="22"/>
        </w:rPr>
        <w:t>1</w:t>
      </w:r>
      <w:r>
        <w:rPr>
          <w:snapToGrid w:val="0"/>
          <w:szCs w:val="22"/>
        </w:rPr>
        <w:t>.</w:t>
      </w:r>
      <w:r>
        <w:rPr>
          <w:snapToGrid w:val="0"/>
          <w:szCs w:val="22"/>
        </w:rPr>
        <w:tab/>
        <w:t>Rights of surviving spouse if dwelling house is residence</w:t>
      </w:r>
      <w:r>
        <w:tab/>
      </w:r>
      <w:r>
        <w:fldChar w:fldCharType="begin"/>
      </w:r>
      <w:r>
        <w:instrText xml:space="preserve"> PAGEREF _Toc271807686 \h </w:instrText>
      </w:r>
      <w:r>
        <w:fldChar w:fldCharType="separate"/>
      </w:r>
      <w:r>
        <w:t>44</w:t>
      </w:r>
      <w:r>
        <w:fldChar w:fldCharType="end"/>
      </w:r>
    </w:p>
    <w:p>
      <w:pPr>
        <w:pStyle w:val="TOC8"/>
        <w:rPr>
          <w:sz w:val="24"/>
          <w:szCs w:val="24"/>
        </w:rPr>
      </w:pPr>
      <w:r>
        <w:rPr>
          <w:szCs w:val="22"/>
        </w:rPr>
        <w:t>2</w:t>
      </w:r>
      <w:r>
        <w:rPr>
          <w:snapToGrid w:val="0"/>
          <w:szCs w:val="22"/>
        </w:rPr>
        <w:t>.</w:t>
      </w:r>
      <w:r>
        <w:rPr>
          <w:snapToGrid w:val="0"/>
          <w:szCs w:val="22"/>
        </w:rPr>
        <w:tab/>
        <w:t>Court order required in certain cases</w:t>
      </w:r>
      <w:r>
        <w:tab/>
      </w:r>
      <w:r>
        <w:fldChar w:fldCharType="begin"/>
      </w:r>
      <w:r>
        <w:instrText xml:space="preserve"> PAGEREF _Toc271807687 \h </w:instrText>
      </w:r>
      <w:r>
        <w:fldChar w:fldCharType="separate"/>
      </w:r>
      <w:r>
        <w:t>45</w:t>
      </w:r>
      <w:r>
        <w:fldChar w:fldCharType="end"/>
      </w:r>
    </w:p>
    <w:p>
      <w:pPr>
        <w:pStyle w:val="TOC8"/>
        <w:rPr>
          <w:sz w:val="24"/>
          <w:szCs w:val="24"/>
        </w:rPr>
      </w:pPr>
      <w:r>
        <w:rPr>
          <w:szCs w:val="22"/>
        </w:rPr>
        <w:t>3</w:t>
      </w:r>
      <w:r>
        <w:rPr>
          <w:snapToGrid w:val="0"/>
          <w:szCs w:val="22"/>
        </w:rPr>
        <w:t>.</w:t>
      </w:r>
      <w:r>
        <w:rPr>
          <w:snapToGrid w:val="0"/>
          <w:szCs w:val="22"/>
        </w:rPr>
        <w:tab/>
        <w:t>Time limit for exercising right under par. 1</w:t>
      </w:r>
      <w:r>
        <w:tab/>
      </w:r>
      <w:r>
        <w:fldChar w:fldCharType="begin"/>
      </w:r>
      <w:r>
        <w:instrText xml:space="preserve"> PAGEREF _Toc271807688 \h </w:instrText>
      </w:r>
      <w:r>
        <w:fldChar w:fldCharType="separate"/>
      </w:r>
      <w:r>
        <w:t>45</w:t>
      </w:r>
      <w:r>
        <w:fldChar w:fldCharType="end"/>
      </w:r>
    </w:p>
    <w:p>
      <w:pPr>
        <w:pStyle w:val="TOC8"/>
        <w:rPr>
          <w:sz w:val="24"/>
          <w:szCs w:val="24"/>
        </w:rPr>
      </w:pPr>
      <w:r>
        <w:rPr>
          <w:szCs w:val="22"/>
        </w:rPr>
        <w:t>4</w:t>
      </w:r>
      <w:r>
        <w:rPr>
          <w:snapToGrid w:val="0"/>
          <w:szCs w:val="22"/>
        </w:rPr>
        <w:t>.</w:t>
      </w:r>
      <w:r>
        <w:rPr>
          <w:snapToGrid w:val="0"/>
          <w:szCs w:val="22"/>
        </w:rPr>
        <w:tab/>
        <w:t>Mode of exercising right under par. 1</w:t>
      </w:r>
      <w:r>
        <w:tab/>
      </w:r>
      <w:r>
        <w:fldChar w:fldCharType="begin"/>
      </w:r>
      <w:r>
        <w:instrText xml:space="preserve"> PAGEREF _Toc271807689 \h </w:instrText>
      </w:r>
      <w:r>
        <w:fldChar w:fldCharType="separate"/>
      </w:r>
      <w:r>
        <w:t>45</w:t>
      </w:r>
      <w:r>
        <w:fldChar w:fldCharType="end"/>
      </w:r>
    </w:p>
    <w:p>
      <w:pPr>
        <w:pStyle w:val="TOC8"/>
        <w:rPr>
          <w:sz w:val="24"/>
          <w:szCs w:val="24"/>
        </w:rPr>
      </w:pPr>
      <w:r>
        <w:rPr>
          <w:szCs w:val="22"/>
        </w:rPr>
        <w:t>5</w:t>
      </w:r>
      <w:r>
        <w:rPr>
          <w:snapToGrid w:val="0"/>
          <w:szCs w:val="22"/>
        </w:rPr>
        <w:t>.</w:t>
      </w:r>
      <w:r>
        <w:rPr>
          <w:snapToGrid w:val="0"/>
          <w:szCs w:val="22"/>
        </w:rPr>
        <w:tab/>
        <w:t>Determination of value</w:t>
      </w:r>
      <w:r>
        <w:tab/>
      </w:r>
      <w:r>
        <w:fldChar w:fldCharType="begin"/>
      </w:r>
      <w:r>
        <w:instrText xml:space="preserve"> PAGEREF _Toc271807690 \h </w:instrText>
      </w:r>
      <w:r>
        <w:fldChar w:fldCharType="separate"/>
      </w:r>
      <w:r>
        <w:t>46</w:t>
      </w:r>
      <w:r>
        <w:fldChar w:fldCharType="end"/>
      </w:r>
    </w:p>
    <w:p>
      <w:pPr>
        <w:pStyle w:val="TOC8"/>
        <w:rPr>
          <w:sz w:val="24"/>
          <w:szCs w:val="24"/>
        </w:rPr>
      </w:pPr>
      <w:r>
        <w:rPr>
          <w:szCs w:val="22"/>
        </w:rPr>
        <w:t>6</w:t>
      </w:r>
      <w:r>
        <w:rPr>
          <w:snapToGrid w:val="0"/>
          <w:szCs w:val="22"/>
        </w:rPr>
        <w:t>.</w:t>
      </w:r>
      <w:r>
        <w:rPr>
          <w:snapToGrid w:val="0"/>
          <w:szCs w:val="22"/>
        </w:rPr>
        <w:tab/>
        <w:t>Restriction on sale during election period</w:t>
      </w:r>
      <w:r>
        <w:tab/>
      </w:r>
      <w:r>
        <w:fldChar w:fldCharType="begin"/>
      </w:r>
      <w:r>
        <w:instrText xml:space="preserve"> PAGEREF _Toc271807691 \h </w:instrText>
      </w:r>
      <w:r>
        <w:fldChar w:fldCharType="separate"/>
      </w:r>
      <w:r>
        <w:t>46</w:t>
      </w:r>
      <w:r>
        <w:fldChar w:fldCharType="end"/>
      </w:r>
    </w:p>
    <w:p>
      <w:pPr>
        <w:pStyle w:val="TOC8"/>
        <w:rPr>
          <w:sz w:val="24"/>
          <w:szCs w:val="24"/>
        </w:rPr>
      </w:pPr>
      <w:r>
        <w:rPr>
          <w:szCs w:val="22"/>
        </w:rPr>
        <w:t>7</w:t>
      </w:r>
      <w:r>
        <w:rPr>
          <w:snapToGrid w:val="0"/>
          <w:szCs w:val="22"/>
        </w:rPr>
        <w:t>.</w:t>
      </w:r>
      <w:r>
        <w:rPr>
          <w:snapToGrid w:val="0"/>
          <w:szCs w:val="22"/>
        </w:rPr>
        <w:tab/>
        <w:t>Surviving spouse as sole personal representative</w:t>
      </w:r>
      <w:r>
        <w:tab/>
      </w:r>
      <w:r>
        <w:fldChar w:fldCharType="begin"/>
      </w:r>
      <w:r>
        <w:instrText xml:space="preserve"> PAGEREF _Toc271807692 \h </w:instrText>
      </w:r>
      <w:r>
        <w:fldChar w:fldCharType="separate"/>
      </w:r>
      <w:r>
        <w:t>47</w:t>
      </w:r>
      <w:r>
        <w:fldChar w:fldCharType="end"/>
      </w:r>
    </w:p>
    <w:p>
      <w:pPr>
        <w:pStyle w:val="TOC8"/>
        <w:rPr>
          <w:sz w:val="24"/>
          <w:szCs w:val="24"/>
        </w:rPr>
      </w:pPr>
      <w:r>
        <w:rPr>
          <w:szCs w:val="22"/>
        </w:rPr>
        <w:t>8</w:t>
      </w:r>
      <w:r>
        <w:rPr>
          <w:snapToGrid w:val="0"/>
          <w:szCs w:val="22"/>
        </w:rPr>
        <w:t>.</w:t>
      </w:r>
      <w:r>
        <w:rPr>
          <w:snapToGrid w:val="0"/>
          <w:szCs w:val="22"/>
        </w:rPr>
        <w:tab/>
        <w:t>Surviving spouse not of full mental capacity</w:t>
      </w:r>
      <w:r>
        <w:tab/>
      </w:r>
      <w:r>
        <w:fldChar w:fldCharType="begin"/>
      </w:r>
      <w:r>
        <w:instrText xml:space="preserve"> PAGEREF _Toc271807693 \h </w:instrText>
      </w:r>
      <w:r>
        <w:fldChar w:fldCharType="separate"/>
      </w:r>
      <w:r>
        <w:t>47</w:t>
      </w:r>
      <w:r>
        <w:fldChar w:fldCharType="end"/>
      </w:r>
    </w:p>
    <w:p>
      <w:pPr>
        <w:pStyle w:val="TOC8"/>
        <w:rPr>
          <w:sz w:val="24"/>
          <w:szCs w:val="24"/>
        </w:rPr>
      </w:pPr>
      <w:r>
        <w:rPr>
          <w:szCs w:val="22"/>
        </w:rPr>
        <w:t>9</w:t>
      </w:r>
      <w:r>
        <w:rPr>
          <w:snapToGrid w:val="0"/>
          <w:szCs w:val="22"/>
        </w:rPr>
        <w:t>.</w:t>
      </w:r>
      <w:r>
        <w:rPr>
          <w:snapToGrid w:val="0"/>
          <w:szCs w:val="22"/>
        </w:rPr>
        <w:tab/>
        <w:t>Terms used</w:t>
      </w:r>
      <w:r>
        <w:tab/>
      </w:r>
      <w:r>
        <w:fldChar w:fldCharType="begin"/>
      </w:r>
      <w:r>
        <w:instrText xml:space="preserve"> PAGEREF _Toc271807694 \h </w:instrText>
      </w:r>
      <w:r>
        <w:fldChar w:fldCharType="separate"/>
      </w:r>
      <w:r>
        <w:t>48</w:t>
      </w:r>
      <w:r>
        <w:fldChar w:fldCharType="end"/>
      </w:r>
    </w:p>
    <w:p>
      <w:pPr>
        <w:pStyle w:val="TOC2"/>
        <w:tabs>
          <w:tab w:val="right" w:leader="dot" w:pos="7086"/>
        </w:tabs>
        <w:rPr>
          <w:b w:val="0"/>
          <w:sz w:val="24"/>
          <w:szCs w:val="24"/>
        </w:rPr>
      </w:pPr>
      <w:r>
        <w:rPr>
          <w:szCs w:val="28"/>
        </w:rPr>
        <w:t>Fifth Schedule</w:t>
      </w:r>
      <w:r>
        <w:rPr>
          <w:sz w:val="24"/>
          <w:szCs w:val="28"/>
        </w:rPr>
        <w:t> </w:t>
      </w:r>
      <w:r>
        <w:rPr>
          <w:szCs w:val="28"/>
        </w:rPr>
        <w:t>—</w:t>
      </w:r>
      <w:r>
        <w:rPr>
          <w:sz w:val="24"/>
          <w:szCs w:val="28"/>
        </w:rPr>
        <w:t> </w:t>
      </w:r>
      <w:r>
        <w:rPr>
          <w:szCs w:val="28"/>
        </w:rPr>
        <w:t>Rules as to payment of debts and liabilities of insolvent estates</w:t>
      </w:r>
    </w:p>
    <w:p>
      <w:pPr>
        <w:pStyle w:val="TOC8"/>
        <w:rPr>
          <w:sz w:val="24"/>
          <w:szCs w:val="24"/>
        </w:rPr>
      </w:pPr>
      <w:r>
        <w:rPr>
          <w:szCs w:val="22"/>
        </w:rPr>
        <w:t>1.</w:t>
      </w:r>
      <w:r>
        <w:rPr>
          <w:szCs w:val="22"/>
        </w:rPr>
        <w:tab/>
        <w:t>Expenses having priority</w:t>
      </w:r>
      <w:r>
        <w:tab/>
      </w:r>
      <w:r>
        <w:fldChar w:fldCharType="begin"/>
      </w:r>
      <w:r>
        <w:instrText xml:space="preserve"> PAGEREF _Toc271807696 \h </w:instrText>
      </w:r>
      <w:r>
        <w:fldChar w:fldCharType="separate"/>
      </w:r>
      <w:r>
        <w:t>49</w:t>
      </w:r>
      <w:r>
        <w:fldChar w:fldCharType="end"/>
      </w:r>
    </w:p>
    <w:p>
      <w:pPr>
        <w:pStyle w:val="TOC8"/>
        <w:rPr>
          <w:sz w:val="24"/>
          <w:szCs w:val="24"/>
        </w:rPr>
      </w:pPr>
      <w:r>
        <w:rPr>
          <w:szCs w:val="22"/>
        </w:rPr>
        <w:t>2.</w:t>
      </w:r>
      <w:r>
        <w:rPr>
          <w:szCs w:val="22"/>
        </w:rPr>
        <w:tab/>
        <w:t>Demand for unliquidated damages</w:t>
      </w:r>
      <w:r>
        <w:tab/>
      </w:r>
      <w:r>
        <w:fldChar w:fldCharType="begin"/>
      </w:r>
      <w:r>
        <w:instrText xml:space="preserve"> PAGEREF _Toc271807697 \h </w:instrText>
      </w:r>
      <w:r>
        <w:fldChar w:fldCharType="separate"/>
      </w:r>
      <w:r>
        <w:t>49</w:t>
      </w:r>
      <w:r>
        <w:fldChar w:fldCharType="end"/>
      </w:r>
    </w:p>
    <w:p>
      <w:pPr>
        <w:pStyle w:val="TOC8"/>
        <w:rPr>
          <w:sz w:val="24"/>
          <w:szCs w:val="24"/>
        </w:rPr>
      </w:pPr>
      <w:r>
        <w:rPr>
          <w:szCs w:val="22"/>
        </w:rPr>
        <w:t>3.</w:t>
      </w:r>
      <w:r>
        <w:rPr>
          <w:szCs w:val="22"/>
        </w:rPr>
        <w:tab/>
        <w:t>Rules of bankruptcy apply</w:t>
      </w:r>
      <w:r>
        <w:tab/>
      </w:r>
      <w:r>
        <w:fldChar w:fldCharType="begin"/>
      </w:r>
      <w:r>
        <w:instrText xml:space="preserve"> PAGEREF _Toc271807698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_Toc271807700 \h </w:instrText>
      </w:r>
      <w:r>
        <w:fldChar w:fldCharType="separate"/>
      </w:r>
      <w:r>
        <w:t>50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pacing w:before="1800" w:after="1200"/>
      </w:pPr>
      <w:r>
        <w:t xml:space="preserve">Administration Act 1903 </w:t>
      </w:r>
    </w:p>
    <w:p>
      <w:pPr>
        <w:pStyle w:val="LongTitle"/>
        <w:rPr>
          <w:snapToGrid w:val="0"/>
        </w:rPr>
      </w:pPr>
      <w:r>
        <w:rPr>
          <w:snapToGrid w:val="0"/>
        </w:rPr>
        <w:t xml:space="preserve">An Act to consolidate and amend the law relating to probate and administration and the duties on the estates of deceased persons and for other purposes. </w:t>
      </w:r>
    </w:p>
    <w:p>
      <w:pPr>
        <w:pStyle w:val="Heading2"/>
      </w:pPr>
      <w:bookmarkStart w:id="1" w:name="_Toc89160080"/>
      <w:bookmarkStart w:id="2" w:name="_Toc101855556"/>
      <w:bookmarkStart w:id="3" w:name="_Toc121561247"/>
      <w:bookmarkStart w:id="4" w:name="_Toc124061232"/>
      <w:bookmarkStart w:id="5" w:name="_Toc124140124"/>
      <w:bookmarkStart w:id="6" w:name="_Toc137972972"/>
      <w:bookmarkStart w:id="7" w:name="_Toc140397818"/>
      <w:bookmarkStart w:id="8" w:name="_Toc140979965"/>
      <w:bookmarkStart w:id="9" w:name="_Toc140980177"/>
      <w:bookmarkStart w:id="10" w:name="_Toc151784500"/>
      <w:bookmarkStart w:id="11" w:name="_Toc155594344"/>
      <w:bookmarkStart w:id="12" w:name="_Toc266865844"/>
      <w:bookmarkStart w:id="13" w:name="_Toc27180761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26349167"/>
      <w:bookmarkStart w:id="15" w:name="_Toc124061233"/>
      <w:bookmarkStart w:id="16" w:name="_Toc271807615"/>
      <w:r>
        <w:rPr>
          <w:rStyle w:val="CharSectno"/>
        </w:rPr>
        <w:t>1</w:t>
      </w:r>
      <w:r>
        <w:rPr>
          <w:snapToGrid w:val="0"/>
        </w:rPr>
        <w:t>.</w:t>
      </w:r>
      <w:r>
        <w:rPr>
          <w:snapToGrid w:val="0"/>
        </w:rPr>
        <w:tab/>
        <w:t>Short title and construction</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w:t>
      </w:r>
      <w:r>
        <w:rPr>
          <w:snapToGrid w:val="0"/>
          <w:vertAlign w:val="superscript"/>
        </w:rPr>
        <w:t>1</w:t>
      </w:r>
      <w:r>
        <w:rPr>
          <w:snapToGrid w:val="0"/>
        </w:rPr>
        <w:t xml:space="preserve"> and shall be construed as one with the </w:t>
      </w:r>
      <w:r>
        <w:rPr>
          <w:i/>
          <w:snapToGrid w:val="0"/>
        </w:rPr>
        <w:t>Supreme Court Act 1935</w:t>
      </w:r>
      <w:r>
        <w:rPr>
          <w:snapToGrid w:val="0"/>
        </w:rPr>
        <w:t>.</w:t>
      </w:r>
    </w:p>
    <w:p>
      <w:pPr>
        <w:pStyle w:val="Footnotesection"/>
      </w:pPr>
      <w:r>
        <w:tab/>
        <w:t xml:space="preserve">[Section 1 inserted by No. 57 of 1984 s. 2.] </w:t>
      </w:r>
    </w:p>
    <w:p>
      <w:pPr>
        <w:pStyle w:val="Ednotesection"/>
      </w:pPr>
      <w:r>
        <w:t>[</w:t>
      </w:r>
      <w:r>
        <w:rPr>
          <w:b/>
          <w:bCs/>
        </w:rPr>
        <w:t>2.</w:t>
      </w:r>
      <w:r>
        <w:tab/>
        <w:t>Omitted under Reprints Act 1984 s. 7(4)(f).]</w:t>
      </w:r>
    </w:p>
    <w:p>
      <w:pPr>
        <w:pStyle w:val="Heading5"/>
        <w:rPr>
          <w:snapToGrid w:val="0"/>
        </w:rPr>
      </w:pPr>
      <w:bookmarkStart w:id="17" w:name="_Toc26349169"/>
      <w:bookmarkStart w:id="18" w:name="_Toc124061234"/>
      <w:bookmarkStart w:id="19" w:name="_Toc271807616"/>
      <w:r>
        <w:rPr>
          <w:rStyle w:val="CharSectno"/>
        </w:rPr>
        <w:t>3</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contrary appears — </w:t>
      </w:r>
    </w:p>
    <w:p>
      <w:pPr>
        <w:pStyle w:val="Defstart"/>
      </w:pPr>
      <w:r>
        <w:rPr>
          <w:b/>
        </w:rPr>
        <w:tab/>
      </w:r>
      <w:r>
        <w:rPr>
          <w:rStyle w:val="CharDefText"/>
        </w:rPr>
        <w:t>administration</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pPr>
        <w:pStyle w:val="Defstart"/>
      </w:pPr>
      <w:r>
        <w:rPr>
          <w:b/>
        </w:rPr>
        <w:tab/>
      </w:r>
      <w:r>
        <w:rPr>
          <w:rStyle w:val="CharDefText"/>
        </w:rPr>
        <w:t>administrator</w:t>
      </w:r>
      <w:r>
        <w:t xml:space="preserve"> includes the Public Trustee and any other person to whom administration, as hereinafter defined, is granted;</w:t>
      </w:r>
    </w:p>
    <w:p>
      <w:pPr>
        <w:pStyle w:val="Defstart"/>
      </w:pPr>
      <w:r>
        <w:rPr>
          <w:b/>
        </w:rPr>
        <w:tab/>
      </w:r>
      <w:r>
        <w:rPr>
          <w:rStyle w:val="CharDefText"/>
        </w:rPr>
        <w:t>Court</w:t>
      </w:r>
      <w:r>
        <w:t xml:space="preserve"> means the Supreme Court or any judge thereof;</w:t>
      </w:r>
    </w:p>
    <w:p>
      <w:pPr>
        <w:pStyle w:val="Defstart"/>
      </w:pPr>
      <w:r>
        <w:rPr>
          <w:b/>
        </w:rPr>
        <w:tab/>
      </w:r>
      <w:r>
        <w:rPr>
          <w:rStyle w:val="CharDefText"/>
        </w:rPr>
        <w:t>insolvent</w:t>
      </w:r>
      <w:r>
        <w:t>, in relation to the estate of a deceased person, means insufficient for the payment in full of the debts and liabilities of the estate of the deceased person;</w:t>
      </w:r>
    </w:p>
    <w:p>
      <w:pPr>
        <w:pStyle w:val="Defstart"/>
      </w:pPr>
      <w:r>
        <w:rPr>
          <w:b/>
        </w:rPr>
        <w:tab/>
      </w:r>
      <w:r>
        <w:rPr>
          <w:rStyle w:val="CharDefText"/>
        </w:rPr>
        <w:t>personal estate</w:t>
      </w:r>
      <w:r>
        <w:t xml:space="preserve"> extends to leasehold estates and other chattels real, and also to all other property whatsoever which, prior to the coming into operation of The Real Estates Administration Act </w:t>
      </w:r>
      <w:r>
        <w:rPr>
          <w:vertAlign w:val="superscript"/>
        </w:rPr>
        <w:t>2</w:t>
      </w:r>
      <w:r>
        <w:t>, by law devolved upon the executor or administrator, and to any share or interest therein;</w:t>
      </w:r>
    </w:p>
    <w:p>
      <w:pPr>
        <w:pStyle w:val="Defstart"/>
      </w:pPr>
      <w:r>
        <w:rPr>
          <w:b/>
        </w:rPr>
        <w:tab/>
      </w:r>
      <w:r>
        <w:rPr>
          <w:rStyle w:val="CharDefText"/>
        </w:rPr>
        <w:t>prescribed</w:t>
      </w:r>
      <w:r>
        <w:t xml:space="preserve"> means prescribed by this Act or the rules or regulations thereunder;</w:t>
      </w:r>
    </w:p>
    <w:p>
      <w:pPr>
        <w:pStyle w:val="Defstart"/>
      </w:pPr>
      <w:r>
        <w:rPr>
          <w:b/>
        </w:rPr>
        <w:tab/>
      </w:r>
      <w:r>
        <w:rPr>
          <w:rStyle w:val="CharDefText"/>
        </w:rPr>
        <w:t>Principal Registrar</w:t>
      </w:r>
      <w:r>
        <w:t xml:space="preserve"> means the person for the time being holding or acting in the office designated under the </w:t>
      </w:r>
      <w:r>
        <w:rPr>
          <w:i/>
        </w:rPr>
        <w:t>Supreme Court Act 1935</w:t>
      </w:r>
      <w:r>
        <w:t>, “Principal Registrar of the Supreme Court”;</w:t>
      </w:r>
    </w:p>
    <w:p>
      <w:pPr>
        <w:pStyle w:val="Defstart"/>
      </w:pPr>
      <w:r>
        <w:rPr>
          <w:b/>
        </w:rPr>
        <w:tab/>
      </w:r>
      <w:r>
        <w:rPr>
          <w:rStyle w:val="CharDefText"/>
        </w:rPr>
        <w:t>probate</w:t>
      </w:r>
      <w:r>
        <w:t xml:space="preserve"> includes </w:t>
      </w:r>
      <w:r>
        <w:rPr>
          <w:rStyle w:val="CharDefText"/>
        </w:rPr>
        <w:t>exemplification of probate</w:t>
      </w:r>
      <w:r>
        <w:t xml:space="preserve"> and such other formal evidence of probate purporting to be under the seal of a court of competent jurisdiction, as in the opinion of the Court is sufficient;</w:t>
      </w:r>
    </w:p>
    <w:p>
      <w:pPr>
        <w:pStyle w:val="Defstart"/>
      </w:pPr>
      <w:r>
        <w:rPr>
          <w:b/>
        </w:rPr>
        <w:tab/>
      </w:r>
      <w:r>
        <w:rPr>
          <w:rStyle w:val="CharDefText"/>
        </w:rPr>
        <w:t>Public Trustee</w:t>
      </w:r>
      <w:r>
        <w:t xml:space="preserve"> means the Public Trustee under the </w:t>
      </w:r>
      <w:r>
        <w:rPr>
          <w:i/>
        </w:rPr>
        <w:t>Public Trustee Act 1941</w:t>
      </w:r>
      <w:r>
        <w:t>;</w:t>
      </w:r>
    </w:p>
    <w:p>
      <w:pPr>
        <w:pStyle w:val="Defstart"/>
      </w:pPr>
      <w:r>
        <w:rPr>
          <w:b/>
        </w:rPr>
        <w:tab/>
      </w:r>
      <w:r>
        <w:rPr>
          <w:rStyle w:val="CharDefText"/>
        </w:rPr>
        <w:t>real estate</w:t>
      </w:r>
      <w:r>
        <w:t xml:space="preserve"> extends to messuages, lands, rents and hereditaments of freehold or any other tenure, and whether corporeal, incorporeal, or personal, and to any undivided share thereof, and to any estate, right, or interest (other than a chattel interest) therein;</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pPr>
        <w:pStyle w:val="Defstart"/>
      </w:pPr>
      <w:r>
        <w:rPr>
          <w:b/>
        </w:rPr>
        <w:tab/>
      </w:r>
      <w:r>
        <w:rPr>
          <w:rStyle w:val="CharDefText"/>
        </w:rPr>
        <w:t>will</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pPr>
        <w:pStyle w:val="Footnotesection"/>
      </w:pPr>
      <w:r>
        <w:tab/>
        <w:t xml:space="preserve">[Section 3 amended by No. 62 of 1955 s. 2; No. 67 of 1979 s. 42; No. 72 of 1984 s. 3.] </w:t>
      </w:r>
    </w:p>
    <w:p>
      <w:pPr>
        <w:pStyle w:val="Heading2"/>
      </w:pPr>
      <w:bookmarkStart w:id="20" w:name="_Toc89160084"/>
      <w:bookmarkStart w:id="21" w:name="_Toc101855560"/>
      <w:bookmarkStart w:id="22" w:name="_Toc121561251"/>
      <w:bookmarkStart w:id="23" w:name="_Toc124061235"/>
      <w:bookmarkStart w:id="24" w:name="_Toc124140127"/>
      <w:bookmarkStart w:id="25" w:name="_Toc137972975"/>
      <w:bookmarkStart w:id="26" w:name="_Toc140397821"/>
      <w:bookmarkStart w:id="27" w:name="_Toc140979968"/>
      <w:bookmarkStart w:id="28" w:name="_Toc140980180"/>
      <w:bookmarkStart w:id="29" w:name="_Toc151784503"/>
      <w:bookmarkStart w:id="30" w:name="_Toc155594347"/>
      <w:bookmarkStart w:id="31" w:name="_Toc266865847"/>
      <w:bookmarkStart w:id="32" w:name="_Toc271807617"/>
      <w:r>
        <w:rPr>
          <w:rStyle w:val="CharPartNo"/>
        </w:rPr>
        <w:t>Part II</w:t>
      </w:r>
      <w:r>
        <w:rPr>
          <w:rStyle w:val="CharDivNo"/>
        </w:rPr>
        <w:t> </w:t>
      </w:r>
      <w:r>
        <w:t>—</w:t>
      </w:r>
      <w:r>
        <w:rPr>
          <w:rStyle w:val="CharDivText"/>
        </w:rPr>
        <w:t> </w:t>
      </w:r>
      <w:r>
        <w:rPr>
          <w:rStyle w:val="CharPartText"/>
        </w:rPr>
        <w:t>Probate and administration</w:t>
      </w:r>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26349170"/>
      <w:bookmarkStart w:id="34" w:name="_Toc124061236"/>
      <w:bookmarkStart w:id="35" w:name="_Toc271807618"/>
      <w:r>
        <w:rPr>
          <w:rStyle w:val="CharSectno"/>
        </w:rPr>
        <w:t>4</w:t>
      </w:r>
      <w:r>
        <w:rPr>
          <w:snapToGrid w:val="0"/>
        </w:rPr>
        <w:t>.</w:t>
      </w:r>
      <w:r>
        <w:rPr>
          <w:snapToGrid w:val="0"/>
        </w:rPr>
        <w:tab/>
        <w:t>Jurisdiction of Court as heretofore</w:t>
      </w:r>
      <w:bookmarkEnd w:id="33"/>
      <w:bookmarkEnd w:id="34"/>
      <w:bookmarkEnd w:id="35"/>
      <w:r>
        <w:rPr>
          <w:snapToGrid w:val="0"/>
        </w:rPr>
        <w:t xml:space="preserve"> </w:t>
      </w:r>
    </w:p>
    <w:p>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pPr>
        <w:pStyle w:val="Heading5"/>
        <w:rPr>
          <w:snapToGrid w:val="0"/>
        </w:rPr>
      </w:pPr>
      <w:bookmarkStart w:id="36" w:name="_Toc26349171"/>
      <w:bookmarkStart w:id="37" w:name="_Toc124061237"/>
      <w:bookmarkStart w:id="38" w:name="_Toc271807619"/>
      <w:r>
        <w:rPr>
          <w:rStyle w:val="CharSectno"/>
        </w:rPr>
        <w:t>5</w:t>
      </w:r>
      <w:r>
        <w:rPr>
          <w:snapToGrid w:val="0"/>
        </w:rPr>
        <w:t>.</w:t>
      </w:r>
      <w:r>
        <w:rPr>
          <w:snapToGrid w:val="0"/>
        </w:rPr>
        <w:tab/>
        <w:t>Duties of Principal Registrar</w:t>
      </w:r>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performed by the Master of the Supreme Court in reference to proceedings in the ecclesiastical jurisdiction of the Court, and such other duties, as may be prescribed by the rules.</w:t>
      </w:r>
    </w:p>
    <w:p>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pPr>
        <w:pStyle w:val="Footnotesection"/>
      </w:pPr>
      <w:r>
        <w:tab/>
        <w:t xml:space="preserve">[Section 5 amended by No. 67 of 1979 s. 43.] </w:t>
      </w:r>
    </w:p>
    <w:p>
      <w:pPr>
        <w:pStyle w:val="Heading5"/>
        <w:rPr>
          <w:snapToGrid w:val="0"/>
        </w:rPr>
      </w:pPr>
      <w:bookmarkStart w:id="39" w:name="_Toc26349172"/>
      <w:bookmarkStart w:id="40" w:name="_Toc124061238"/>
      <w:bookmarkStart w:id="41" w:name="_Toc271807620"/>
      <w:r>
        <w:rPr>
          <w:rStyle w:val="CharSectno"/>
        </w:rPr>
        <w:t>6</w:t>
      </w:r>
      <w:r>
        <w:rPr>
          <w:snapToGrid w:val="0"/>
        </w:rPr>
        <w:t>.</w:t>
      </w:r>
      <w:r>
        <w:rPr>
          <w:snapToGrid w:val="0"/>
        </w:rPr>
        <w:tab/>
        <w:t>Power to grant probate and administration</w:t>
      </w:r>
      <w:bookmarkEnd w:id="39"/>
      <w:bookmarkEnd w:id="40"/>
      <w:bookmarkEnd w:id="41"/>
      <w:r>
        <w:rPr>
          <w:snapToGrid w:val="0"/>
        </w:rPr>
        <w:t xml:space="preserve"> </w:t>
      </w:r>
    </w:p>
    <w:p>
      <w:pPr>
        <w:pStyle w:val="Subsection"/>
        <w:rPr>
          <w:snapToGrid w:val="0"/>
        </w:rPr>
      </w:pPr>
      <w:r>
        <w:rPr>
          <w:snapToGrid w:val="0"/>
        </w:rPr>
        <w:tab/>
      </w:r>
      <w:r>
        <w:rPr>
          <w:snapToGrid w:val="0"/>
        </w:rPr>
        <w:tab/>
        <w:t xml:space="preserve">The Court shall have jurisdiction to grant probate of the will or administration of the estate of any deceased person leaving property, whether real or personal,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Heading5"/>
        <w:rPr>
          <w:snapToGrid w:val="0"/>
        </w:rPr>
      </w:pPr>
      <w:bookmarkStart w:id="42" w:name="_Toc26349173"/>
      <w:bookmarkStart w:id="43" w:name="_Toc124061239"/>
      <w:bookmarkStart w:id="44" w:name="_Toc271807621"/>
      <w:r>
        <w:rPr>
          <w:rStyle w:val="CharSectno"/>
        </w:rPr>
        <w:t>7</w:t>
      </w:r>
      <w:r>
        <w:rPr>
          <w:snapToGrid w:val="0"/>
        </w:rPr>
        <w:t>.</w:t>
      </w:r>
      <w:r>
        <w:rPr>
          <w:snapToGrid w:val="0"/>
        </w:rPr>
        <w:tab/>
        <w:t>Probate may be granted to one or more executors</w:t>
      </w:r>
      <w:bookmarkEnd w:id="42"/>
      <w:bookmarkEnd w:id="43"/>
      <w:bookmarkEnd w:id="44"/>
      <w:r>
        <w:rPr>
          <w:snapToGrid w:val="0"/>
        </w:rPr>
        <w:t xml:space="preserve"> </w:t>
      </w:r>
    </w:p>
    <w:p>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pPr>
        <w:pStyle w:val="Heading5"/>
        <w:rPr>
          <w:snapToGrid w:val="0"/>
        </w:rPr>
      </w:pPr>
      <w:bookmarkStart w:id="45" w:name="_Toc26349174"/>
      <w:bookmarkStart w:id="46" w:name="_Toc124061240"/>
      <w:bookmarkStart w:id="47" w:name="_Toc271807622"/>
      <w:r>
        <w:rPr>
          <w:rStyle w:val="CharSectno"/>
        </w:rPr>
        <w:t>8</w:t>
      </w:r>
      <w:r>
        <w:rPr>
          <w:snapToGrid w:val="0"/>
        </w:rPr>
        <w:t>.</w:t>
      </w:r>
      <w:r>
        <w:rPr>
          <w:snapToGrid w:val="0"/>
        </w:rPr>
        <w:tab/>
        <w:t>Upon grant of probate or administration real and personal estate to vest in executor or administrator</w:t>
      </w:r>
      <w:bookmarkEnd w:id="45"/>
      <w:bookmarkEnd w:id="46"/>
      <w:bookmarkEnd w:id="47"/>
      <w:r>
        <w:rPr>
          <w:snapToGrid w:val="0"/>
        </w:rPr>
        <w:t xml:space="preserve"> </w:t>
      </w:r>
    </w:p>
    <w:p>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pPr>
        <w:pStyle w:val="Indenta"/>
        <w:rPr>
          <w:snapToGrid w:val="0"/>
        </w:rPr>
      </w:pPr>
      <w:r>
        <w:rPr>
          <w:snapToGrid w:val="0"/>
        </w:rPr>
        <w:tab/>
        <w:t>(a)</w:t>
      </w:r>
      <w:r>
        <w:rPr>
          <w:snapToGrid w:val="0"/>
        </w:rPr>
        <w:tab/>
        <w:t>on testacy or on partial intestacy, in the executor or administrator with the will annexed; and</w:t>
      </w:r>
    </w:p>
    <w:p>
      <w:pPr>
        <w:pStyle w:val="Indenta"/>
        <w:rPr>
          <w:snapToGrid w:val="0"/>
        </w:rPr>
      </w:pPr>
      <w:r>
        <w:rPr>
          <w:snapToGrid w:val="0"/>
        </w:rPr>
        <w:tab/>
        <w:t>(b)</w:t>
      </w:r>
      <w:r>
        <w:rPr>
          <w:snapToGrid w:val="0"/>
        </w:rPr>
        <w:tab/>
        <w:t>on intestacy, in the administrator.</w:t>
      </w:r>
    </w:p>
    <w:p>
      <w:pPr>
        <w:pStyle w:val="Heading5"/>
        <w:rPr>
          <w:snapToGrid w:val="0"/>
        </w:rPr>
      </w:pPr>
      <w:bookmarkStart w:id="48" w:name="_Toc26349175"/>
      <w:bookmarkStart w:id="49" w:name="_Toc124061241"/>
      <w:bookmarkStart w:id="50" w:name="_Toc271807623"/>
      <w:r>
        <w:rPr>
          <w:rStyle w:val="CharSectno"/>
        </w:rPr>
        <w:t>9</w:t>
      </w:r>
      <w:r>
        <w:rPr>
          <w:snapToGrid w:val="0"/>
        </w:rPr>
        <w:t>.</w:t>
      </w:r>
      <w:r>
        <w:rPr>
          <w:snapToGrid w:val="0"/>
        </w:rPr>
        <w:tab/>
        <w:t>Real estate to vest subject to trusts</w:t>
      </w:r>
      <w:bookmarkEnd w:id="48"/>
      <w:bookmarkEnd w:id="49"/>
      <w:bookmarkEnd w:id="50"/>
      <w:r>
        <w:rPr>
          <w:snapToGrid w:val="0"/>
        </w:rPr>
        <w:t xml:space="preserve"> </w:t>
      </w:r>
    </w:p>
    <w:p>
      <w:pPr>
        <w:pStyle w:val="Subsection"/>
        <w:rPr>
          <w:snapToGrid w:val="0"/>
        </w:rPr>
      </w:pPr>
      <w:r>
        <w:rPr>
          <w:snapToGrid w:val="0"/>
        </w:rPr>
        <w:tab/>
      </w:r>
      <w:r>
        <w:rPr>
          <w:snapToGrid w:val="0"/>
        </w:rPr>
        <w:tab/>
        <w:t>All real estate held by any person in trust shall vest as aforesaid, subject to the trusts and equities affecting the same.</w:t>
      </w:r>
    </w:p>
    <w:p>
      <w:pPr>
        <w:pStyle w:val="Heading5"/>
        <w:rPr>
          <w:snapToGrid w:val="0"/>
        </w:rPr>
      </w:pPr>
      <w:bookmarkStart w:id="51" w:name="_Toc26349176"/>
      <w:bookmarkStart w:id="52" w:name="_Toc124061242"/>
      <w:bookmarkStart w:id="53" w:name="_Toc271807624"/>
      <w:r>
        <w:rPr>
          <w:rStyle w:val="CharSectno"/>
        </w:rPr>
        <w:t>10</w:t>
      </w:r>
      <w:r>
        <w:rPr>
          <w:snapToGrid w:val="0"/>
        </w:rPr>
        <w:t>.</w:t>
      </w:r>
      <w:r>
        <w:rPr>
          <w:snapToGrid w:val="0"/>
        </w:rPr>
        <w:tab/>
        <w:t>Real and personal estate to be assets</w:t>
      </w:r>
      <w:bookmarkEnd w:id="51"/>
      <w:bookmarkEnd w:id="52"/>
      <w:bookmarkEnd w:id="53"/>
      <w:r>
        <w:rPr>
          <w:snapToGrid w:val="0"/>
        </w:rPr>
        <w:t xml:space="preserve"> </w:t>
      </w:r>
    </w:p>
    <w:p>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pPr>
        <w:pStyle w:val="Subsection"/>
        <w:rPr>
          <w:snapToGrid w:val="0"/>
        </w:rPr>
      </w:pPr>
      <w:r>
        <w:rPr>
          <w:snapToGrid w:val="0"/>
        </w:rPr>
        <w:tab/>
        <w:t>(2)</w:t>
      </w:r>
      <w:r>
        <w:rPr>
          <w:snapToGrid w:val="0"/>
        </w:rPr>
        <w:tab/>
        <w:t>No executor or administrator shall hereafter have or exercise any right of retainer.</w:t>
      </w:r>
    </w:p>
    <w:p>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shall not have or exercise any right to give preference as between creditors standing in equal degree.</w:t>
      </w:r>
    </w:p>
    <w:p>
      <w:pPr>
        <w:pStyle w:val="Subsection"/>
        <w:keepNext/>
        <w:rPr>
          <w:snapToGrid w:val="0"/>
        </w:rPr>
      </w:pPr>
      <w:r>
        <w:rPr>
          <w:snapToGrid w:val="0"/>
        </w:rPr>
        <w:tab/>
        <w:t>(5)</w:t>
      </w:r>
      <w:r>
        <w:rPr>
          <w:snapToGrid w:val="0"/>
        </w:rPr>
        <w:tab/>
        <w:t>Notwithstanding subsection (4), an executor or administrator who — </w:t>
      </w:r>
    </w:p>
    <w:p>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pPr>
        <w:pStyle w:val="Footnotesection"/>
      </w:pPr>
      <w:r>
        <w:tab/>
        <w:t xml:space="preserve">[Section 10 amended by No. 62 of 1955 s. 3; No. 72 of 1984 s. 4.] </w:t>
      </w:r>
    </w:p>
    <w:p>
      <w:pPr>
        <w:pStyle w:val="Heading5"/>
        <w:rPr>
          <w:snapToGrid w:val="0"/>
        </w:rPr>
      </w:pPr>
      <w:bookmarkStart w:id="54" w:name="_Toc26349177"/>
      <w:bookmarkStart w:id="55" w:name="_Toc124061243"/>
      <w:bookmarkStart w:id="56" w:name="_Toc271807625"/>
      <w:r>
        <w:rPr>
          <w:rStyle w:val="CharSectno"/>
        </w:rPr>
        <w:t>10A</w:t>
      </w:r>
      <w:r>
        <w:rPr>
          <w:snapToGrid w:val="0"/>
        </w:rPr>
        <w:t xml:space="preserve">. </w:t>
      </w:r>
      <w:r>
        <w:rPr>
          <w:snapToGrid w:val="0"/>
        </w:rPr>
        <w:tab/>
        <w:t>Insolvent estates</w:t>
      </w:r>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is insolvent, his real and personal estate shall be administered in accordance with the rules set out in the Fifth Schedule.</w:t>
      </w:r>
    </w:p>
    <w:p>
      <w:pPr>
        <w:pStyle w:val="Subsection"/>
        <w:rPr>
          <w:snapToGrid w:val="0"/>
        </w:rPr>
      </w:pPr>
      <w:r>
        <w:rPr>
          <w:snapToGrid w:val="0"/>
        </w:rPr>
        <w:tab/>
        <w:t>(2)</w:t>
      </w:r>
      <w:r>
        <w:rPr>
          <w:snapToGrid w:val="0"/>
        </w:rPr>
        <w:tab/>
        <w:t>This section binds the Crown.</w:t>
      </w:r>
    </w:p>
    <w:p>
      <w:pPr>
        <w:pStyle w:val="Footnotesection"/>
      </w:pPr>
      <w:r>
        <w:tab/>
        <w:t xml:space="preserve">[Section 10A inserted by No. 72 of 1984 s. 5.] </w:t>
      </w:r>
    </w:p>
    <w:p>
      <w:pPr>
        <w:pStyle w:val="Heading5"/>
        <w:rPr>
          <w:snapToGrid w:val="0"/>
        </w:rPr>
      </w:pPr>
      <w:bookmarkStart w:id="57" w:name="_Toc26349178"/>
      <w:bookmarkStart w:id="58" w:name="_Toc124061244"/>
      <w:bookmarkStart w:id="59" w:name="_Toc271807626"/>
      <w:r>
        <w:rPr>
          <w:rStyle w:val="CharSectno"/>
        </w:rPr>
        <w:t>11</w:t>
      </w:r>
      <w:r>
        <w:rPr>
          <w:snapToGrid w:val="0"/>
        </w:rPr>
        <w:t>.</w:t>
      </w:r>
      <w:r>
        <w:rPr>
          <w:snapToGrid w:val="0"/>
        </w:rPr>
        <w:tab/>
        <w:t>Subject as aforesaid real estate to vest according to will</w:t>
      </w:r>
      <w:bookmarkEnd w:id="57"/>
      <w:bookmarkEnd w:id="58"/>
      <w:bookmarkEnd w:id="59"/>
      <w:r>
        <w:rPr>
          <w:snapToGrid w:val="0"/>
        </w:rPr>
        <w:t xml:space="preserve"> </w:t>
      </w:r>
    </w:p>
    <w:p>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pPr>
        <w:pStyle w:val="Heading5"/>
        <w:rPr>
          <w:snapToGrid w:val="0"/>
        </w:rPr>
      </w:pPr>
      <w:bookmarkStart w:id="60" w:name="_Toc26349179"/>
      <w:bookmarkStart w:id="61" w:name="_Toc124061245"/>
      <w:bookmarkStart w:id="62" w:name="_Toc271807627"/>
      <w:r>
        <w:rPr>
          <w:rStyle w:val="CharSectno"/>
        </w:rPr>
        <w:t>12</w:t>
      </w:r>
      <w:r>
        <w:rPr>
          <w:snapToGrid w:val="0"/>
        </w:rPr>
        <w:t>.</w:t>
      </w:r>
      <w:r>
        <w:rPr>
          <w:snapToGrid w:val="0"/>
        </w:rPr>
        <w:tab/>
        <w:t>Executor to have same rights and duties as to real estate as heretofore as to personal estate</w:t>
      </w:r>
      <w:bookmarkEnd w:id="60"/>
      <w:bookmarkEnd w:id="61"/>
      <w:bookmarkEnd w:id="62"/>
      <w:r>
        <w:rPr>
          <w:snapToGrid w:val="0"/>
        </w:rPr>
        <w:t xml:space="preserve"> </w:t>
      </w:r>
    </w:p>
    <w:p>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pPr>
        <w:pStyle w:val="Heading5"/>
        <w:rPr>
          <w:snapToGrid w:val="0"/>
        </w:rPr>
      </w:pPr>
      <w:bookmarkStart w:id="63" w:name="_Toc26349180"/>
      <w:bookmarkStart w:id="64" w:name="_Toc124061246"/>
      <w:bookmarkStart w:id="65" w:name="_Toc271807628"/>
      <w:r>
        <w:rPr>
          <w:rStyle w:val="CharSectno"/>
        </w:rPr>
        <w:t>12A</w:t>
      </w:r>
      <w:r>
        <w:rPr>
          <w:snapToGrid w:val="0"/>
        </w:rPr>
        <w:t xml:space="preserve">. </w:t>
      </w:r>
      <w:r>
        <w:rPr>
          <w:snapToGrid w:val="0"/>
        </w:rPr>
        <w:tab/>
        <w:t>Entitlement to participation in distribution of intestate estates</w:t>
      </w:r>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xml:space="preserve"> </w:t>
      </w:r>
      <w:r>
        <w:rPr>
          <w:snapToGrid w:val="0"/>
          <w:vertAlign w:val="superscript"/>
        </w:rPr>
        <w:t>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pPr>
        <w:pStyle w:val="Subsection"/>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i/>
          <w:snapToGrid w:val="0"/>
          <w:vertAlign w:val="superscript"/>
        </w:rPr>
        <w:t xml:space="preserve"> </w:t>
      </w:r>
      <w:r>
        <w:rPr>
          <w:iCs/>
          <w:snapToGrid w:val="0"/>
          <w:vertAlign w:val="superscript"/>
        </w:rPr>
        <w:t>1</w:t>
      </w:r>
      <w:r>
        <w:rPr>
          <w:snapToGrid w:val="0"/>
        </w:rPr>
        <w:t>.</w:t>
      </w:r>
    </w:p>
    <w:p>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xml:space="preserve"> </w:t>
      </w:r>
      <w:r>
        <w:rPr>
          <w:snapToGrid w:val="0"/>
          <w:vertAlign w:val="superscript"/>
        </w:rPr>
        <w:t>1</w:t>
      </w:r>
      <w:r>
        <w:rPr>
          <w:snapToGrid w:val="0"/>
        </w:rPr>
        <w:t>, shall be distributed in accordance with the enactments and rules of law which would have applied to them if that Act had not been passed.</w:t>
      </w:r>
    </w:p>
    <w:p>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rPr>
          <w:snapToGrid w:val="0"/>
        </w:rPr>
        <w:t> </w:t>
      </w:r>
      <w:r>
        <w:rPr>
          <w:snapToGrid w:val="0"/>
          <w:vertAlign w:val="superscript"/>
        </w:rPr>
        <w:t>1</w:t>
      </w:r>
      <w:r>
        <w:t xml:space="preserve"> shall be distributed in accordance with the enactments and rules of law which would have applied to them if that Act had not been passed.</w:t>
      </w:r>
    </w:p>
    <w:p>
      <w:pPr>
        <w:pStyle w:val="Footnotesection"/>
      </w:pPr>
      <w:r>
        <w:tab/>
        <w:t>[Section 12A inserted by No. 18 of 1971 s. 3; amended by No. 14 of 1985 s. 8; No. 3 of 2002 s. 4.]</w:t>
      </w:r>
    </w:p>
    <w:p>
      <w:pPr>
        <w:pStyle w:val="Heading5"/>
        <w:rPr>
          <w:snapToGrid w:val="0"/>
        </w:rPr>
      </w:pPr>
      <w:bookmarkStart w:id="66" w:name="_Toc26349181"/>
      <w:bookmarkStart w:id="67" w:name="_Toc124061247"/>
      <w:bookmarkStart w:id="68" w:name="_Toc271807629"/>
      <w:r>
        <w:rPr>
          <w:rStyle w:val="CharSectno"/>
        </w:rPr>
        <w:t>12B</w:t>
      </w:r>
      <w:r>
        <w:rPr>
          <w:snapToGrid w:val="0"/>
        </w:rPr>
        <w:t xml:space="preserve">. </w:t>
      </w:r>
      <w:r>
        <w:rPr>
          <w:snapToGrid w:val="0"/>
        </w:rPr>
        <w:tab/>
        <w:t>Relationships of the whole and the half blood</w:t>
      </w:r>
      <w:bookmarkEnd w:id="66"/>
      <w:bookmarkEnd w:id="67"/>
      <w:bookmarkEnd w:id="68"/>
      <w:r>
        <w:rPr>
          <w:snapToGrid w:val="0"/>
        </w:rPr>
        <w:t xml:space="preserve"> </w:t>
      </w:r>
    </w:p>
    <w:p>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pPr>
        <w:pStyle w:val="Footnotesection"/>
      </w:pPr>
      <w:r>
        <w:tab/>
        <w:t xml:space="preserve">[Section 12B inserted by No. 57 of 1984 s. 3.] </w:t>
      </w:r>
    </w:p>
    <w:p>
      <w:pPr>
        <w:pStyle w:val="Heading5"/>
        <w:rPr>
          <w:snapToGrid w:val="0"/>
        </w:rPr>
      </w:pPr>
      <w:bookmarkStart w:id="69" w:name="_Toc26349182"/>
      <w:bookmarkStart w:id="70" w:name="_Toc124061248"/>
      <w:bookmarkStart w:id="71" w:name="_Toc271807630"/>
      <w:r>
        <w:rPr>
          <w:rStyle w:val="CharSectno"/>
        </w:rPr>
        <w:t>13</w:t>
      </w:r>
      <w:r>
        <w:rPr>
          <w:snapToGrid w:val="0"/>
        </w:rPr>
        <w:t>.</w:t>
      </w:r>
      <w:r>
        <w:rPr>
          <w:snapToGrid w:val="0"/>
        </w:rPr>
        <w:tab/>
        <w:t>Real and personal estate in case of intestacy</w:t>
      </w:r>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shall be held and distributed in accordance with the enactments and rules of law which would have applied to those estates if that Act had not been passed.</w:t>
      </w:r>
    </w:p>
    <w:p>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intended so to take.</w:t>
      </w:r>
    </w:p>
    <w:p>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pPr>
        <w:pStyle w:val="Footnotesection"/>
      </w:pPr>
      <w:r>
        <w:tab/>
        <w:t xml:space="preserve">[Section 13 amended by No. 28 of 1934 s. 77(3)(b) and (4); No. 138 of 1976 s. 3; No. 72 of 1984 s. 6; No. 25 of 2002 s. 52.] </w:t>
      </w:r>
    </w:p>
    <w:p>
      <w:pPr>
        <w:pStyle w:val="Heading5"/>
        <w:rPr>
          <w:snapToGrid w:val="0"/>
        </w:rPr>
      </w:pPr>
      <w:bookmarkStart w:id="72" w:name="_Toc26349183"/>
      <w:bookmarkStart w:id="73" w:name="_Toc124061249"/>
      <w:bookmarkStart w:id="74" w:name="_Toc271807631"/>
      <w:r>
        <w:rPr>
          <w:rStyle w:val="CharSectno"/>
        </w:rPr>
        <w:t>14</w:t>
      </w:r>
      <w:r>
        <w:rPr>
          <w:snapToGrid w:val="0"/>
        </w:rPr>
        <w:t>.</w:t>
      </w:r>
      <w:r>
        <w:rPr>
          <w:snapToGrid w:val="0"/>
        </w:rPr>
        <w:tab/>
        <w:t>Entitlements on intestacy</w:t>
      </w:r>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Subject to this section and section 15, where any person (in this section called </w:t>
      </w:r>
      <w:r>
        <w:rPr>
          <w:rStyle w:val="CharDefText"/>
        </w:rPr>
        <w:t>the intestate</w:t>
      </w:r>
      <w:r>
        <w:rPr>
          <w:snapToGrid w:val="0"/>
        </w:rPr>
        <w:t xml:space="preserve">) dies intestate as to all or any of his property, the property as to which he dies intestate (in this section called </w:t>
      </w:r>
      <w:r>
        <w:rPr>
          <w:rStyle w:val="CharDefText"/>
        </w:rPr>
        <w:t>the intestate property</w:t>
      </w:r>
      <w:r>
        <w:rPr>
          <w:snapToGrid w:val="0"/>
        </w:rPr>
        <w:t xml:space="preserve">) shall be distributed according to the entitlements set out in the following table (in this section called </w:t>
      </w:r>
      <w:r>
        <w:rPr>
          <w:rStyle w:val="CharDefText"/>
        </w:rPr>
        <w:t>the Table</w:t>
      </w:r>
      <w:r>
        <w:rPr>
          <w:snapToGrid w:val="0"/>
        </w:rPr>
        <w:t>): — </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tc>
          <w:tcPr>
            <w:tcW w:w="3261" w:type="dxa"/>
          </w:tcPr>
          <w:p>
            <w:pPr>
              <w:pStyle w:val="Table"/>
              <w:tabs>
                <w:tab w:val="left" w:pos="213"/>
              </w:tabs>
              <w:spacing w:before="120" w:line="240" w:lineRule="auto"/>
              <w:rPr>
                <w:sz w:val="20"/>
              </w:rPr>
            </w:pPr>
            <w:r>
              <w:rPr>
                <w:sz w:val="20"/>
              </w:rPr>
              <w:t>If the intestate — </w:t>
            </w:r>
          </w:p>
        </w:tc>
        <w:tc>
          <w:tcPr>
            <w:tcW w:w="3827" w:type="dxa"/>
          </w:tcPr>
          <w:p>
            <w:pPr>
              <w:pStyle w:val="Table"/>
              <w:spacing w:before="120" w:line="240" w:lineRule="auto"/>
              <w:rPr>
                <w:sz w:val="20"/>
              </w:rPr>
            </w:pPr>
          </w:p>
        </w:tc>
      </w:tr>
      <w:tr>
        <w:tc>
          <w:tcPr>
            <w:tcW w:w="3261" w:type="dxa"/>
          </w:tcPr>
          <w:p>
            <w:pPr>
              <w:pStyle w:val="Table"/>
              <w:tabs>
                <w:tab w:val="left" w:pos="355"/>
              </w:tabs>
              <w:spacing w:before="120" w:line="240" w:lineRule="auto"/>
              <w:ind w:left="355" w:hanging="355"/>
              <w:rPr>
                <w:sz w:val="20"/>
              </w:rPr>
            </w:pPr>
            <w:r>
              <w:rPr>
                <w:sz w:val="20"/>
              </w:rPr>
              <w:t>1.</w:t>
            </w:r>
            <w:r>
              <w:rPr>
                <w:sz w:val="20"/>
              </w:rPr>
              <w:tab/>
              <w:t>dies leaving a husband or wife (whether or not other persons mentioned in item 2 or 3 also survive)</w:t>
            </w:r>
          </w:p>
        </w:tc>
        <w:tc>
          <w:tcPr>
            <w:tcW w:w="3827" w:type="dxa"/>
          </w:tcPr>
          <w:p>
            <w:pPr>
              <w:pStyle w:val="Table"/>
              <w:tabs>
                <w:tab w:val="left" w:pos="212"/>
              </w:tabs>
              <w:spacing w:before="120" w:line="240" w:lineRule="auto"/>
              <w:ind w:left="212" w:hanging="212"/>
              <w:rPr>
                <w:sz w:val="20"/>
              </w:rPr>
            </w:pPr>
            <w:r>
              <w:rPr>
                <w:sz w:val="20"/>
              </w:rPr>
              <w:t>the surviving husband or wife shall be entitled, absolutely, to all household chattels included in the intestate property;</w:t>
            </w:r>
          </w:p>
        </w:tc>
      </w:tr>
      <w:tr>
        <w:trPr>
          <w:cantSplit/>
        </w:trPr>
        <w:tc>
          <w:tcPr>
            <w:tcW w:w="3261" w:type="dxa"/>
          </w:tcPr>
          <w:p>
            <w:pPr>
              <w:pStyle w:val="Table"/>
              <w:keepLines/>
              <w:tabs>
                <w:tab w:val="left" w:pos="355"/>
              </w:tabs>
              <w:spacing w:before="120" w:line="240" w:lineRule="auto"/>
              <w:ind w:left="355" w:hanging="355"/>
              <w:rPr>
                <w:sz w:val="20"/>
              </w:rPr>
            </w:pPr>
            <w:r>
              <w:rPr>
                <w:sz w:val="20"/>
              </w:rPr>
              <w:t>2.</w:t>
            </w:r>
            <w:r>
              <w:rPr>
                <w:sz w:val="20"/>
              </w:rPr>
              <w:tab/>
              <w:t>dies leaving a husband or wife and issue</w:t>
            </w:r>
          </w:p>
        </w:tc>
        <w:tc>
          <w:tcPr>
            <w:tcW w:w="3827" w:type="dxa"/>
          </w:tcPr>
          <w:p>
            <w:pPr>
              <w:pStyle w:val="Table"/>
              <w:keepLines/>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tc>
      </w:tr>
      <w:tr>
        <w:tc>
          <w:tcPr>
            <w:tcW w:w="3261" w:type="dxa"/>
          </w:tcPr>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tabs>
                <w:tab w:val="left" w:pos="355"/>
              </w:tabs>
              <w:spacing w:before="120" w:line="240" w:lineRule="auto"/>
              <w:ind w:left="355" w:hanging="355"/>
              <w:rPr>
                <w:sz w:val="20"/>
              </w:rPr>
            </w:pPr>
            <w:r>
              <w:rPr>
                <w:sz w:val="20"/>
              </w:rPr>
              <w:t xml:space="preserve">    (Note provisions of subsection (3))</w:t>
            </w: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tc>
      </w:tr>
      <w:tr>
        <w:tc>
          <w:tcPr>
            <w:tcW w:w="3261" w:type="dxa"/>
          </w:tcPr>
          <w:p>
            <w:pPr>
              <w:pStyle w:val="Table"/>
              <w:tabs>
                <w:tab w:val="left" w:pos="355"/>
              </w:tabs>
              <w:spacing w:before="12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pPr>
              <w:pStyle w:val="Table"/>
              <w:tabs>
                <w:tab w:val="left" w:pos="354"/>
              </w:tabs>
              <w:spacing w:before="120" w:line="240" w:lineRule="auto"/>
              <w:ind w:left="720" w:hanging="720"/>
              <w:rPr>
                <w:sz w:val="20"/>
              </w:rPr>
            </w:pPr>
            <w:r>
              <w:rPr>
                <w:sz w:val="20"/>
              </w:rPr>
              <w:tab/>
              <w:t>(i)</w:t>
            </w:r>
            <w:r>
              <w:rPr>
                <w:sz w:val="20"/>
              </w:rPr>
              <w:tab/>
              <w:t>where the intestate is survived by one parent or both parents — </w:t>
            </w:r>
          </w:p>
          <w:p>
            <w:pPr>
              <w:pStyle w:val="Table"/>
              <w:tabs>
                <w:tab w:val="left" w:pos="354"/>
                <w:tab w:val="left" w:pos="779"/>
              </w:tabs>
              <w:spacing w:before="120" w:line="240" w:lineRule="auto"/>
              <w:ind w:left="1204" w:hanging="1204"/>
              <w:rPr>
                <w:sz w:val="20"/>
              </w:rPr>
            </w:pPr>
            <w:r>
              <w:rPr>
                <w:sz w:val="20"/>
              </w:rPr>
              <w:tab/>
            </w:r>
            <w:r>
              <w:rPr>
                <w:sz w:val="20"/>
              </w:rPr>
              <w:tab/>
              <w:t>(A)</w:t>
            </w:r>
            <w:r>
              <w:rPr>
                <w:sz w:val="20"/>
              </w:rPr>
              <w:tab/>
              <w:t>if the value of that other half does not exceed the sum of $6 000 or if no brother, sister, or child of a brother or sister survives the intestate — the parent or parents shall be entitled (in equal shares where both survive the intestate) to that other half;</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keepLines/>
              <w:tabs>
                <w:tab w:val="left" w:pos="779"/>
                <w:tab w:val="left" w:pos="1204"/>
              </w:tabs>
              <w:spacing w:before="120"/>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213"/>
              </w:tabs>
              <w:spacing w:before="120" w:line="240" w:lineRule="auto"/>
              <w:rPr>
                <w:sz w:val="20"/>
              </w:rPr>
            </w:pPr>
          </w:p>
        </w:tc>
        <w:tc>
          <w:tcPr>
            <w:tcW w:w="3827" w:type="dxa"/>
          </w:tcPr>
          <w:p>
            <w:pPr>
              <w:pStyle w:val="Table"/>
              <w:tabs>
                <w:tab w:val="left" w:pos="354"/>
                <w:tab w:val="left" w:pos="779"/>
              </w:tabs>
              <w:spacing w:before="12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pPr>
              <w:pStyle w:val="Table"/>
              <w:tabs>
                <w:tab w:val="left" w:pos="212"/>
              </w:tabs>
              <w:spacing w:before="120" w:line="240" w:lineRule="auto"/>
              <w:ind w:left="212" w:hanging="212"/>
              <w:rPr>
                <w:sz w:val="20"/>
              </w:rPr>
            </w:pPr>
            <w:r>
              <w:rPr>
                <w:sz w:val="20"/>
              </w:rPr>
              <w:t>the surviving husband or wife shall be entitled to the whole of the intestate property;</w:t>
            </w:r>
          </w:p>
        </w:tc>
      </w:tr>
      <w:tr>
        <w:tc>
          <w:tcPr>
            <w:tcW w:w="3261" w:type="dxa"/>
          </w:tcPr>
          <w:p>
            <w:pPr>
              <w:pStyle w:val="Table"/>
              <w:tabs>
                <w:tab w:val="left" w:pos="355"/>
              </w:tabs>
              <w:spacing w:before="120" w:line="240" w:lineRule="auto"/>
              <w:ind w:left="355" w:hanging="355"/>
              <w:rPr>
                <w:sz w:val="20"/>
              </w:rPr>
            </w:pPr>
            <w:r>
              <w:rPr>
                <w:sz w:val="20"/>
              </w:rPr>
              <w:t>5.</w:t>
            </w:r>
            <w:r>
              <w:rPr>
                <w:sz w:val="20"/>
              </w:rPr>
              <w:tab/>
              <w:t>dies leaving issue but no husband or wife</w:t>
            </w:r>
          </w:p>
        </w:tc>
        <w:tc>
          <w:tcPr>
            <w:tcW w:w="3827" w:type="dxa"/>
          </w:tcPr>
          <w:p>
            <w:pPr>
              <w:pStyle w:val="Table"/>
              <w:tabs>
                <w:tab w:val="left" w:pos="212"/>
              </w:tabs>
              <w:spacing w:before="120" w:line="240" w:lineRule="auto"/>
              <w:ind w:left="212" w:hanging="212"/>
              <w:rPr>
                <w:sz w:val="20"/>
              </w:rPr>
            </w:pPr>
            <w:r>
              <w:rPr>
                <w:sz w:val="20"/>
              </w:rPr>
              <w:t>the issue shall be entitled in accordance with subsection (2b) to the whole of the intestate property;</w:t>
            </w:r>
          </w:p>
        </w:tc>
      </w:tr>
      <w:tr>
        <w:trPr>
          <w:cantSplit/>
        </w:trPr>
        <w:tc>
          <w:tcPr>
            <w:tcW w:w="3261" w:type="dxa"/>
          </w:tcPr>
          <w:p>
            <w:pPr>
              <w:pStyle w:val="Table"/>
              <w:tabs>
                <w:tab w:val="left" w:pos="355"/>
              </w:tabs>
              <w:spacing w:before="12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tc>
      </w:tr>
      <w:tr>
        <w:tc>
          <w:tcPr>
            <w:tcW w:w="3261" w:type="dxa"/>
          </w:tcPr>
          <w:p>
            <w:pPr>
              <w:pStyle w:val="Table"/>
              <w:keepNext/>
              <w:tabs>
                <w:tab w:val="left" w:pos="213"/>
              </w:tabs>
              <w:spacing w:before="120" w:line="240" w:lineRule="auto"/>
              <w:rPr>
                <w:sz w:val="20"/>
              </w:rPr>
            </w:pP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pPr>
              <w:pStyle w:val="Table"/>
              <w:tabs>
                <w:tab w:val="left" w:pos="212"/>
              </w:tabs>
              <w:spacing w:before="120" w:line="240" w:lineRule="auto"/>
              <w:ind w:left="212" w:hanging="212"/>
              <w:rPr>
                <w:sz w:val="20"/>
              </w:rPr>
            </w:pPr>
            <w:r>
              <w:rPr>
                <w:sz w:val="20"/>
              </w:rPr>
              <w:t>the parent or parents shall be entitled (in equal shares where both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pPr>
              <w:pStyle w:val="Table"/>
              <w:tabs>
                <w:tab w:val="left" w:pos="212"/>
              </w:tabs>
              <w:spacing w:before="120" w:line="240" w:lineRule="auto"/>
              <w:ind w:left="212" w:hanging="212"/>
              <w:rPr>
                <w:sz w:val="20"/>
              </w:rPr>
            </w:pPr>
            <w:r>
              <w:rPr>
                <w:sz w:val="20"/>
              </w:rPr>
              <w:t>the brothers and sisters of the intestate and the children of deceased brothers and sisters of the intestate shall be entitled in accordance with subsection (3a) to the whole of the intestate property;</w:t>
            </w:r>
          </w:p>
        </w:tc>
      </w:tr>
      <w:tr>
        <w:tc>
          <w:tcPr>
            <w:tcW w:w="3261" w:type="dxa"/>
          </w:tcPr>
          <w:p>
            <w:pPr>
              <w:pStyle w:val="Table"/>
              <w:keepNext/>
              <w:keepLines/>
              <w:tabs>
                <w:tab w:val="left" w:pos="355"/>
              </w:tabs>
              <w:spacing w:before="12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tc>
        <w:tc>
          <w:tcPr>
            <w:tcW w:w="3827" w:type="dxa"/>
          </w:tcPr>
          <w:p>
            <w:pPr>
              <w:pStyle w:val="Table"/>
              <w:keepNext/>
              <w:keepLines/>
              <w:tabs>
                <w:tab w:val="left" w:pos="212"/>
              </w:tabs>
              <w:spacing w:before="120" w:line="240" w:lineRule="auto"/>
              <w:ind w:left="212" w:hanging="212"/>
              <w:rPr>
                <w:sz w:val="20"/>
              </w:rPr>
            </w:pPr>
            <w:r>
              <w:rPr>
                <w:sz w:val="20"/>
              </w:rPr>
              <w:t>the grandparent or grandparents shall be entitled (in equal shares where more than one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pPr>
              <w:pStyle w:val="Table"/>
              <w:tabs>
                <w:tab w:val="left" w:pos="212"/>
              </w:tabs>
              <w:spacing w:before="120" w:line="240" w:lineRule="auto"/>
              <w:ind w:left="212" w:hanging="212"/>
              <w:rPr>
                <w:sz w:val="20"/>
              </w:rPr>
            </w:pPr>
            <w:r>
              <w:rPr>
                <w:sz w:val="20"/>
              </w:rPr>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tc>
      </w:tr>
      <w:tr>
        <w:trPr>
          <w:cantSplit/>
        </w:trPr>
        <w:tc>
          <w:tcPr>
            <w:tcW w:w="3261" w:type="dxa"/>
          </w:tcPr>
          <w:p>
            <w:pPr>
              <w:pStyle w:val="Table"/>
              <w:tabs>
                <w:tab w:val="left" w:pos="355"/>
              </w:tabs>
              <w:spacing w:before="12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tc>
        <w:tc>
          <w:tcPr>
            <w:tcW w:w="3827" w:type="dxa"/>
          </w:tcPr>
          <w:p>
            <w:pPr>
              <w:pStyle w:val="Table"/>
              <w:tabs>
                <w:tab w:val="left" w:pos="212"/>
              </w:tabs>
              <w:spacing w:before="120" w:line="240" w:lineRule="auto"/>
              <w:ind w:left="212" w:hanging="212"/>
              <w:rPr>
                <w:sz w:val="20"/>
              </w:rPr>
            </w:pPr>
            <w:r>
              <w:rPr>
                <w:sz w:val="20"/>
              </w:rPr>
              <w:t>the whole of the intestate property passes to the Crown by way of escheat.</w:t>
            </w:r>
          </w:p>
        </w:tc>
      </w:tr>
    </w:tbl>
    <w:p>
      <w:pPr>
        <w:pStyle w:val="Subsection"/>
        <w:keepNext/>
        <w:spacing w:before="200"/>
        <w:rPr>
          <w:snapToGrid w:val="0"/>
        </w:rPr>
      </w:pPr>
      <w:r>
        <w:rPr>
          <w:snapToGrid w:val="0"/>
        </w:rPr>
        <w:tab/>
        <w:t>(2)</w:t>
      </w:r>
      <w:r>
        <w:rPr>
          <w:snapToGrid w:val="0"/>
        </w:rPr>
        <w:tab/>
        <w:t>For the purposes of the Table — </w:t>
      </w:r>
    </w:p>
    <w:p>
      <w:pPr>
        <w:pStyle w:val="Indenta"/>
        <w:spacing w:before="120"/>
        <w:rPr>
          <w:snapToGrid w:val="0"/>
        </w:rPr>
      </w:pPr>
      <w:r>
        <w:rPr>
          <w:snapToGrid w:val="0"/>
        </w:rPr>
        <w:tab/>
        <w:t>(a)</w:t>
      </w:r>
      <w:r>
        <w:rPr>
          <w:snapToGrid w:val="0"/>
        </w:rPr>
        <w:tab/>
      </w:r>
      <w:r>
        <w:rPr>
          <w:rStyle w:val="CharDefText"/>
        </w:rPr>
        <w:t>household chattels</w:t>
      </w:r>
      <w:r>
        <w:rPr>
          <w:snapToGrid w:val="0"/>
        </w:rPr>
        <w:t xml:space="preserve"> means articles of personal or household use or adornment;</w:t>
      </w:r>
    </w:p>
    <w:p>
      <w:pPr>
        <w:pStyle w:val="Indenta"/>
        <w:spacing w:before="120"/>
        <w:rPr>
          <w:snapToGrid w:val="0"/>
        </w:rPr>
      </w:pPr>
      <w:r>
        <w:rPr>
          <w:snapToGrid w:val="0"/>
        </w:rPr>
        <w:tab/>
        <w:t>(b)</w:t>
      </w:r>
      <w:r>
        <w:rPr>
          <w:snapToGrid w:val="0"/>
        </w:rPr>
        <w:tab/>
        <w:t>the net value of the intestate property is the net value of that property at the date of the death of the intestate.</w:t>
      </w:r>
    </w:p>
    <w:p>
      <w:pPr>
        <w:pStyle w:val="Subsection"/>
        <w:keepNext/>
        <w:spacing w:before="20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pPr>
        <w:pStyle w:val="Subsection"/>
        <w:keepNext/>
        <w:spacing w:before="200"/>
        <w:rPr>
          <w:snapToGrid w:val="0"/>
        </w:rPr>
      </w:pPr>
      <w:r>
        <w:rPr>
          <w:snapToGrid w:val="0"/>
        </w:rPr>
        <w:tab/>
        <w:t>(2b)</w:t>
      </w:r>
      <w:r>
        <w:rPr>
          <w:snapToGrid w:val="0"/>
        </w:rPr>
        <w:tab/>
        <w:t xml:space="preserve">Where, under the Table, the issue of an intestate is or are entitled to a portion or the whole of the intestate property (which portion or whole, as the case may be, is referred to in this subsection as </w:t>
      </w:r>
      <w:r>
        <w:rPr>
          <w:rStyle w:val="CharDefText"/>
        </w:rPr>
        <w:t>the relevant property</w:t>
      </w:r>
      <w:r>
        <w:rPr>
          <w:snapToGrid w:val="0"/>
        </w:rPr>
        <w:t>) — </w:t>
      </w:r>
    </w:p>
    <w:p>
      <w:pPr>
        <w:pStyle w:val="Indenta"/>
        <w:spacing w:before="120"/>
        <w:rPr>
          <w:snapToGrid w:val="0"/>
        </w:rPr>
      </w:pPr>
      <w:r>
        <w:rPr>
          <w:snapToGrid w:val="0"/>
        </w:rPr>
        <w:tab/>
        <w:t>(a)</w:t>
      </w:r>
      <w:r>
        <w:rPr>
          <w:snapToGrid w:val="0"/>
        </w:rPr>
        <w:tab/>
        <w:t>where a person is the only entitled issue of the intestate, then that person is entitled to all of the relevant property;</w:t>
      </w:r>
    </w:p>
    <w:p>
      <w:pPr>
        <w:pStyle w:val="Indenta"/>
        <w:spacing w:before="120"/>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pPr>
        <w:pStyle w:val="Indenti"/>
        <w:spacing w:before="120"/>
        <w:rPr>
          <w:snapToGrid w:val="0"/>
        </w:rPr>
      </w:pPr>
      <w:r>
        <w:rPr>
          <w:snapToGrid w:val="0"/>
        </w:rPr>
        <w:tab/>
        <w:t>(i)</w:t>
      </w:r>
      <w:r>
        <w:rPr>
          <w:snapToGrid w:val="0"/>
        </w:rPr>
        <w:tab/>
        <w:t>survived the intestate; or</w:t>
      </w:r>
    </w:p>
    <w:p>
      <w:pPr>
        <w:pStyle w:val="Indenti"/>
        <w:spacing w:before="120"/>
        <w:rPr>
          <w:snapToGrid w:val="0"/>
        </w:rPr>
      </w:pPr>
      <w:r>
        <w:rPr>
          <w:snapToGrid w:val="0"/>
        </w:rPr>
        <w:tab/>
        <w:t>(ii)</w:t>
      </w:r>
      <w:r>
        <w:rPr>
          <w:snapToGrid w:val="0"/>
        </w:rPr>
        <w:tab/>
        <w:t>left issue who survived the intestate,</w:t>
      </w:r>
    </w:p>
    <w:p>
      <w:pPr>
        <w:pStyle w:val="Indenta"/>
        <w:spacing w:before="120"/>
        <w:rPr>
          <w:snapToGrid w:val="0"/>
        </w:rPr>
      </w:pPr>
      <w:r>
        <w:rPr>
          <w:snapToGrid w:val="0"/>
        </w:rPr>
        <w:tab/>
      </w:r>
      <w:r>
        <w:rPr>
          <w:snapToGrid w:val="0"/>
        </w:rPr>
        <w:tab/>
        <w:t>and a child of the intestate who so survived shall be entitled to one of those parts;</w:t>
      </w:r>
    </w:p>
    <w:p>
      <w:pPr>
        <w:pStyle w:val="Indenta"/>
        <w:keepNext/>
        <w:spacing w:before="120"/>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pPr>
        <w:pStyle w:val="Indenta"/>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pPr>
        <w:pStyle w:val="Subsection"/>
        <w:spacing w:before="120"/>
        <w:rPr>
          <w:snapToGrid w:val="0"/>
        </w:rPr>
      </w:pPr>
      <w:r>
        <w:rPr>
          <w:snapToGrid w:val="0"/>
        </w:rPr>
        <w:tab/>
        <w:t>(3)</w:t>
      </w:r>
      <w:r>
        <w:rPr>
          <w:snapToGrid w:val="0"/>
        </w:rPr>
        <w:tab/>
        <w:t>In applying the provisions of item 2 of the Table to a case where the intestate dies leaving — </w:t>
      </w:r>
    </w:p>
    <w:p>
      <w:pPr>
        <w:pStyle w:val="Indenta"/>
        <w:spacing w:before="60"/>
        <w:rPr>
          <w:snapToGrid w:val="0"/>
        </w:rPr>
      </w:pPr>
      <w:r>
        <w:rPr>
          <w:snapToGrid w:val="0"/>
        </w:rPr>
        <w:tab/>
        <w:t>(a)</w:t>
      </w:r>
      <w:r>
        <w:rPr>
          <w:snapToGrid w:val="0"/>
        </w:rPr>
        <w:tab/>
        <w:t>a husband or wife and one child; or</w:t>
      </w:r>
    </w:p>
    <w:p>
      <w:pPr>
        <w:pStyle w:val="Indenta"/>
        <w:spacing w:before="60"/>
        <w:rPr>
          <w:snapToGrid w:val="0"/>
        </w:rPr>
      </w:pPr>
      <w:r>
        <w:rPr>
          <w:snapToGrid w:val="0"/>
        </w:rPr>
        <w:tab/>
        <w:t>(b)</w:t>
      </w:r>
      <w:r>
        <w:rPr>
          <w:snapToGrid w:val="0"/>
        </w:rPr>
        <w:tab/>
        <w:t>a husband or wife and the issue of one child,</w:t>
      </w:r>
    </w:p>
    <w:p>
      <w:pPr>
        <w:pStyle w:val="Subsection"/>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pPr>
        <w:pStyle w:val="Subsection"/>
        <w:spacing w:before="12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w:t>
      </w:r>
      <w:r>
        <w:rPr>
          <w:rStyle w:val="CharDefText"/>
        </w:rPr>
        <w:t>the relevant property</w:t>
      </w:r>
      <w:r>
        <w:rPr>
          <w:snapToGrid w:val="0"/>
        </w:rPr>
        <w:t>) — </w:t>
      </w:r>
    </w:p>
    <w:p>
      <w:pPr>
        <w:pStyle w:val="Indenta"/>
        <w:rPr>
          <w:snapToGrid w:val="0"/>
        </w:rPr>
      </w:pPr>
      <w:r>
        <w:rPr>
          <w:snapToGrid w:val="0"/>
        </w:rPr>
        <w:tab/>
        <w:t>(a)</w:t>
      </w:r>
      <w:r>
        <w:rPr>
          <w:snapToGrid w:val="0"/>
        </w:rPr>
        <w:tab/>
        <w:t>where only one such person survives the intestate, then that person is entitled to all of the relevant property;</w:t>
      </w:r>
    </w:p>
    <w:p>
      <w:pPr>
        <w:pStyle w:val="Indenta"/>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pPr>
        <w:pStyle w:val="Indenti"/>
        <w:rPr>
          <w:snapToGrid w:val="0"/>
        </w:rPr>
      </w:pPr>
      <w:r>
        <w:rPr>
          <w:snapToGrid w:val="0"/>
        </w:rPr>
        <w:tab/>
        <w:t>(i)</w:t>
      </w:r>
      <w:r>
        <w:rPr>
          <w:snapToGrid w:val="0"/>
        </w:rPr>
        <w:tab/>
        <w:t>survived the intestate; or</w:t>
      </w:r>
    </w:p>
    <w:p>
      <w:pPr>
        <w:pStyle w:val="Indenti"/>
        <w:rPr>
          <w:snapToGrid w:val="0"/>
        </w:rPr>
      </w:pPr>
      <w:r>
        <w:rPr>
          <w:snapToGrid w:val="0"/>
        </w:rPr>
        <w:tab/>
        <w:t>(ii)</w:t>
      </w:r>
      <w:r>
        <w:rPr>
          <w:snapToGrid w:val="0"/>
        </w:rPr>
        <w:tab/>
        <w:t>left children who survived the intestate,</w:t>
      </w:r>
    </w:p>
    <w:p>
      <w:pPr>
        <w:pStyle w:val="Indenta"/>
        <w:rPr>
          <w:snapToGrid w:val="0"/>
        </w:rPr>
      </w:pPr>
      <w:r>
        <w:rPr>
          <w:snapToGrid w:val="0"/>
        </w:rPr>
        <w:tab/>
      </w:r>
      <w:r>
        <w:rPr>
          <w:snapToGrid w:val="0"/>
        </w:rPr>
        <w:tab/>
        <w:t>and a brother or sister of the intestate who so survived shall be entitled to one of those parts;</w:t>
      </w:r>
    </w:p>
    <w:p>
      <w:pPr>
        <w:pStyle w:val="Indenta"/>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pPr>
        <w:pStyle w:val="Indenti"/>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pPr>
        <w:pStyle w:val="Indenti"/>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pPr>
        <w:pStyle w:val="Subsection"/>
        <w:rPr>
          <w:snapToGrid w:val="0"/>
        </w:rPr>
      </w:pPr>
      <w:r>
        <w:rPr>
          <w:snapToGrid w:val="0"/>
        </w:rPr>
        <w:tab/>
        <w:t>(4)</w:t>
      </w:r>
      <w:r>
        <w:rPr>
          <w:snapToGrid w:val="0"/>
        </w:rPr>
        <w:tab/>
        <w:t>Where the intestate dies leaving a husband or wife who is entitled to — </w:t>
      </w:r>
    </w:p>
    <w:p>
      <w:pPr>
        <w:pStyle w:val="Indenta"/>
        <w:rPr>
          <w:snapToGrid w:val="0"/>
        </w:rPr>
      </w:pPr>
      <w:r>
        <w:rPr>
          <w:snapToGrid w:val="0"/>
        </w:rPr>
        <w:tab/>
        <w:t>(a)</w:t>
      </w:r>
      <w:r>
        <w:rPr>
          <w:snapToGrid w:val="0"/>
        </w:rPr>
        <w:tab/>
        <w:t>the sum of $50 000 mentioned in paragraph (b) of item 2 of the Table; or</w:t>
      </w:r>
    </w:p>
    <w:p>
      <w:pPr>
        <w:pStyle w:val="Indenta"/>
        <w:rPr>
          <w:snapToGrid w:val="0"/>
        </w:rPr>
      </w:pPr>
      <w:r>
        <w:rPr>
          <w:snapToGrid w:val="0"/>
        </w:rPr>
        <w:tab/>
        <w:t>(b)</w:t>
      </w:r>
      <w:r>
        <w:rPr>
          <w:snapToGrid w:val="0"/>
        </w:rPr>
        <w:tab/>
        <w:t>the sum of $75 000 mentioned in paragraph (b) of item 3 of the Table,</w:t>
      </w:r>
    </w:p>
    <w:p>
      <w:pPr>
        <w:pStyle w:val="Subsection"/>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pPr>
        <w:pStyle w:val="Indenta"/>
        <w:rPr>
          <w:snapToGrid w:val="0"/>
        </w:rPr>
      </w:pPr>
      <w:r>
        <w:rPr>
          <w:snapToGrid w:val="0"/>
        </w:rPr>
        <w:tab/>
        <w:t>(c)</w:t>
      </w:r>
      <w:r>
        <w:rPr>
          <w:snapToGrid w:val="0"/>
        </w:rPr>
        <w:tab/>
        <w:t>shall be in addition to any other sum, property or share in property, to which he or she is entitled under the Table; and</w:t>
      </w:r>
    </w:p>
    <w:p>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pPr>
        <w:pStyle w:val="Subsection"/>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pPr>
        <w:pStyle w:val="Subsection"/>
      </w:pPr>
      <w:r>
        <w:tab/>
        <w:t>(6)</w:t>
      </w:r>
      <w:r>
        <w:tab/>
        <w:t>If —</w:t>
      </w:r>
    </w:p>
    <w:p>
      <w:pPr>
        <w:pStyle w:val="Indenta"/>
      </w:pPr>
      <w:r>
        <w:tab/>
        <w:t>(a)</w:t>
      </w:r>
      <w:r>
        <w:tab/>
      </w:r>
      <w:r>
        <w:rPr>
          <w:snapToGrid w:val="0"/>
        </w:rPr>
        <w:t>a surviving husband or wife of the intestate is not entitled to the whole of the intestate property in accordance with this section and section 15; and</w:t>
      </w:r>
    </w:p>
    <w:p>
      <w:pPr>
        <w:pStyle w:val="Indenta"/>
      </w:pPr>
      <w:r>
        <w:tab/>
        <w:t>(b)</w:t>
      </w:r>
      <w:r>
        <w:tab/>
      </w:r>
      <w:r>
        <w:rPr>
          <w:snapToGrid w:val="0"/>
        </w:rPr>
        <w:t>there is an interest within the meaning of clause 1(1)(b) of the Fourth Schedule,</w:t>
      </w:r>
    </w:p>
    <w:p>
      <w:pPr>
        <w:pStyle w:val="Subsection"/>
        <w:rPr>
          <w:snapToGrid w:val="0"/>
        </w:rPr>
      </w:pPr>
      <w:r>
        <w:tab/>
      </w:r>
      <w:r>
        <w:tab/>
      </w:r>
      <w:r>
        <w:rPr>
          <w:snapToGrid w:val="0"/>
        </w:rPr>
        <w:t>then that Schedule applies with respect to that interest.</w:t>
      </w:r>
    </w:p>
    <w:p>
      <w:pPr>
        <w:pStyle w:val="Subsection"/>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pPr>
        <w:pStyle w:val="Subsection"/>
        <w:rPr>
          <w:snapToGrid w:val="0"/>
        </w:rPr>
      </w:pPr>
      <w:r>
        <w:rPr>
          <w:snapToGrid w:val="0"/>
        </w:rPr>
        <w:tab/>
        <w:t>(8)</w:t>
      </w:r>
      <w:r>
        <w:rPr>
          <w:snapToGrid w:val="0"/>
        </w:rPr>
        <w:tab/>
        <w:t>Subject to subsections (9) and (10), this section shall apply to the estates of all persons who die on or after 1 March 1977.</w:t>
      </w:r>
    </w:p>
    <w:p>
      <w:pPr>
        <w:pStyle w:val="Subsection"/>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 </w:t>
      </w:r>
      <w:r>
        <w:rPr>
          <w:snapToGrid w:val="0"/>
          <w:vertAlign w:val="superscript"/>
        </w:rPr>
        <w:t>1</w:t>
      </w:r>
      <w:r>
        <w:rPr>
          <w:snapToGrid w:val="0"/>
        </w:rPr>
        <w:t>.</w:t>
      </w:r>
    </w:p>
    <w:p>
      <w:pPr>
        <w:pStyle w:val="Subsection"/>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r>
        <w:rPr>
          <w:snapToGrid w:val="0"/>
          <w:vertAlign w:val="superscript"/>
        </w:rPr>
        <w:t>1</w:t>
      </w:r>
      <w:r>
        <w:rPr>
          <w:snapToGrid w:val="0"/>
        </w:rPr>
        <w:t xml:space="preserve"> shall be distributed in accordance with the enactments and rules of law which would have applied to them if that Act had not been passed.</w:t>
      </w:r>
    </w:p>
    <w:p>
      <w:pPr>
        <w:pStyle w:val="Footnotesection"/>
      </w:pPr>
      <w:r>
        <w:tab/>
        <w:t xml:space="preserve">[Section 14 inserted by No. 138 of 1976 s. 4; amended by No. 103 of 1979 s. 3; No. 48 of 1982 s. 3; No. 57 of 1984 s. 4; No. 57 of 1997 s. 16(1); No. 25 of 2002 s. 52.] </w:t>
      </w:r>
    </w:p>
    <w:p>
      <w:pPr>
        <w:pStyle w:val="Heading5"/>
        <w:rPr>
          <w:snapToGrid w:val="0"/>
        </w:rPr>
      </w:pPr>
      <w:bookmarkStart w:id="75" w:name="_Toc26349184"/>
      <w:bookmarkStart w:id="76" w:name="_Toc124061250"/>
      <w:bookmarkStart w:id="77" w:name="_Toc271807632"/>
      <w:r>
        <w:rPr>
          <w:rStyle w:val="CharSectno"/>
        </w:rPr>
        <w:t>15</w:t>
      </w:r>
      <w:r>
        <w:rPr>
          <w:snapToGrid w:val="0"/>
        </w:rPr>
        <w:t>.</w:t>
      </w:r>
      <w:r>
        <w:rPr>
          <w:snapToGrid w:val="0"/>
        </w:rPr>
        <w:tab/>
        <w:t>De facto partners and distribution on intestacy</w:t>
      </w:r>
      <w:bookmarkEnd w:id="75"/>
      <w:bookmarkEnd w:id="76"/>
      <w:bookmarkEnd w:id="77"/>
      <w:r>
        <w:rPr>
          <w:snapToGrid w:val="0"/>
        </w:rPr>
        <w:t xml:space="preserve"> </w:t>
      </w:r>
    </w:p>
    <w:p>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pPr>
        <w:pStyle w:val="Subsection"/>
        <w:rPr>
          <w:snapToGrid w:val="0"/>
        </w:rPr>
      </w:pPr>
      <w:r>
        <w:rPr>
          <w:snapToGrid w:val="0"/>
        </w:rPr>
        <w:tab/>
        <w:t>(2)</w:t>
      </w:r>
      <w:r>
        <w:rPr>
          <w:snapToGrid w:val="0"/>
        </w:rPr>
        <w:tab/>
        <w:t>If the intestate dies leaving a husband or wife and a de facto partner, then where —</w:t>
      </w:r>
    </w:p>
    <w:p>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pPr>
        <w:pStyle w:val="Subsection"/>
        <w:keepNext/>
        <w:rPr>
          <w:snapToGrid w:val="0"/>
        </w:rPr>
      </w:pPr>
      <w:r>
        <w:rPr>
          <w:snapToGrid w:val="0"/>
        </w:rPr>
        <w:tab/>
        <w:t>(3)</w:t>
      </w:r>
      <w:r>
        <w:rPr>
          <w:snapToGrid w:val="0"/>
        </w:rPr>
        <w:tab/>
        <w:t>If the intestate dies leaving a husband or wife and a de facto partner, then where — </w:t>
      </w:r>
    </w:p>
    <w:p>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pPr>
        <w:pStyle w:val="Subsection"/>
        <w:rPr>
          <w:snapToGrid w:val="0"/>
        </w:rPr>
      </w:pPr>
      <w:r>
        <w:rPr>
          <w:snapToGrid w:val="0"/>
        </w:rPr>
        <w:tab/>
        <w:t>(6)</w:t>
      </w:r>
      <w:r>
        <w:rPr>
          <w:snapToGrid w:val="0"/>
        </w:rPr>
        <w:tab/>
        <w:t>In this section — </w:t>
      </w:r>
    </w:p>
    <w:p>
      <w:pPr>
        <w:pStyle w:val="Defstart"/>
      </w:pPr>
      <w:r>
        <w:tab/>
      </w:r>
      <w:r>
        <w:rPr>
          <w:rStyle w:val="CharDefText"/>
        </w:rPr>
        <w:t>the intestate</w:t>
      </w:r>
      <w:r>
        <w:t xml:space="preserve"> and </w:t>
      </w:r>
      <w:r>
        <w:rPr>
          <w:rStyle w:val="CharDefText"/>
        </w:rPr>
        <w:t>the intestate property</w:t>
      </w:r>
      <w:r>
        <w:t xml:space="preserve"> have the same respective meanings as they have in section 14.</w:t>
      </w:r>
    </w:p>
    <w:p>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pPr>
        <w:pStyle w:val="Footnotesection"/>
      </w:pPr>
      <w:r>
        <w:tab/>
        <w:t>[Section 15 inserted by No. 25 of 2002 s. 52.]</w:t>
      </w:r>
    </w:p>
    <w:p>
      <w:pPr>
        <w:pStyle w:val="Ednotesection"/>
      </w:pPr>
      <w:r>
        <w:t>[</w:t>
      </w:r>
      <w:r>
        <w:rPr>
          <w:b/>
        </w:rPr>
        <w:t>15A</w:t>
      </w:r>
      <w:r>
        <w:t>.</w:t>
      </w:r>
      <w:r>
        <w:tab/>
        <w:t xml:space="preserve">Deleted by No. 138 of 1976 s. 4.] </w:t>
      </w:r>
    </w:p>
    <w:p>
      <w:pPr>
        <w:pStyle w:val="Heading5"/>
        <w:rPr>
          <w:snapToGrid w:val="0"/>
        </w:rPr>
      </w:pPr>
      <w:bookmarkStart w:id="78" w:name="_Toc26349185"/>
      <w:bookmarkStart w:id="79" w:name="_Toc124061251"/>
      <w:bookmarkStart w:id="80" w:name="_Toc271807633"/>
      <w:r>
        <w:rPr>
          <w:rStyle w:val="CharSectno"/>
        </w:rPr>
        <w:t>16</w:t>
      </w:r>
      <w:r>
        <w:rPr>
          <w:snapToGrid w:val="0"/>
        </w:rPr>
        <w:t>.</w:t>
      </w:r>
      <w:r>
        <w:rPr>
          <w:snapToGrid w:val="0"/>
        </w:rPr>
        <w:tab/>
        <w:t>Courtesy and dower abolished</w:t>
      </w:r>
      <w:bookmarkEnd w:id="78"/>
      <w:bookmarkEnd w:id="79"/>
      <w:bookmarkEnd w:id="80"/>
      <w:r>
        <w:rPr>
          <w:snapToGrid w:val="0"/>
        </w:rPr>
        <w:t xml:space="preserve"> </w:t>
      </w:r>
    </w:p>
    <w:p>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pPr>
        <w:pStyle w:val="Heading5"/>
        <w:rPr>
          <w:snapToGrid w:val="0"/>
        </w:rPr>
      </w:pPr>
      <w:bookmarkStart w:id="81" w:name="_Toc26349186"/>
      <w:bookmarkStart w:id="82" w:name="_Toc124061252"/>
      <w:bookmarkStart w:id="83" w:name="_Toc271807634"/>
      <w:r>
        <w:rPr>
          <w:rStyle w:val="CharSectno"/>
        </w:rPr>
        <w:t>17</w:t>
      </w:r>
      <w:r>
        <w:rPr>
          <w:snapToGrid w:val="0"/>
        </w:rPr>
        <w:t>.</w:t>
      </w:r>
      <w:r>
        <w:rPr>
          <w:snapToGrid w:val="0"/>
        </w:rPr>
        <w:tab/>
        <w:t>Court may deal with interest of infants in certain cases</w:t>
      </w:r>
      <w:bookmarkEnd w:id="81"/>
      <w:bookmarkEnd w:id="82"/>
      <w:bookmarkEnd w:id="83"/>
      <w:r>
        <w:rPr>
          <w:snapToGrid w:val="0"/>
        </w:rPr>
        <w:t xml:space="preserve"> </w:t>
      </w:r>
    </w:p>
    <w:p>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authorise the executor or administrator to expend the whole or any part of the share of such infant in his maintenance, advancement, or education.</w:t>
      </w:r>
    </w:p>
    <w:p>
      <w:pPr>
        <w:pStyle w:val="Ednotesubsection"/>
      </w:pPr>
      <w:r>
        <w:tab/>
        <w:t>[(2)</w:t>
      </w:r>
      <w:r>
        <w:tab/>
        <w:t>deleted]</w:t>
      </w:r>
    </w:p>
    <w:p>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pPr>
        <w:pStyle w:val="Footnotesection"/>
      </w:pPr>
      <w:r>
        <w:tab/>
        <w:t xml:space="preserve">[Section 17 amended by No. 62 of 1955 s. 5; No. 80 of 1962 s. 3; No. 113 of 1965 s. 8.] </w:t>
      </w:r>
    </w:p>
    <w:p>
      <w:pPr>
        <w:pStyle w:val="Heading5"/>
        <w:rPr>
          <w:snapToGrid w:val="0"/>
        </w:rPr>
      </w:pPr>
      <w:bookmarkStart w:id="84" w:name="_Toc26349187"/>
      <w:bookmarkStart w:id="85" w:name="_Toc124061253"/>
      <w:bookmarkStart w:id="86" w:name="_Toc271807635"/>
      <w:r>
        <w:rPr>
          <w:rStyle w:val="CharSectno"/>
        </w:rPr>
        <w:t>17A</w:t>
      </w:r>
      <w:r>
        <w:rPr>
          <w:snapToGrid w:val="0"/>
        </w:rPr>
        <w:t xml:space="preserve">. </w:t>
      </w:r>
      <w:r>
        <w:rPr>
          <w:snapToGrid w:val="0"/>
        </w:rPr>
        <w:tab/>
        <w:t>Power to appoint trustees of infant’s property</w:t>
      </w:r>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w:t>
      </w:r>
      <w:r>
        <w:rPr>
          <w:rStyle w:val="CharDefText"/>
        </w:rPr>
        <w:t>the deceased</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authorised to invest money subject to the trust, then, subject to any order of the Court made before that date, he shall be deemed not to have incurred any liability on that account or by reason of not having paid or transferred the money or property into Court.</w:t>
      </w:r>
    </w:p>
    <w:p>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pPr>
        <w:pStyle w:val="Footnotesection"/>
      </w:pPr>
      <w:r>
        <w:tab/>
        <w:t xml:space="preserve">[Section 17A inserted by No. 80 of 1962 s. 4; amended by No. 1 of 1997 s. 18.] </w:t>
      </w:r>
    </w:p>
    <w:p>
      <w:pPr>
        <w:pStyle w:val="Ednotesection"/>
      </w:pPr>
      <w:r>
        <w:t>[</w:t>
      </w:r>
      <w:r>
        <w:rPr>
          <w:b/>
        </w:rPr>
        <w:t>18.</w:t>
      </w:r>
      <w:r>
        <w:tab/>
        <w:t xml:space="preserve">Deleted by No. 80 of 1962 s. 5.] </w:t>
      </w:r>
    </w:p>
    <w:p>
      <w:pPr>
        <w:pStyle w:val="Heading5"/>
        <w:rPr>
          <w:snapToGrid w:val="0"/>
        </w:rPr>
      </w:pPr>
      <w:bookmarkStart w:id="87" w:name="_Toc26349188"/>
      <w:bookmarkStart w:id="88" w:name="_Toc124061254"/>
      <w:bookmarkStart w:id="89" w:name="_Toc271807636"/>
      <w:r>
        <w:rPr>
          <w:rStyle w:val="CharSectno"/>
        </w:rPr>
        <w:t>19</w:t>
      </w:r>
      <w:r>
        <w:rPr>
          <w:snapToGrid w:val="0"/>
        </w:rPr>
        <w:t>.</w:t>
      </w:r>
      <w:r>
        <w:rPr>
          <w:snapToGrid w:val="0"/>
        </w:rPr>
        <w:tab/>
        <w:t>Court may direct partition of real estate</w:t>
      </w:r>
      <w:bookmarkEnd w:id="87"/>
      <w:bookmarkEnd w:id="88"/>
      <w:bookmarkEnd w:id="89"/>
      <w:r>
        <w:rPr>
          <w:snapToGrid w:val="0"/>
        </w:rPr>
        <w:t xml:space="preserve"> </w:t>
      </w:r>
    </w:p>
    <w:p>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w:t>
      </w:r>
      <w:r>
        <w:t xml:space="preserve"> the Western Australian Land Information Authority established by the </w:t>
      </w:r>
      <w:r>
        <w:rPr>
          <w:i/>
          <w:iCs/>
        </w:rPr>
        <w:t>Land Information Authority Act 2006</w:t>
      </w:r>
      <w:r>
        <w:t xml:space="preserve"> section 5</w:t>
      </w:r>
      <w:r>
        <w:rPr>
          <w:snapToGrid w:val="0"/>
        </w:rPr>
        <w:t>, without the necessity of any further conveyance or transfer, vest in each allottee the land so allotted to him.</w:t>
      </w:r>
    </w:p>
    <w:p>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pPr>
        <w:pStyle w:val="Footnotesection"/>
      </w:pPr>
      <w:r>
        <w:tab/>
        <w:t xml:space="preserve">[Section 19 amended by No. 67 of 1979 s. 44; No. 81 of 1996 s. 153(1); No. 60 of 2006 s. 120.] </w:t>
      </w:r>
    </w:p>
    <w:p>
      <w:pPr>
        <w:pStyle w:val="Heading5"/>
        <w:rPr>
          <w:snapToGrid w:val="0"/>
        </w:rPr>
      </w:pPr>
      <w:bookmarkStart w:id="90" w:name="_Toc26349189"/>
      <w:bookmarkStart w:id="91" w:name="_Toc124061255"/>
      <w:bookmarkStart w:id="92" w:name="_Toc271807637"/>
      <w:r>
        <w:rPr>
          <w:rStyle w:val="CharSectno"/>
        </w:rPr>
        <w:t>20</w:t>
      </w:r>
      <w:r>
        <w:rPr>
          <w:snapToGrid w:val="0"/>
        </w:rPr>
        <w:t>.</w:t>
      </w:r>
      <w:r>
        <w:rPr>
          <w:snapToGrid w:val="0"/>
        </w:rPr>
        <w:tab/>
        <w:t>Personal representative may relinquish trust</w:t>
      </w:r>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pPr>
        <w:pStyle w:val="Heading5"/>
        <w:spacing w:before="200"/>
        <w:rPr>
          <w:snapToGrid w:val="0"/>
        </w:rPr>
      </w:pPr>
      <w:bookmarkStart w:id="93" w:name="_Toc26349190"/>
      <w:bookmarkStart w:id="94" w:name="_Toc124061256"/>
      <w:bookmarkStart w:id="95" w:name="_Toc271807638"/>
      <w:r>
        <w:rPr>
          <w:rStyle w:val="CharSectno"/>
        </w:rPr>
        <w:t>21</w:t>
      </w:r>
      <w:r>
        <w:rPr>
          <w:snapToGrid w:val="0"/>
        </w:rPr>
        <w:t>.</w:t>
      </w:r>
      <w:r>
        <w:rPr>
          <w:snapToGrid w:val="0"/>
        </w:rPr>
        <w:tab/>
        <w:t>Executor or administrator to represent real estate</w:t>
      </w:r>
      <w:bookmarkEnd w:id="93"/>
      <w:bookmarkEnd w:id="94"/>
      <w:bookmarkEnd w:id="95"/>
      <w:r>
        <w:rPr>
          <w:snapToGrid w:val="0"/>
        </w:rPr>
        <w:t xml:space="preserve"> </w:t>
      </w:r>
    </w:p>
    <w:p>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pPr>
        <w:pStyle w:val="Ednotesection"/>
      </w:pPr>
      <w:r>
        <w:t>[</w:t>
      </w:r>
      <w:r>
        <w:rPr>
          <w:b/>
        </w:rPr>
        <w:t>22.</w:t>
      </w:r>
      <w:r>
        <w:tab/>
        <w:t>Deleted by No. 26 of 1941 s. 3.]</w:t>
      </w:r>
    </w:p>
    <w:p>
      <w:pPr>
        <w:pStyle w:val="Heading5"/>
        <w:spacing w:before="200"/>
        <w:rPr>
          <w:snapToGrid w:val="0"/>
        </w:rPr>
      </w:pPr>
      <w:bookmarkStart w:id="96" w:name="_Toc26349191"/>
      <w:bookmarkStart w:id="97" w:name="_Toc124061257"/>
      <w:bookmarkStart w:id="98" w:name="_Toc271807639"/>
      <w:r>
        <w:rPr>
          <w:rStyle w:val="CharSectno"/>
        </w:rPr>
        <w:t>23</w:t>
      </w:r>
      <w:r>
        <w:rPr>
          <w:snapToGrid w:val="0"/>
        </w:rPr>
        <w:t>.</w:t>
      </w:r>
      <w:r>
        <w:rPr>
          <w:snapToGrid w:val="0"/>
        </w:rPr>
        <w:tab/>
        <w:t>All creditors to stand in equal degree</w:t>
      </w:r>
      <w:bookmarkEnd w:id="96"/>
      <w:bookmarkEnd w:id="97"/>
      <w:bookmarkEnd w:id="98"/>
      <w:r>
        <w:rPr>
          <w:snapToGrid w:val="0"/>
        </w:rPr>
        <w:t xml:space="preserve"> </w:t>
      </w:r>
    </w:p>
    <w:p>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pPr>
        <w:pStyle w:val="Footnotesection"/>
      </w:pPr>
      <w:r>
        <w:tab/>
        <w:t xml:space="preserve">[Section 23 amended by No. 72 of 1984 s. 7.] </w:t>
      </w:r>
    </w:p>
    <w:p>
      <w:pPr>
        <w:pStyle w:val="Heading5"/>
        <w:spacing w:before="200"/>
        <w:rPr>
          <w:snapToGrid w:val="0"/>
        </w:rPr>
      </w:pPr>
      <w:bookmarkStart w:id="99" w:name="_Toc26349192"/>
      <w:bookmarkStart w:id="100" w:name="_Toc124061258"/>
      <w:bookmarkStart w:id="101" w:name="_Toc271807640"/>
      <w:r>
        <w:rPr>
          <w:rStyle w:val="CharSectno"/>
        </w:rPr>
        <w:t>24</w:t>
      </w:r>
      <w:r>
        <w:rPr>
          <w:snapToGrid w:val="0"/>
        </w:rPr>
        <w:t>.</w:t>
      </w:r>
      <w:r>
        <w:rPr>
          <w:snapToGrid w:val="0"/>
        </w:rPr>
        <w:tab/>
        <w:t>Administration in case of intestacy</w:t>
      </w:r>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pPr>
        <w:pStyle w:val="Heading5"/>
        <w:spacing w:before="180"/>
        <w:rPr>
          <w:snapToGrid w:val="0"/>
        </w:rPr>
      </w:pPr>
      <w:bookmarkStart w:id="102" w:name="_Toc26349193"/>
      <w:bookmarkStart w:id="103" w:name="_Toc124061259"/>
      <w:bookmarkStart w:id="104" w:name="_Toc271807641"/>
      <w:r>
        <w:rPr>
          <w:rStyle w:val="CharSectno"/>
        </w:rPr>
        <w:t>25</w:t>
      </w:r>
      <w:r>
        <w:rPr>
          <w:snapToGrid w:val="0"/>
        </w:rPr>
        <w:t>.</w:t>
      </w:r>
      <w:r>
        <w:rPr>
          <w:snapToGrid w:val="0"/>
        </w:rPr>
        <w:tab/>
        <w:t>Persons entitled to administration</w:t>
      </w:r>
      <w:bookmarkEnd w:id="102"/>
      <w:bookmarkEnd w:id="103"/>
      <w:bookmarkEnd w:id="104"/>
      <w:r>
        <w:rPr>
          <w:snapToGrid w:val="0"/>
        </w:rPr>
        <w:t xml:space="preserve"> </w:t>
      </w:r>
    </w:p>
    <w:p>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pPr>
        <w:pStyle w:val="Indenta"/>
        <w:rPr>
          <w:snapToGrid w:val="0"/>
        </w:rPr>
      </w:pPr>
      <w:r>
        <w:rPr>
          <w:snapToGrid w:val="0"/>
        </w:rPr>
        <w:tab/>
        <w:t>(a)</w:t>
      </w:r>
      <w:r>
        <w:rPr>
          <w:snapToGrid w:val="0"/>
        </w:rPr>
        <w:tab/>
        <w:t>one or more of the persons entitled in distribution to the estate of the intestate;</w:t>
      </w:r>
    </w:p>
    <w:p>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pPr>
        <w:pStyle w:val="Footnotesection"/>
      </w:pPr>
      <w:r>
        <w:tab/>
        <w:t xml:space="preserve">[Section 25 amended by No. 46 of 1972 s. 6(2); No. 57 of 1984 s. 5; No. 21 of 1986 s. 4.] </w:t>
      </w:r>
    </w:p>
    <w:p>
      <w:pPr>
        <w:pStyle w:val="Heading5"/>
        <w:spacing w:before="180"/>
        <w:rPr>
          <w:snapToGrid w:val="0"/>
        </w:rPr>
      </w:pPr>
      <w:bookmarkStart w:id="105" w:name="_Toc26349194"/>
      <w:bookmarkStart w:id="106" w:name="_Toc124061260"/>
      <w:bookmarkStart w:id="107" w:name="_Toc271807642"/>
      <w:r>
        <w:rPr>
          <w:rStyle w:val="CharSectno"/>
        </w:rPr>
        <w:t>26</w:t>
      </w:r>
      <w:r>
        <w:rPr>
          <w:snapToGrid w:val="0"/>
        </w:rPr>
        <w:t>.</w:t>
      </w:r>
      <w:r>
        <w:rPr>
          <w:snapToGrid w:val="0"/>
        </w:rPr>
        <w:tab/>
        <w:t>Power to require administrator to produce sureties</w:t>
      </w:r>
      <w:bookmarkEnd w:id="105"/>
      <w:bookmarkEnd w:id="106"/>
      <w:bookmarkEnd w:id="107"/>
      <w:r>
        <w:rPr>
          <w:snapToGrid w:val="0"/>
        </w:rPr>
        <w:t xml:space="preserve"> </w:t>
      </w:r>
    </w:p>
    <w:p>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pPr>
        <w:pStyle w:val="Indenta"/>
        <w:spacing w:before="60"/>
        <w:rPr>
          <w:snapToGrid w:val="0"/>
        </w:rPr>
      </w:pPr>
      <w:r>
        <w:rPr>
          <w:snapToGrid w:val="0"/>
        </w:rPr>
        <w:tab/>
        <w:t>(b)</w:t>
      </w:r>
      <w:r>
        <w:rPr>
          <w:snapToGrid w:val="0"/>
        </w:rPr>
        <w:tab/>
        <w:t>order that the liability of a surety under the guarantee be reduced to such amount as the Court in the circumstances of the case thinks reasonable.</w:t>
      </w:r>
    </w:p>
    <w:p>
      <w:pPr>
        <w:pStyle w:val="Subsection"/>
        <w:spacing w:before="120"/>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pPr>
        <w:pStyle w:val="Subsection"/>
        <w:spacing w:before="120"/>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pPr>
        <w:pStyle w:val="Subsection"/>
        <w:spacing w:before="120"/>
        <w:rPr>
          <w:snapToGrid w:val="0"/>
        </w:rPr>
      </w:pPr>
      <w:r>
        <w:rPr>
          <w:snapToGrid w:val="0"/>
        </w:rPr>
        <w:tab/>
        <w:t>(5)</w:t>
      </w:r>
      <w:r>
        <w:rPr>
          <w:snapToGrid w:val="0"/>
        </w:rPr>
        <w:tab/>
        <w:t>Where a guarantee is given as required by subsection (1) an action on that guarantee — </w:t>
      </w:r>
    </w:p>
    <w:p>
      <w:pPr>
        <w:pStyle w:val="Indenta"/>
        <w:spacing w:before="60"/>
        <w:rPr>
          <w:snapToGrid w:val="0"/>
        </w:rPr>
      </w:pPr>
      <w:r>
        <w:rPr>
          <w:snapToGrid w:val="0"/>
        </w:rPr>
        <w:tab/>
        <w:t>(a)</w:t>
      </w:r>
      <w:r>
        <w:rPr>
          <w:snapToGrid w:val="0"/>
        </w:rPr>
        <w:tab/>
        <w:t>shall not be brought without the leave of either the Court or the Principal Registrar;</w:t>
      </w:r>
    </w:p>
    <w:p>
      <w:pPr>
        <w:pStyle w:val="Indenta"/>
        <w:spacing w:before="60"/>
        <w:rPr>
          <w:snapToGrid w:val="0"/>
        </w:rPr>
      </w:pPr>
      <w:r>
        <w:rPr>
          <w:snapToGrid w:val="0"/>
        </w:rPr>
        <w:tab/>
        <w:t>(b)</w:t>
      </w:r>
      <w:r>
        <w:rPr>
          <w:snapToGrid w:val="0"/>
        </w:rPr>
        <w:tab/>
        <w:t>may be brought only on such terms and conditions as the Court or the Principal Registrar thinks fit.</w:t>
      </w:r>
    </w:p>
    <w:p>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pPr>
        <w:pStyle w:val="Indenta"/>
        <w:spacing w:before="60"/>
        <w:rPr>
          <w:snapToGrid w:val="0"/>
        </w:rPr>
      </w:pPr>
      <w:r>
        <w:rPr>
          <w:snapToGrid w:val="0"/>
        </w:rPr>
        <w:tab/>
        <w:t>(a)</w:t>
      </w:r>
      <w:r>
        <w:rPr>
          <w:snapToGrid w:val="0"/>
        </w:rPr>
        <w:tab/>
        <w:t>the estate is being wasted, or is in danger of being wasted;</w:t>
      </w:r>
    </w:p>
    <w:p>
      <w:pPr>
        <w:pStyle w:val="Indenta"/>
        <w:spacing w:before="60"/>
        <w:rPr>
          <w:snapToGrid w:val="0"/>
        </w:rPr>
      </w:pPr>
      <w:r>
        <w:rPr>
          <w:snapToGrid w:val="0"/>
        </w:rPr>
        <w:tab/>
        <w:t>(b)</w:t>
      </w:r>
      <w:r>
        <w:rPr>
          <w:snapToGrid w:val="0"/>
        </w:rPr>
        <w:tab/>
        <w:t>the surety is being in any way prejudiced, or is in danger of being prejudiced, by the act or default of the person administering the estate; or</w:t>
      </w:r>
    </w:p>
    <w:p>
      <w:pPr>
        <w:pStyle w:val="Indenta"/>
        <w:spacing w:before="60"/>
        <w:rPr>
          <w:snapToGrid w:val="0"/>
        </w:rPr>
      </w:pPr>
      <w:r>
        <w:rPr>
          <w:snapToGrid w:val="0"/>
        </w:rPr>
        <w:tab/>
        <w:t>(c)</w:t>
      </w:r>
      <w:r>
        <w:rPr>
          <w:snapToGrid w:val="0"/>
        </w:rPr>
        <w:tab/>
        <w:t>any surety desires to be relieved from further liability,</w:t>
      </w:r>
    </w:p>
    <w:p>
      <w:pPr>
        <w:pStyle w:val="Subsection"/>
        <w:rPr>
          <w:snapToGrid w:val="0"/>
        </w:rPr>
      </w:pPr>
      <w:r>
        <w:rPr>
          <w:snapToGrid w:val="0"/>
        </w:rPr>
        <w:tab/>
      </w:r>
      <w:r>
        <w:rPr>
          <w:snapToGrid w:val="0"/>
        </w:rPr>
        <w:tab/>
        <w:t>the Court may grant such relief as it thinks fit.</w:t>
      </w:r>
    </w:p>
    <w:p>
      <w:pPr>
        <w:pStyle w:val="Subsection"/>
        <w:rPr>
          <w:snapToGrid w:val="0"/>
        </w:rPr>
      </w:pPr>
      <w:r>
        <w:rPr>
          <w:snapToGrid w:val="0"/>
        </w:rPr>
        <w:tab/>
        <w:t>(7)</w:t>
      </w:r>
      <w:r>
        <w:rPr>
          <w:snapToGrid w:val="0"/>
        </w:rPr>
        <w:tab/>
        <w:t>Subject to subsection (6), this section applies whenever administration is granted under any provision of this Act.</w:t>
      </w:r>
    </w:p>
    <w:p>
      <w:pPr>
        <w:pStyle w:val="Subsection"/>
        <w:spacing w:before="120"/>
        <w:rPr>
          <w:snapToGrid w:val="0"/>
        </w:rPr>
      </w:pPr>
      <w:r>
        <w:rPr>
          <w:snapToGrid w:val="0"/>
        </w:rPr>
        <w:tab/>
        <w:t>(8)</w:t>
      </w:r>
      <w:r>
        <w:rPr>
          <w:snapToGrid w:val="0"/>
        </w:rPr>
        <w:tab/>
        <w:t>This section does not apply where administration is granted to the Public Trustee or in such other cases as may be prescribed by the rules.</w:t>
      </w:r>
    </w:p>
    <w:p>
      <w:pPr>
        <w:pStyle w:val="Footnotesection"/>
      </w:pPr>
      <w:r>
        <w:tab/>
        <w:t xml:space="preserve">[Section 26 inserted by No. 138 of 1976 s. 5; amended by No. 67 of 1979 s. 44.] </w:t>
      </w:r>
    </w:p>
    <w:p>
      <w:pPr>
        <w:pStyle w:val="Ednotesection"/>
      </w:pPr>
      <w:r>
        <w:t>[</w:t>
      </w:r>
      <w:r>
        <w:rPr>
          <w:b/>
        </w:rPr>
        <w:t>27</w:t>
      </w:r>
      <w:r>
        <w:rPr>
          <w:b/>
        </w:rPr>
        <w:noBreakHyphen/>
        <w:t>28.</w:t>
      </w:r>
      <w:r>
        <w:tab/>
        <w:t xml:space="preserve">Deleted by No. 138 of 1976 s. 6.] </w:t>
      </w:r>
    </w:p>
    <w:p>
      <w:pPr>
        <w:pStyle w:val="Heading5"/>
        <w:rPr>
          <w:snapToGrid w:val="0"/>
        </w:rPr>
      </w:pPr>
      <w:bookmarkStart w:id="108" w:name="_Toc26349195"/>
      <w:bookmarkStart w:id="109" w:name="_Toc124061261"/>
      <w:bookmarkStart w:id="110" w:name="_Toc271807643"/>
      <w:r>
        <w:rPr>
          <w:rStyle w:val="CharSectno"/>
        </w:rPr>
        <w:t>29</w:t>
      </w:r>
      <w:r>
        <w:rPr>
          <w:snapToGrid w:val="0"/>
        </w:rPr>
        <w:t>.</w:t>
      </w:r>
      <w:r>
        <w:rPr>
          <w:snapToGrid w:val="0"/>
        </w:rPr>
        <w:tab/>
        <w:t>Court may revoke grant of administration</w:t>
      </w:r>
      <w:bookmarkEnd w:id="108"/>
      <w:bookmarkEnd w:id="109"/>
      <w:bookmarkEnd w:id="110"/>
    </w:p>
    <w:p>
      <w:pPr>
        <w:pStyle w:val="Subsection"/>
        <w:spacing w:before="120"/>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pPr>
        <w:pStyle w:val="Ednotesubsection"/>
        <w:keepNext/>
        <w:spacing w:before="120"/>
      </w:pPr>
      <w:r>
        <w:tab/>
        <w:t>[(2)</w:t>
      </w:r>
      <w:r>
        <w:tab/>
        <w:t>deleted]</w:t>
      </w:r>
    </w:p>
    <w:p>
      <w:pPr>
        <w:pStyle w:val="Footnotesection"/>
      </w:pPr>
      <w:r>
        <w:tab/>
        <w:t xml:space="preserve">[Section 29 inserted by No. 138 of 1976 s. 7; amended by No. 67 of 1979 s. 44; No. 103 of 1979 s. 4; No. 57 of 1997 s. 16(2).] </w:t>
      </w:r>
    </w:p>
    <w:p>
      <w:pPr>
        <w:pStyle w:val="Ednotesection"/>
        <w:spacing w:before="180"/>
        <w:ind w:left="890" w:hanging="890"/>
      </w:pPr>
      <w:r>
        <w:t>[</w:t>
      </w:r>
      <w:r>
        <w:rPr>
          <w:b/>
        </w:rPr>
        <w:t>30</w:t>
      </w:r>
      <w:r>
        <w:rPr>
          <w:b/>
        </w:rPr>
        <w:noBreakHyphen/>
        <w:t>31.</w:t>
      </w:r>
      <w:r>
        <w:tab/>
        <w:t xml:space="preserve">Deleted by No. 138 of 1976 s. 8.] </w:t>
      </w:r>
    </w:p>
    <w:p>
      <w:pPr>
        <w:pStyle w:val="Heading5"/>
        <w:spacing w:before="200"/>
        <w:rPr>
          <w:snapToGrid w:val="0"/>
        </w:rPr>
      </w:pPr>
      <w:bookmarkStart w:id="111" w:name="_Toc26349196"/>
      <w:bookmarkStart w:id="112" w:name="_Toc124061262"/>
      <w:bookmarkStart w:id="113" w:name="_Toc271807644"/>
      <w:r>
        <w:rPr>
          <w:rStyle w:val="CharSectno"/>
        </w:rPr>
        <w:t>32</w:t>
      </w:r>
      <w:r>
        <w:rPr>
          <w:snapToGrid w:val="0"/>
        </w:rPr>
        <w:t>.</w:t>
      </w:r>
      <w:r>
        <w:rPr>
          <w:snapToGrid w:val="0"/>
        </w:rPr>
        <w:tab/>
        <w:t>In case of renunciation or failure to take probate, right of executor gone</w:t>
      </w:r>
      <w:bookmarkEnd w:id="111"/>
      <w:bookmarkEnd w:id="112"/>
      <w:bookmarkEnd w:id="113"/>
      <w:r>
        <w:rPr>
          <w:snapToGrid w:val="0"/>
        </w:rPr>
        <w:t xml:space="preserve"> </w:t>
      </w:r>
    </w:p>
    <w:p>
      <w:pPr>
        <w:pStyle w:val="Subsection"/>
        <w:spacing w:before="120"/>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pPr>
        <w:pStyle w:val="Heading5"/>
        <w:spacing w:before="200"/>
        <w:rPr>
          <w:snapToGrid w:val="0"/>
        </w:rPr>
      </w:pPr>
      <w:bookmarkStart w:id="114" w:name="_Toc26349197"/>
      <w:bookmarkStart w:id="115" w:name="_Toc124061263"/>
      <w:bookmarkStart w:id="116" w:name="_Toc271807645"/>
      <w:r>
        <w:rPr>
          <w:rStyle w:val="CharSectno"/>
        </w:rPr>
        <w:t>33</w:t>
      </w:r>
      <w:r>
        <w:rPr>
          <w:snapToGrid w:val="0"/>
        </w:rPr>
        <w:t>.</w:t>
      </w:r>
      <w:r>
        <w:rPr>
          <w:snapToGrid w:val="0"/>
        </w:rPr>
        <w:tab/>
        <w:t>Where infant is executor, etc.</w:t>
      </w:r>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pPr>
        <w:pStyle w:val="Subsection"/>
        <w:spacing w:before="120"/>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pPr>
        <w:pStyle w:val="Footnotesection"/>
        <w:spacing w:before="80"/>
        <w:ind w:left="890" w:hanging="890"/>
      </w:pPr>
      <w:r>
        <w:tab/>
        <w:t xml:space="preserve">[Section 33 amended by No. 46 of 1972 s. 6(2).] </w:t>
      </w:r>
    </w:p>
    <w:p>
      <w:pPr>
        <w:pStyle w:val="Heading5"/>
        <w:rPr>
          <w:snapToGrid w:val="0"/>
        </w:rPr>
      </w:pPr>
      <w:bookmarkStart w:id="117" w:name="_Toc26349198"/>
      <w:bookmarkStart w:id="118" w:name="_Toc124061264"/>
      <w:bookmarkStart w:id="119" w:name="_Toc271807646"/>
      <w:r>
        <w:rPr>
          <w:rStyle w:val="CharSectno"/>
        </w:rPr>
        <w:t>34</w:t>
      </w:r>
      <w:r>
        <w:rPr>
          <w:snapToGrid w:val="0"/>
        </w:rPr>
        <w:t>.</w:t>
      </w:r>
      <w:r>
        <w:rPr>
          <w:snapToGrid w:val="0"/>
        </w:rPr>
        <w:tab/>
        <w:t>Where person entitled to probate or administration is out of the jurisdiction</w:t>
      </w:r>
      <w:bookmarkEnd w:id="117"/>
      <w:bookmarkEnd w:id="118"/>
      <w:bookmarkEnd w:id="119"/>
      <w:r>
        <w:rPr>
          <w:snapToGrid w:val="0"/>
        </w:rPr>
        <w:t xml:space="preserve"> </w:t>
      </w:r>
    </w:p>
    <w:p>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pPr>
        <w:pStyle w:val="Footnotesection"/>
        <w:ind w:left="890" w:hanging="890"/>
      </w:pPr>
      <w:r>
        <w:tab/>
        <w:t xml:space="preserve">[Section 34 amended by No. 21 of 1942 s. 2.] </w:t>
      </w:r>
    </w:p>
    <w:p>
      <w:pPr>
        <w:pStyle w:val="Heading5"/>
        <w:rPr>
          <w:snapToGrid w:val="0"/>
        </w:rPr>
      </w:pPr>
      <w:bookmarkStart w:id="120" w:name="_Toc26349199"/>
      <w:bookmarkStart w:id="121" w:name="_Toc124061265"/>
      <w:bookmarkStart w:id="122" w:name="_Toc271807647"/>
      <w:r>
        <w:rPr>
          <w:rStyle w:val="CharSectno"/>
        </w:rPr>
        <w:t>35</w:t>
      </w:r>
      <w:r>
        <w:rPr>
          <w:snapToGrid w:val="0"/>
        </w:rPr>
        <w:t>.</w:t>
      </w:r>
      <w:r>
        <w:rPr>
          <w:snapToGrid w:val="0"/>
        </w:rPr>
        <w:tab/>
        <w:t>Court may appoint a manager and receiver pending litigation</w:t>
      </w:r>
      <w:bookmarkEnd w:id="120"/>
      <w:bookmarkEnd w:id="121"/>
      <w:bookmarkEnd w:id="122"/>
      <w:r>
        <w:rPr>
          <w:snapToGrid w:val="0"/>
        </w:rPr>
        <w:t xml:space="preserve"> </w:t>
      </w:r>
    </w:p>
    <w:p>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pPr>
        <w:pStyle w:val="Footnotesection"/>
        <w:ind w:left="890" w:hanging="890"/>
      </w:pPr>
      <w:r>
        <w:tab/>
        <w:t xml:space="preserve">[Section 35 amended by No. 138 of 1976 s. 9.] </w:t>
      </w:r>
    </w:p>
    <w:p>
      <w:pPr>
        <w:pStyle w:val="Heading5"/>
        <w:rPr>
          <w:snapToGrid w:val="0"/>
        </w:rPr>
      </w:pPr>
      <w:bookmarkStart w:id="123" w:name="_Toc26349200"/>
      <w:bookmarkStart w:id="124" w:name="_Toc124061266"/>
      <w:bookmarkStart w:id="125" w:name="_Toc271807648"/>
      <w:r>
        <w:rPr>
          <w:rStyle w:val="CharSectno"/>
        </w:rPr>
        <w:t>36</w:t>
      </w:r>
      <w:r>
        <w:rPr>
          <w:snapToGrid w:val="0"/>
        </w:rPr>
        <w:t>.</w:t>
      </w:r>
      <w:r>
        <w:rPr>
          <w:snapToGrid w:val="0"/>
        </w:rPr>
        <w:tab/>
        <w:t>Administration with the will annexed</w:t>
      </w:r>
      <w:bookmarkEnd w:id="123"/>
      <w:bookmarkEnd w:id="124"/>
      <w:bookmarkEnd w:id="125"/>
      <w:r>
        <w:rPr>
          <w:snapToGrid w:val="0"/>
        </w:rPr>
        <w:t xml:space="preserve"> </w:t>
      </w:r>
    </w:p>
    <w:p>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pPr>
        <w:pStyle w:val="Footnotesection"/>
      </w:pPr>
      <w:r>
        <w:tab/>
        <w:t xml:space="preserve">[Section 36 amended by No. 138 of 1976 s. 10.] </w:t>
      </w:r>
    </w:p>
    <w:p>
      <w:pPr>
        <w:pStyle w:val="Heading5"/>
        <w:rPr>
          <w:snapToGrid w:val="0"/>
        </w:rPr>
      </w:pPr>
      <w:bookmarkStart w:id="126" w:name="_Toc26349201"/>
      <w:bookmarkStart w:id="127" w:name="_Toc124061267"/>
      <w:bookmarkStart w:id="128" w:name="_Toc271807649"/>
      <w:r>
        <w:rPr>
          <w:rStyle w:val="CharSectno"/>
        </w:rPr>
        <w:t>37</w:t>
      </w:r>
      <w:r>
        <w:rPr>
          <w:snapToGrid w:val="0"/>
        </w:rPr>
        <w:t>.</w:t>
      </w:r>
      <w:r>
        <w:rPr>
          <w:snapToGrid w:val="0"/>
        </w:rPr>
        <w:tab/>
        <w:t>Probate or administration if executor, etc. absent or neglects to obtain probate, etc.</w:t>
      </w:r>
      <w:bookmarkEnd w:id="126"/>
      <w:bookmarkEnd w:id="127"/>
      <w:bookmarkEnd w:id="128"/>
      <w:r>
        <w:rPr>
          <w:snapToGrid w:val="0"/>
        </w:rPr>
        <w:t xml:space="preserve"> </w:t>
      </w:r>
    </w:p>
    <w:p>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pPr>
        <w:pStyle w:val="Footnotesection"/>
      </w:pPr>
      <w:r>
        <w:tab/>
        <w:t xml:space="preserve">[Section 37 amended by No. 46 of 1972 s. 6(2).] </w:t>
      </w:r>
    </w:p>
    <w:p>
      <w:pPr>
        <w:pStyle w:val="Heading5"/>
        <w:rPr>
          <w:snapToGrid w:val="0"/>
        </w:rPr>
      </w:pPr>
      <w:bookmarkStart w:id="129" w:name="_Toc26349202"/>
      <w:bookmarkStart w:id="130" w:name="_Toc124061268"/>
      <w:bookmarkStart w:id="131" w:name="_Toc271807650"/>
      <w:r>
        <w:rPr>
          <w:rStyle w:val="CharSectno"/>
        </w:rPr>
        <w:t>38</w:t>
      </w:r>
      <w:r>
        <w:rPr>
          <w:snapToGrid w:val="0"/>
        </w:rPr>
        <w:t>.</w:t>
      </w:r>
      <w:r>
        <w:rPr>
          <w:snapToGrid w:val="0"/>
        </w:rPr>
        <w:tab/>
        <w:t>Special letters of administration if executor or administrator not within jurisdiction</w:t>
      </w:r>
      <w:bookmarkEnd w:id="129"/>
      <w:bookmarkEnd w:id="130"/>
      <w:bookmarkEnd w:id="131"/>
      <w:r>
        <w:rPr>
          <w:snapToGrid w:val="0"/>
        </w:rPr>
        <w:t xml:space="preserve"> </w:t>
      </w:r>
    </w:p>
    <w:p>
      <w:pPr>
        <w:pStyle w:val="Subsection"/>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pPr>
        <w:pStyle w:val="Heading5"/>
        <w:rPr>
          <w:snapToGrid w:val="0"/>
        </w:rPr>
      </w:pPr>
      <w:bookmarkStart w:id="132" w:name="_Toc26349203"/>
      <w:bookmarkStart w:id="133" w:name="_Toc124061269"/>
      <w:bookmarkStart w:id="134" w:name="_Toc271807651"/>
      <w:r>
        <w:rPr>
          <w:rStyle w:val="CharSectno"/>
        </w:rPr>
        <w:t>39</w:t>
      </w:r>
      <w:r>
        <w:rPr>
          <w:snapToGrid w:val="0"/>
        </w:rPr>
        <w:t>.</w:t>
      </w:r>
      <w:r>
        <w:rPr>
          <w:snapToGrid w:val="0"/>
        </w:rPr>
        <w:tab/>
        <w:t>On return of executor or administrator, special administration may be revoked</w:t>
      </w:r>
      <w:bookmarkEnd w:id="132"/>
      <w:bookmarkEnd w:id="133"/>
      <w:bookmarkEnd w:id="134"/>
      <w:r>
        <w:rPr>
          <w:snapToGrid w:val="0"/>
        </w:rPr>
        <w:t xml:space="preserve"> </w:t>
      </w:r>
    </w:p>
    <w:p>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pPr>
        <w:pStyle w:val="Subsection"/>
        <w:spacing w:before="100"/>
        <w:rPr>
          <w:snapToGrid w:val="0"/>
        </w:rPr>
      </w:pPr>
      <w:r>
        <w:rPr>
          <w:snapToGrid w:val="0"/>
        </w:rPr>
        <w:tab/>
        <w:t>(2)</w:t>
      </w:r>
      <w:r>
        <w:rPr>
          <w:snapToGrid w:val="0"/>
        </w:rPr>
        <w:tab/>
        <w:t xml:space="preserve">Upon </w:t>
      </w:r>
      <w:r>
        <w:t>any</w:t>
      </w:r>
      <w:r>
        <w:rPr>
          <w:snapToGrid w:val="0"/>
        </w:rPr>
        <w:t xml:space="preserve"> order being made for the rescission of any special grant, the special administrator shall be bound to account to the original executor or administrator, and to pay over all moneys received by him and then remaining in his hands.</w:t>
      </w:r>
    </w:p>
    <w:p>
      <w:pPr>
        <w:pStyle w:val="Heading5"/>
        <w:spacing w:before="120"/>
        <w:rPr>
          <w:snapToGrid w:val="0"/>
        </w:rPr>
      </w:pPr>
      <w:bookmarkStart w:id="135" w:name="_Toc26349204"/>
      <w:bookmarkStart w:id="136" w:name="_Toc124061270"/>
      <w:bookmarkStart w:id="137" w:name="_Toc271807652"/>
      <w:r>
        <w:rPr>
          <w:rStyle w:val="CharSectno"/>
        </w:rPr>
        <w:t>40</w:t>
      </w:r>
      <w:r>
        <w:rPr>
          <w:snapToGrid w:val="0"/>
        </w:rPr>
        <w:t>.</w:t>
      </w:r>
      <w:r>
        <w:rPr>
          <w:snapToGrid w:val="0"/>
        </w:rPr>
        <w:tab/>
        <w:t>Absent executor liable to account</w:t>
      </w:r>
      <w:bookmarkEnd w:id="135"/>
      <w:bookmarkEnd w:id="136"/>
      <w:bookmarkEnd w:id="137"/>
      <w:r>
        <w:rPr>
          <w:snapToGrid w:val="0"/>
        </w:rPr>
        <w:t xml:space="preserve"> </w:t>
      </w:r>
    </w:p>
    <w:p>
      <w:pPr>
        <w:pStyle w:val="Subsection"/>
        <w:spacing w:before="100"/>
        <w:rPr>
          <w:snapToGrid w:val="0"/>
        </w:rPr>
      </w:pPr>
      <w:r>
        <w:rPr>
          <w:snapToGrid w:val="0"/>
        </w:rPr>
        <w:tab/>
      </w:r>
      <w:r>
        <w:rPr>
          <w:snapToGrid w:val="0"/>
        </w:rPr>
        <w:tab/>
        <w:t xml:space="preserve">Should </w:t>
      </w:r>
      <w:r>
        <w:t>an</w:t>
      </w:r>
      <w:r>
        <w:rPr>
          <w:snapToGrid w:val="0"/>
        </w:rPr>
        <w:t xml:space="preserve">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pPr>
        <w:pStyle w:val="Heading5"/>
        <w:spacing w:before="120"/>
        <w:rPr>
          <w:snapToGrid w:val="0"/>
        </w:rPr>
      </w:pPr>
      <w:bookmarkStart w:id="138" w:name="_Toc26349205"/>
      <w:bookmarkStart w:id="139" w:name="_Toc124061271"/>
      <w:bookmarkStart w:id="140" w:name="_Toc271807653"/>
      <w:r>
        <w:rPr>
          <w:rStyle w:val="CharSectno"/>
        </w:rPr>
        <w:t>41</w:t>
      </w:r>
      <w:r>
        <w:rPr>
          <w:snapToGrid w:val="0"/>
        </w:rPr>
        <w:t>.</w:t>
      </w:r>
      <w:r>
        <w:rPr>
          <w:snapToGrid w:val="0"/>
        </w:rPr>
        <w:tab/>
        <w:t>Revocation pending litigation not to abate proceedings</w:t>
      </w:r>
      <w:bookmarkEnd w:id="138"/>
      <w:bookmarkEnd w:id="139"/>
      <w:bookmarkEnd w:id="140"/>
      <w:r>
        <w:rPr>
          <w:snapToGrid w:val="0"/>
        </w:rPr>
        <w:t xml:space="preserve"> </w:t>
      </w:r>
    </w:p>
    <w:p>
      <w:pPr>
        <w:pStyle w:val="Subsection"/>
        <w:spacing w:before="100"/>
        <w:rPr>
          <w:snapToGrid w:val="0"/>
        </w:rPr>
      </w:pPr>
      <w:r>
        <w:rPr>
          <w:snapToGrid w:val="0"/>
        </w:rPr>
        <w:tab/>
      </w:r>
      <w:r>
        <w:rPr>
          <w:snapToGrid w:val="0"/>
        </w:rPr>
        <w:tab/>
        <w:t xml:space="preserve">Where </w:t>
      </w:r>
      <w:r>
        <w:t>probate</w:t>
      </w:r>
      <w:r>
        <w:rPr>
          <w:snapToGrid w:val="0"/>
        </w:rPr>
        <w:t xml:space="preserv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pPr>
        <w:pStyle w:val="Heading5"/>
        <w:rPr>
          <w:snapToGrid w:val="0"/>
        </w:rPr>
      </w:pPr>
      <w:bookmarkStart w:id="141" w:name="_Toc26349206"/>
      <w:bookmarkStart w:id="142" w:name="_Toc124061272"/>
      <w:bookmarkStart w:id="143" w:name="_Toc271807654"/>
      <w:r>
        <w:rPr>
          <w:rStyle w:val="CharSectno"/>
        </w:rPr>
        <w:t>42</w:t>
      </w:r>
      <w:r>
        <w:rPr>
          <w:snapToGrid w:val="0"/>
        </w:rPr>
        <w:t>.</w:t>
      </w:r>
      <w:r>
        <w:rPr>
          <w:snapToGrid w:val="0"/>
        </w:rPr>
        <w:tab/>
        <w:t>Devisee or legatee may apply to Court in certain cases</w:t>
      </w:r>
      <w:bookmarkEnd w:id="141"/>
      <w:bookmarkEnd w:id="142"/>
      <w:bookmarkEnd w:id="143"/>
      <w:r>
        <w:rPr>
          <w:snapToGrid w:val="0"/>
        </w:rPr>
        <w:t xml:space="preserve"> </w:t>
      </w:r>
    </w:p>
    <w:p>
      <w:pPr>
        <w:pStyle w:val="Subsection"/>
        <w:spacing w:before="100"/>
        <w:rPr>
          <w:snapToGrid w:val="0"/>
        </w:rPr>
      </w:pPr>
      <w:r>
        <w:rPr>
          <w:snapToGrid w:val="0"/>
        </w:rPr>
        <w:tab/>
      </w:r>
      <w:r>
        <w:rPr>
          <w:snapToGrid w:val="0"/>
        </w:rPr>
        <w:tab/>
        <w:t xml:space="preserve">If an </w:t>
      </w:r>
      <w:r>
        <w:t>executor</w:t>
      </w:r>
      <w:r>
        <w:rPr>
          <w:snapToGrid w:val="0"/>
        </w:rPr>
        <w:t xml:space="preserve"> who has obtained probate, or an administrator with the will annexed, after request in writing neglects or refuses to — </w:t>
      </w:r>
    </w:p>
    <w:p>
      <w:pPr>
        <w:pStyle w:val="Indenta"/>
        <w:rPr>
          <w:snapToGrid w:val="0"/>
        </w:rPr>
      </w:pPr>
      <w:r>
        <w:rPr>
          <w:snapToGrid w:val="0"/>
        </w:rPr>
        <w:tab/>
        <w:t>(a)</w:t>
      </w:r>
      <w:r>
        <w:rPr>
          <w:snapToGrid w:val="0"/>
        </w:rPr>
        <w:tab/>
        <w:t>execute a transfer or conveyance of land devised to a devisee; or</w:t>
      </w:r>
    </w:p>
    <w:p>
      <w:pPr>
        <w:pStyle w:val="Indenta"/>
        <w:rPr>
          <w:snapToGrid w:val="0"/>
        </w:rPr>
      </w:pPr>
      <w:r>
        <w:rPr>
          <w:snapToGrid w:val="0"/>
        </w:rPr>
        <w:tab/>
        <w:t>(b)</w:t>
      </w:r>
      <w:r>
        <w:rPr>
          <w:snapToGrid w:val="0"/>
        </w:rPr>
        <w:tab/>
        <w:t>transfer, pay, or deliver to the person entitled any bequests, legacy, or residuary bequest,</w:t>
      </w:r>
    </w:p>
    <w:p>
      <w:pPr>
        <w:pStyle w:val="Subsection"/>
        <w:spacing w:before="100"/>
        <w:rPr>
          <w:snapToGrid w:val="0"/>
        </w:rPr>
      </w:pPr>
      <w:r>
        <w:rPr>
          <w:snapToGrid w:val="0"/>
        </w:rPr>
        <w:tab/>
      </w:r>
      <w:r>
        <w:rPr>
          <w:snapToGrid w:val="0"/>
        </w:rPr>
        <w:tab/>
        <w:t xml:space="preserve">such devisee or </w:t>
      </w:r>
      <w:r>
        <w:t>person</w:t>
      </w:r>
      <w:r>
        <w:rPr>
          <w:snapToGrid w:val="0"/>
        </w:rPr>
        <w:t xml:space="preserve"> may apply for an order upon such executor or administrator to comply with such request, and the Court may make such order as it thinks fit.</w:t>
      </w:r>
    </w:p>
    <w:p>
      <w:pPr>
        <w:pStyle w:val="Heading5"/>
        <w:rPr>
          <w:snapToGrid w:val="0"/>
        </w:rPr>
      </w:pPr>
      <w:bookmarkStart w:id="144" w:name="_Toc26349207"/>
      <w:bookmarkStart w:id="145" w:name="_Toc124061273"/>
      <w:bookmarkStart w:id="146" w:name="_Toc271807655"/>
      <w:r>
        <w:rPr>
          <w:rStyle w:val="CharSectno"/>
        </w:rPr>
        <w:t>43</w:t>
      </w:r>
      <w:r>
        <w:rPr>
          <w:snapToGrid w:val="0"/>
        </w:rPr>
        <w:t>.</w:t>
      </w:r>
      <w:r>
        <w:rPr>
          <w:snapToGrid w:val="0"/>
        </w:rPr>
        <w:tab/>
        <w:t>Inventory and accounts</w:t>
      </w:r>
      <w:bookmarkEnd w:id="144"/>
      <w:bookmarkEnd w:id="145"/>
      <w:bookmarkEnd w:id="146"/>
      <w:r>
        <w:rPr>
          <w:snapToGrid w:val="0"/>
        </w:rPr>
        <w:t xml:space="preserve"> </w:t>
      </w:r>
    </w:p>
    <w:p>
      <w:pPr>
        <w:pStyle w:val="Subsection"/>
        <w:spacing w:before="100"/>
        <w:rPr>
          <w:snapToGrid w:val="0"/>
        </w:rPr>
      </w:pPr>
      <w:r>
        <w:rPr>
          <w:snapToGrid w:val="0"/>
        </w:rPr>
        <w:tab/>
        <w:t>(1)</w:t>
      </w:r>
      <w:r>
        <w:rPr>
          <w:snapToGrid w:val="0"/>
        </w:rPr>
        <w:tab/>
        <w:t>Every person to whom probate or administration is granted shall be under a duty to — </w:t>
      </w:r>
    </w:p>
    <w:p>
      <w:pPr>
        <w:pStyle w:val="Indenta"/>
        <w:rPr>
          <w:snapToGrid w:val="0"/>
        </w:rPr>
      </w:pPr>
      <w:r>
        <w:rPr>
          <w:snapToGrid w:val="0"/>
        </w:rPr>
        <w:tab/>
        <w:t>(a)</w:t>
      </w:r>
      <w:r>
        <w:rPr>
          <w:snapToGrid w:val="0"/>
        </w:rPr>
        <w:tab/>
        <w:t>collect and get in the real and personal estate of the deceased and administer it according to law;</w:t>
      </w:r>
    </w:p>
    <w:p>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Indenta"/>
        <w:rPr>
          <w:snapToGrid w:val="0"/>
        </w:rPr>
      </w:pPr>
      <w:r>
        <w:rPr>
          <w:snapToGrid w:val="0"/>
        </w:rPr>
        <w:tab/>
        <w:t>(c)</w:t>
      </w:r>
      <w:r>
        <w:rPr>
          <w:snapToGrid w:val="0"/>
        </w:rPr>
        <w:tab/>
        <w:t>when required to do so by the Court, deliver up the grant of probate or administration to the Court.</w:t>
      </w:r>
    </w:p>
    <w:p>
      <w:pPr>
        <w:pStyle w:val="Subsection"/>
        <w:spacing w:before="100"/>
        <w:rPr>
          <w:snapToGrid w:val="0"/>
        </w:rPr>
      </w:pPr>
      <w:r>
        <w:rPr>
          <w:snapToGrid w:val="0"/>
        </w:rPr>
        <w:tab/>
        <w:t>(2)</w:t>
      </w:r>
      <w:r>
        <w:rPr>
          <w:snapToGrid w:val="0"/>
        </w:rPr>
        <w:tab/>
        <w:t xml:space="preserve">The </w:t>
      </w:r>
      <w:r>
        <w:t>order</w:t>
      </w:r>
      <w:r>
        <w:rPr>
          <w:snapToGrid w:val="0"/>
        </w:rPr>
        <w:t xml:space="preserve">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pPr>
        <w:pStyle w:val="Footnotesection"/>
      </w:pPr>
      <w:r>
        <w:tab/>
        <w:t xml:space="preserve">[Section 43 amended by No. 138 of 1976 s. 11.] </w:t>
      </w:r>
    </w:p>
    <w:p>
      <w:pPr>
        <w:pStyle w:val="Heading5"/>
        <w:rPr>
          <w:snapToGrid w:val="0"/>
        </w:rPr>
      </w:pPr>
      <w:bookmarkStart w:id="147" w:name="_Toc26349208"/>
      <w:bookmarkStart w:id="148" w:name="_Toc124061274"/>
      <w:bookmarkStart w:id="149" w:name="_Toc271807656"/>
      <w:r>
        <w:rPr>
          <w:rStyle w:val="CharSectno"/>
        </w:rPr>
        <w:t>44</w:t>
      </w:r>
      <w:r>
        <w:rPr>
          <w:snapToGrid w:val="0"/>
        </w:rPr>
        <w:t>.</w:t>
      </w:r>
      <w:r>
        <w:rPr>
          <w:snapToGrid w:val="0"/>
        </w:rPr>
        <w:tab/>
        <w:t>If accounts not filed Principal Registrar to give notice, etc.</w:t>
      </w:r>
      <w:bookmarkEnd w:id="147"/>
      <w:bookmarkEnd w:id="148"/>
      <w:bookmarkEnd w:id="149"/>
      <w:r>
        <w:rPr>
          <w:snapToGrid w:val="0"/>
        </w:rPr>
        <w:t xml:space="preserve"> </w:t>
      </w:r>
    </w:p>
    <w:p>
      <w:pPr>
        <w:pStyle w:val="Subsection"/>
        <w:spacing w:before="100"/>
        <w:rPr>
          <w:snapToGrid w:val="0"/>
        </w:rPr>
      </w:pPr>
      <w:r>
        <w:rPr>
          <w:snapToGrid w:val="0"/>
        </w:rPr>
        <w:tab/>
        <w:t>(1)</w:t>
      </w:r>
      <w:r>
        <w:rPr>
          <w:snapToGrid w:val="0"/>
        </w:rPr>
        <w:tab/>
        <w:t xml:space="preserve">If an </w:t>
      </w:r>
      <w:r>
        <w:t>executor</w:t>
      </w:r>
      <w:r>
        <w:rPr>
          <w:snapToGrid w:val="0"/>
        </w:rPr>
        <w:t xml:space="preserve"> or administrator neglects to file an inventory or to pass accounts within one month after the expiration of the period fixed by the rules, the Principal Registrar shall cause such executor or administrator to be notified of such neglect.</w:t>
      </w:r>
    </w:p>
    <w:p>
      <w:pPr>
        <w:pStyle w:val="Subsection"/>
        <w:spacing w:before="100"/>
        <w:rPr>
          <w:snapToGrid w:val="0"/>
        </w:rPr>
      </w:pPr>
      <w:r>
        <w:rPr>
          <w:snapToGrid w:val="0"/>
        </w:rPr>
        <w:tab/>
        <w:t>(2)</w:t>
      </w:r>
      <w:r>
        <w:rPr>
          <w:snapToGrid w:val="0"/>
        </w:rPr>
        <w:tab/>
        <w:t xml:space="preserve">In case </w:t>
      </w:r>
      <w:r>
        <w:t>of</w:t>
      </w:r>
      <w:r>
        <w:rPr>
          <w:snapToGrid w:val="0"/>
        </w:rPr>
        <w:t xml:space="preserve"> further neglect of the period of one month, the Principal Registrar shall apply for an order upon such executor or administrator to file such inventory or exhibit such account forthwith.</w:t>
      </w:r>
    </w:p>
    <w:p>
      <w:pPr>
        <w:pStyle w:val="Subsection"/>
        <w:spacing w:before="100"/>
        <w:rPr>
          <w:snapToGrid w:val="0"/>
          <w:spacing w:val="-2"/>
        </w:rPr>
      </w:pPr>
      <w:r>
        <w:rPr>
          <w:snapToGrid w:val="0"/>
          <w:spacing w:val="-2"/>
        </w:rPr>
        <w:tab/>
        <w:t>(3)</w:t>
      </w:r>
      <w:r>
        <w:rPr>
          <w:snapToGrid w:val="0"/>
          <w:spacing w:val="-2"/>
        </w:rPr>
        <w:tab/>
        <w:t xml:space="preserve">No </w:t>
      </w:r>
      <w: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pPr>
        <w:pStyle w:val="Footnotesection"/>
      </w:pPr>
      <w:r>
        <w:tab/>
        <w:t xml:space="preserve">[Section 44 amended by No. 138 of 1976 s. 12; No. 67 of 1979 s. 44.] </w:t>
      </w:r>
    </w:p>
    <w:p>
      <w:pPr>
        <w:pStyle w:val="Heading5"/>
        <w:rPr>
          <w:snapToGrid w:val="0"/>
        </w:rPr>
      </w:pPr>
      <w:bookmarkStart w:id="150" w:name="_Toc26349209"/>
      <w:bookmarkStart w:id="151" w:name="_Toc124061275"/>
      <w:bookmarkStart w:id="152" w:name="_Toc271807657"/>
      <w:r>
        <w:rPr>
          <w:rStyle w:val="CharSectno"/>
        </w:rPr>
        <w:t>45</w:t>
      </w:r>
      <w:r>
        <w:rPr>
          <w:snapToGrid w:val="0"/>
        </w:rPr>
        <w:t>.</w:t>
      </w:r>
      <w:r>
        <w:rPr>
          <w:snapToGrid w:val="0"/>
        </w:rPr>
        <w:tab/>
        <w:t>Court may settle all questions arising in administration</w:t>
      </w:r>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pPr>
        <w:pStyle w:val="Subsection"/>
        <w:spacing w:before="120"/>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pPr>
        <w:pStyle w:val="Subsection"/>
        <w:spacing w:before="120"/>
        <w:rPr>
          <w:snapToGrid w:val="0"/>
        </w:rPr>
      </w:pPr>
      <w:r>
        <w:rPr>
          <w:snapToGrid w:val="0"/>
        </w:rPr>
        <w:tab/>
        <w:t>(3)</w:t>
      </w:r>
      <w:r>
        <w:rPr>
          <w:snapToGrid w:val="0"/>
        </w:rPr>
        <w:tab/>
        <w:t>No final order for distribution shall be made except upon notice to all the parties interested, or as the Court may direct.</w:t>
      </w:r>
    </w:p>
    <w:p>
      <w:pPr>
        <w:pStyle w:val="Footnotesection"/>
      </w:pPr>
      <w:r>
        <w:tab/>
        <w:t>[Section 45</w:t>
      </w:r>
      <w:r>
        <w:rPr>
          <w:i w:val="0"/>
        </w:rPr>
        <w:t xml:space="preserve"> </w:t>
      </w:r>
      <w:r>
        <w:t xml:space="preserve">amended by No. 62 of 1955 s. 8.] </w:t>
      </w:r>
    </w:p>
    <w:p>
      <w:pPr>
        <w:pStyle w:val="Heading5"/>
        <w:rPr>
          <w:snapToGrid w:val="0"/>
        </w:rPr>
      </w:pPr>
      <w:bookmarkStart w:id="153" w:name="_Toc26349210"/>
      <w:bookmarkStart w:id="154" w:name="_Toc124061276"/>
      <w:bookmarkStart w:id="155" w:name="_Toc271807658"/>
      <w:r>
        <w:rPr>
          <w:rStyle w:val="CharSectno"/>
        </w:rPr>
        <w:t>46</w:t>
      </w:r>
      <w:r>
        <w:rPr>
          <w:snapToGrid w:val="0"/>
        </w:rPr>
        <w:t>.</w:t>
      </w:r>
      <w:r>
        <w:rPr>
          <w:snapToGrid w:val="0"/>
        </w:rPr>
        <w:tab/>
        <w:t>Payments made before revocation to be valid</w:t>
      </w:r>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pPr>
        <w:pStyle w:val="Heading5"/>
        <w:spacing w:before="200"/>
        <w:rPr>
          <w:snapToGrid w:val="0"/>
        </w:rPr>
      </w:pPr>
      <w:bookmarkStart w:id="156" w:name="_Toc26349211"/>
      <w:bookmarkStart w:id="157" w:name="_Toc124061277"/>
      <w:bookmarkStart w:id="158" w:name="_Toc271807659"/>
      <w:r>
        <w:rPr>
          <w:rStyle w:val="CharSectno"/>
        </w:rPr>
        <w:t>47</w:t>
      </w:r>
      <w:r>
        <w:rPr>
          <w:snapToGrid w:val="0"/>
        </w:rPr>
        <w:t>.</w:t>
      </w:r>
      <w:r>
        <w:rPr>
          <w:snapToGrid w:val="0"/>
        </w:rPr>
        <w:tab/>
        <w:t>Payments etc. to be valid notwithstanding defect</w:t>
      </w:r>
      <w:bookmarkEnd w:id="156"/>
      <w:bookmarkEnd w:id="157"/>
      <w:bookmarkEnd w:id="158"/>
      <w:r>
        <w:rPr>
          <w:snapToGrid w:val="0"/>
        </w:rPr>
        <w:t xml:space="preserve"> </w:t>
      </w:r>
    </w:p>
    <w:p>
      <w:pPr>
        <w:pStyle w:val="Subsection"/>
        <w:spacing w:before="140"/>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pPr>
        <w:pStyle w:val="Heading5"/>
        <w:spacing w:before="200"/>
        <w:rPr>
          <w:snapToGrid w:val="0"/>
        </w:rPr>
      </w:pPr>
      <w:bookmarkStart w:id="159" w:name="_Toc26349212"/>
      <w:bookmarkStart w:id="160" w:name="_Toc124061278"/>
      <w:bookmarkStart w:id="161" w:name="_Toc271807660"/>
      <w:r>
        <w:rPr>
          <w:rStyle w:val="CharSectno"/>
        </w:rPr>
        <w:t>47A</w:t>
      </w:r>
      <w:r>
        <w:rPr>
          <w:snapToGrid w:val="0"/>
        </w:rPr>
        <w:t xml:space="preserve">. </w:t>
      </w:r>
      <w:r>
        <w:rPr>
          <w:snapToGrid w:val="0"/>
        </w:rPr>
        <w:tab/>
        <w:t>Protection of executors, administrators and trustees</w:t>
      </w:r>
      <w:bookmarkEnd w:id="159"/>
      <w:bookmarkEnd w:id="160"/>
      <w:bookmarkEnd w:id="161"/>
      <w:r>
        <w:rPr>
          <w:snapToGrid w:val="0"/>
        </w:rPr>
        <w:t xml:space="preserve"> </w:t>
      </w:r>
    </w:p>
    <w:p>
      <w:pPr>
        <w:pStyle w:val="Subsection"/>
        <w:keepNext/>
        <w:spacing w:before="140"/>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provisions of section 12A; or</w:t>
      </w:r>
    </w:p>
    <w:p>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pPr>
        <w:pStyle w:val="Subsection"/>
        <w:spacing w:before="140"/>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pPr>
        <w:pStyle w:val="Subsection"/>
        <w:spacing w:before="140"/>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pPr>
        <w:pStyle w:val="Subsection"/>
        <w:spacing w:before="120"/>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pPr>
        <w:pStyle w:val="Footnotesection"/>
        <w:spacing w:before="100"/>
        <w:ind w:left="890" w:hanging="890"/>
      </w:pPr>
      <w:r>
        <w:tab/>
        <w:t xml:space="preserve">[Section 47A inserted by No. 18 of 1971 s. 4.] </w:t>
      </w:r>
    </w:p>
    <w:p>
      <w:pPr>
        <w:pStyle w:val="Ednotesection"/>
        <w:spacing w:before="200"/>
        <w:ind w:left="890" w:hanging="890"/>
      </w:pPr>
      <w:r>
        <w:t>[</w:t>
      </w:r>
      <w:r>
        <w:rPr>
          <w:b/>
        </w:rPr>
        <w:t>48</w:t>
      </w:r>
      <w:r>
        <w:rPr>
          <w:b/>
        </w:rPr>
        <w:noBreakHyphen/>
        <w:t>52.</w:t>
      </w:r>
      <w:r>
        <w:tab/>
        <w:t xml:space="preserve">Deleted by No. 80 of 1962 s. 5.] </w:t>
      </w:r>
    </w:p>
    <w:p>
      <w:pPr>
        <w:pStyle w:val="Heading5"/>
        <w:spacing w:before="200"/>
        <w:rPr>
          <w:snapToGrid w:val="0"/>
        </w:rPr>
      </w:pPr>
      <w:bookmarkStart w:id="162" w:name="_Toc26349213"/>
      <w:bookmarkStart w:id="163" w:name="_Toc124061279"/>
      <w:bookmarkStart w:id="164" w:name="_Toc271807661"/>
      <w:r>
        <w:rPr>
          <w:rStyle w:val="CharSectno"/>
        </w:rPr>
        <w:t>53</w:t>
      </w:r>
      <w:r>
        <w:rPr>
          <w:snapToGrid w:val="0"/>
        </w:rPr>
        <w:t>.</w:t>
      </w:r>
      <w:r>
        <w:rPr>
          <w:snapToGrid w:val="0"/>
        </w:rPr>
        <w:tab/>
        <w:t>Executor deemed to be resident in State</w:t>
      </w:r>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 xml:space="preserve">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spacing w:before="120"/>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pPr>
        <w:pStyle w:val="Footnotesection"/>
        <w:spacing w:before="100"/>
        <w:ind w:left="890" w:hanging="890"/>
      </w:pPr>
      <w:r>
        <w:tab/>
        <w:t xml:space="preserve">[Section 53 amended by No. 67 of 1979 s. 44; No. 14 of 1980 s. 3.] </w:t>
      </w:r>
    </w:p>
    <w:p>
      <w:pPr>
        <w:pStyle w:val="Heading5"/>
        <w:spacing w:before="200"/>
        <w:rPr>
          <w:snapToGrid w:val="0"/>
        </w:rPr>
      </w:pPr>
      <w:bookmarkStart w:id="165" w:name="_Toc26349214"/>
      <w:bookmarkStart w:id="166" w:name="_Toc124061280"/>
      <w:bookmarkStart w:id="167" w:name="_Toc271807662"/>
      <w:r>
        <w:rPr>
          <w:rStyle w:val="CharSectno"/>
        </w:rPr>
        <w:t>54</w:t>
      </w:r>
      <w:r>
        <w:rPr>
          <w:snapToGrid w:val="0"/>
        </w:rPr>
        <w:t>.</w:t>
      </w:r>
      <w:r>
        <w:rPr>
          <w:snapToGrid w:val="0"/>
        </w:rPr>
        <w:tab/>
        <w:t>Court may appoint district agents</w:t>
      </w:r>
      <w:bookmarkEnd w:id="165"/>
      <w:bookmarkEnd w:id="166"/>
      <w:bookmarkEnd w:id="167"/>
      <w:r>
        <w:rPr>
          <w:snapToGrid w:val="0"/>
        </w:rPr>
        <w:t xml:space="preserve"> </w:t>
      </w:r>
    </w:p>
    <w:p>
      <w:pPr>
        <w:pStyle w:val="Subsection"/>
        <w:spacing w:before="120"/>
        <w:rPr>
          <w:snapToGrid w:val="0"/>
        </w:rPr>
      </w:pPr>
      <w:r>
        <w:rPr>
          <w:snapToGrid w:val="0"/>
        </w:rPr>
        <w:tab/>
        <w:t>(1)</w:t>
      </w:r>
      <w:r>
        <w:rPr>
          <w:snapToGrid w:val="0"/>
        </w:rPr>
        <w:tab/>
        <w:t xml:space="preserve">For the purpose of receiving applications for probate or administration under this Act, </w:t>
      </w:r>
      <w:r>
        <w:t xml:space="preserve">a magistrate of the </w:t>
      </w:r>
      <w:smartTag w:uri="urn:schemas-microsoft-com:office:smarttags" w:element="Street">
        <w:r>
          <w:t>Magistrates Court</w:t>
        </w:r>
      </w:smartTag>
      <w:r>
        <w:t xml:space="preserve"> at a place </w:t>
      </w:r>
      <w:r>
        <w:rPr>
          <w:snapToGrid w:val="0"/>
        </w:rPr>
        <w:t xml:space="preserve">beyond 80 kilometres from </w:t>
      </w:r>
      <w:smartTag w:uri="urn:schemas-microsoft-com:office:smarttags" w:element="City">
        <w:smartTag w:uri="urn:schemas-microsoft-com:office:smarttags" w:element="place">
          <w:r>
            <w:rPr>
              <w:snapToGrid w:val="0"/>
            </w:rPr>
            <w:t>Perth</w:t>
          </w:r>
        </w:smartTag>
      </w:smartTag>
      <w:r>
        <w:rPr>
          <w:snapToGrid w:val="0"/>
        </w:rPr>
        <w:t xml:space="preserve"> shall be and is hereby appointed to act as a district agent for the Principal Registrar.</w:t>
      </w:r>
    </w:p>
    <w:p>
      <w:pPr>
        <w:pStyle w:val="Subsection"/>
        <w:spacing w:before="120"/>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pPr>
        <w:pStyle w:val="Footnotesection"/>
        <w:spacing w:before="100"/>
        <w:ind w:left="890" w:hanging="890"/>
      </w:pPr>
      <w:r>
        <w:tab/>
        <w:t xml:space="preserve">[Section 54 amended by No. 55 of 1941 s. 5; No. 94 of 1972 s. 4 (as amended by No. 19 of 1973); No. 67 of 1979 s. 44; No. 59 of 2004 s. 141; No. 24 of 2005 s. 63.] </w:t>
      </w:r>
    </w:p>
    <w:p>
      <w:pPr>
        <w:pStyle w:val="Heading5"/>
        <w:spacing w:before="180"/>
        <w:rPr>
          <w:snapToGrid w:val="0"/>
        </w:rPr>
      </w:pPr>
      <w:bookmarkStart w:id="168" w:name="_Toc26349215"/>
      <w:bookmarkStart w:id="169" w:name="_Toc124061281"/>
      <w:bookmarkStart w:id="170" w:name="_Toc271807663"/>
      <w:r>
        <w:rPr>
          <w:rStyle w:val="CharSectno"/>
        </w:rPr>
        <w:t>55</w:t>
      </w:r>
      <w:r>
        <w:rPr>
          <w:snapToGrid w:val="0"/>
        </w:rPr>
        <w:t>.</w:t>
      </w:r>
      <w:r>
        <w:rPr>
          <w:snapToGrid w:val="0"/>
        </w:rPr>
        <w:tab/>
        <w:t>Where estate does not exceed $10 000 the Principal Registrar or district agent may act</w:t>
      </w:r>
      <w:bookmarkEnd w:id="168"/>
      <w:bookmarkEnd w:id="169"/>
      <w:bookmarkEnd w:id="170"/>
      <w:r>
        <w:rPr>
          <w:snapToGrid w:val="0"/>
        </w:rPr>
        <w:t xml:space="preserve"> </w:t>
      </w:r>
    </w:p>
    <w:p>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pPr>
        <w:pStyle w:val="Footnotesection"/>
      </w:pPr>
      <w:r>
        <w:tab/>
        <w:t xml:space="preserve">[Section 55 inserted by No. 66 of 1963 s. 2; amended by No. 113 of 1965 s. 8; No. 94 of 1972 s. 4 (as amended by No. 19 of 1973); No. 37 of 1977 s. 3; No. 67 of 1979 s. 44; No. 14 of 1980 s. 4.] </w:t>
      </w:r>
    </w:p>
    <w:p>
      <w:pPr>
        <w:pStyle w:val="Heading5"/>
        <w:spacing w:before="180"/>
        <w:rPr>
          <w:snapToGrid w:val="0"/>
        </w:rPr>
      </w:pPr>
      <w:bookmarkStart w:id="171" w:name="_Toc26349216"/>
      <w:bookmarkStart w:id="172" w:name="_Toc124061282"/>
      <w:bookmarkStart w:id="173" w:name="_Toc271807664"/>
      <w:r>
        <w:rPr>
          <w:rStyle w:val="CharSectno"/>
        </w:rPr>
        <w:t>56</w:t>
      </w:r>
      <w:r>
        <w:rPr>
          <w:snapToGrid w:val="0"/>
        </w:rPr>
        <w:t>.</w:t>
      </w:r>
      <w:r>
        <w:rPr>
          <w:snapToGrid w:val="0"/>
        </w:rPr>
        <w:tab/>
        <w:t>Information to be furnished by Principal Registrar or agent</w:t>
      </w:r>
      <w:bookmarkEnd w:id="171"/>
      <w:bookmarkEnd w:id="172"/>
      <w:bookmarkEnd w:id="173"/>
      <w:r>
        <w:rPr>
          <w:snapToGrid w:val="0"/>
        </w:rPr>
        <w:t xml:space="preserve"> </w:t>
      </w:r>
    </w:p>
    <w:p>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pPr>
        <w:pStyle w:val="Footnotesection"/>
      </w:pPr>
      <w:r>
        <w:tab/>
        <w:t xml:space="preserve">[Section 56 amended by No. 67 of 1979 s. 44.] </w:t>
      </w:r>
    </w:p>
    <w:p>
      <w:pPr>
        <w:pStyle w:val="Heading5"/>
        <w:spacing w:before="180"/>
        <w:rPr>
          <w:snapToGrid w:val="0"/>
        </w:rPr>
      </w:pPr>
      <w:bookmarkStart w:id="174" w:name="_Toc26349217"/>
      <w:bookmarkStart w:id="175" w:name="_Toc124061283"/>
      <w:bookmarkStart w:id="176" w:name="_Toc271807665"/>
      <w:r>
        <w:rPr>
          <w:rStyle w:val="CharSectno"/>
        </w:rPr>
        <w:t>57</w:t>
      </w:r>
      <w:r>
        <w:rPr>
          <w:snapToGrid w:val="0"/>
        </w:rPr>
        <w:t>.</w:t>
      </w:r>
      <w:r>
        <w:rPr>
          <w:snapToGrid w:val="0"/>
        </w:rPr>
        <w:tab/>
        <w:t>Applications to be transmitted by agent to Principal Registrar</w:t>
      </w:r>
      <w:bookmarkEnd w:id="174"/>
      <w:bookmarkEnd w:id="175"/>
      <w:bookmarkEnd w:id="176"/>
      <w:r>
        <w:rPr>
          <w:snapToGrid w:val="0"/>
        </w:rPr>
        <w:t xml:space="preserve"> </w:t>
      </w:r>
    </w:p>
    <w:p>
      <w:pPr>
        <w:pStyle w:val="Subsection"/>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pPr>
        <w:pStyle w:val="Subsection"/>
        <w:rPr>
          <w:snapToGrid w:val="0"/>
        </w:rPr>
      </w:pPr>
      <w:r>
        <w:rPr>
          <w:snapToGrid w:val="0"/>
        </w:rPr>
        <w:tab/>
        <w:t>(3)</w:t>
      </w:r>
      <w:r>
        <w:rPr>
          <w:snapToGrid w:val="0"/>
        </w:rPr>
        <w:tab/>
        <w:t>Such probate or administration shall be issued in the name and under the seal of the Court.</w:t>
      </w:r>
    </w:p>
    <w:p>
      <w:pPr>
        <w:pStyle w:val="Footnotesection"/>
      </w:pPr>
      <w:r>
        <w:tab/>
        <w:t xml:space="preserve">[Section 57 amended by No. 55 of 1950 s. 4; No. 66 of 1963 s. 3; No. 113 of 1965 s. 8; No. 37 of 1977 s. 3; No. 67 of 1979 s. 44.] </w:t>
      </w:r>
    </w:p>
    <w:p>
      <w:pPr>
        <w:pStyle w:val="Heading5"/>
        <w:rPr>
          <w:snapToGrid w:val="0"/>
        </w:rPr>
      </w:pPr>
      <w:bookmarkStart w:id="177" w:name="_Toc26349218"/>
      <w:bookmarkStart w:id="178" w:name="_Toc124061284"/>
      <w:bookmarkStart w:id="179" w:name="_Toc271807666"/>
      <w:r>
        <w:rPr>
          <w:rStyle w:val="CharSectno"/>
        </w:rPr>
        <w:t>58</w:t>
      </w:r>
      <w:r>
        <w:rPr>
          <w:snapToGrid w:val="0"/>
        </w:rPr>
        <w:t>.</w:t>
      </w:r>
      <w:r>
        <w:rPr>
          <w:snapToGrid w:val="0"/>
        </w:rPr>
        <w:tab/>
        <w:t>Principal Registrar to refer matter back to agent if not satisfied</w:t>
      </w:r>
      <w:bookmarkEnd w:id="177"/>
      <w:bookmarkEnd w:id="178"/>
      <w:bookmarkEnd w:id="179"/>
      <w:r>
        <w:rPr>
          <w:snapToGrid w:val="0"/>
        </w:rPr>
        <w:t xml:space="preserve"> </w:t>
      </w:r>
    </w:p>
    <w:p>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pPr>
        <w:pStyle w:val="Subsection"/>
        <w:keepNext/>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pPr>
        <w:pStyle w:val="Footnotesection"/>
      </w:pPr>
      <w:r>
        <w:tab/>
        <w:t xml:space="preserve">[Section 58 amended by No. 67 of 1979 s. 44.] </w:t>
      </w:r>
    </w:p>
    <w:p>
      <w:pPr>
        <w:pStyle w:val="Ednotesection"/>
      </w:pPr>
      <w:r>
        <w:t>[</w:t>
      </w:r>
      <w:r>
        <w:rPr>
          <w:b/>
        </w:rPr>
        <w:t>59.</w:t>
      </w:r>
      <w:r>
        <w:tab/>
        <w:t>Deleted by No. 14 of 1980 s. 5.]</w:t>
      </w:r>
    </w:p>
    <w:p>
      <w:pPr>
        <w:pStyle w:val="Heading5"/>
        <w:rPr>
          <w:snapToGrid w:val="0"/>
        </w:rPr>
      </w:pPr>
      <w:bookmarkStart w:id="180" w:name="_Toc26349219"/>
      <w:bookmarkStart w:id="181" w:name="_Toc124061285"/>
      <w:bookmarkStart w:id="182" w:name="_Toc271807667"/>
      <w:r>
        <w:rPr>
          <w:rStyle w:val="CharSectno"/>
        </w:rPr>
        <w:t>60</w:t>
      </w:r>
      <w:r>
        <w:rPr>
          <w:snapToGrid w:val="0"/>
        </w:rPr>
        <w:t>.</w:t>
      </w:r>
      <w:r>
        <w:rPr>
          <w:snapToGrid w:val="0"/>
        </w:rPr>
        <w:tab/>
        <w:t>Principal Registrar may refer to Court</w:t>
      </w:r>
      <w:bookmarkEnd w:id="180"/>
      <w:bookmarkEnd w:id="181"/>
      <w:bookmarkEnd w:id="182"/>
      <w:r>
        <w:rPr>
          <w:snapToGrid w:val="0"/>
        </w:rPr>
        <w:t xml:space="preserve"> </w:t>
      </w:r>
    </w:p>
    <w:p>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pPr>
        <w:pStyle w:val="Footnotesection"/>
      </w:pPr>
      <w:r>
        <w:tab/>
        <w:t>[Section 60 amended by No. 67 of 1979 s. 44.]</w:t>
      </w:r>
    </w:p>
    <w:p>
      <w:pPr>
        <w:pStyle w:val="Heading5"/>
        <w:rPr>
          <w:snapToGrid w:val="0"/>
        </w:rPr>
      </w:pPr>
      <w:bookmarkStart w:id="183" w:name="_Toc26349220"/>
      <w:bookmarkStart w:id="184" w:name="_Toc124061286"/>
      <w:bookmarkStart w:id="185" w:name="_Toc271807668"/>
      <w:r>
        <w:rPr>
          <w:rStyle w:val="CharSectno"/>
        </w:rPr>
        <w:t>60A</w:t>
      </w:r>
      <w:r>
        <w:rPr>
          <w:snapToGrid w:val="0"/>
        </w:rPr>
        <w:t>.</w:t>
      </w:r>
      <w:r>
        <w:rPr>
          <w:snapToGrid w:val="0"/>
        </w:rPr>
        <w:tab/>
        <w:t xml:space="preserve">Application of </w:t>
      </w:r>
      <w:r>
        <w:rPr>
          <w:i/>
          <w:snapToGrid w:val="0"/>
        </w:rPr>
        <w:t>Inheritance (Family and Dependants Provision) Act 1972</w:t>
      </w:r>
      <w:bookmarkEnd w:id="183"/>
      <w:bookmarkEnd w:id="184"/>
      <w:bookmarkEnd w:id="185"/>
      <w:r>
        <w:rPr>
          <w:snapToGrid w:val="0"/>
        </w:rPr>
        <w:t xml:space="preserve"> </w:t>
      </w:r>
    </w:p>
    <w:p>
      <w:pPr>
        <w:pStyle w:val="Subsection"/>
        <w:rPr>
          <w:snapToGrid w:val="0"/>
        </w:rPr>
      </w:pPr>
      <w:r>
        <w:rPr>
          <w:snapToGrid w:val="0"/>
        </w:rPr>
        <w:tab/>
      </w:r>
      <w:r>
        <w:rPr>
          <w:snapToGrid w:val="0"/>
        </w:rPr>
        <w:tab/>
        <w:t xml:space="preserve">Nothing in this Part shall effect or derogate from the provisions of section 6 of the </w:t>
      </w:r>
      <w:r>
        <w:rPr>
          <w:i/>
          <w:snapToGrid w:val="0"/>
        </w:rPr>
        <w:t>Inheritance (Family and Dependants Provision) Act 1972</w:t>
      </w:r>
      <w:r>
        <w:rPr>
          <w:snapToGrid w:val="0"/>
        </w:rPr>
        <w:t>.</w:t>
      </w:r>
    </w:p>
    <w:p>
      <w:pPr>
        <w:pStyle w:val="Footnotesection"/>
      </w:pPr>
      <w:r>
        <w:tab/>
        <w:t>[Section 60A inserted by No. 57 of 1972 s. 3(2).]</w:t>
      </w:r>
    </w:p>
    <w:p>
      <w:pPr>
        <w:pStyle w:val="Heading2"/>
      </w:pPr>
      <w:bookmarkStart w:id="186" w:name="_Toc89160136"/>
      <w:bookmarkStart w:id="187" w:name="_Toc101855612"/>
      <w:bookmarkStart w:id="188" w:name="_Toc121561303"/>
      <w:bookmarkStart w:id="189" w:name="_Toc124061287"/>
      <w:bookmarkStart w:id="190" w:name="_Toc124140179"/>
      <w:bookmarkStart w:id="191" w:name="_Toc137973027"/>
      <w:bookmarkStart w:id="192" w:name="_Toc140397873"/>
      <w:bookmarkStart w:id="193" w:name="_Toc140980020"/>
      <w:bookmarkStart w:id="194" w:name="_Toc140980232"/>
      <w:bookmarkStart w:id="195" w:name="_Toc151784555"/>
      <w:bookmarkStart w:id="196" w:name="_Toc155594399"/>
      <w:bookmarkStart w:id="197" w:name="_Toc266865899"/>
      <w:bookmarkStart w:id="198" w:name="_Toc271807669"/>
      <w:r>
        <w:rPr>
          <w:rStyle w:val="CharPartNo"/>
        </w:rPr>
        <w:t>Part III</w:t>
      </w:r>
      <w:r>
        <w:rPr>
          <w:rStyle w:val="CharDivNo"/>
        </w:rPr>
        <w:t> </w:t>
      </w:r>
      <w:r>
        <w:t>—</w:t>
      </w:r>
      <w:r>
        <w:rPr>
          <w:rStyle w:val="CharDivText"/>
        </w:rPr>
        <w:t> </w:t>
      </w:r>
      <w:r>
        <w:rPr>
          <w:rStyle w:val="CharPartText"/>
        </w:rPr>
        <w:t>Foreign probates and administration</w:t>
      </w:r>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26349221"/>
      <w:bookmarkStart w:id="200" w:name="_Toc124061288"/>
      <w:bookmarkStart w:id="201" w:name="_Toc271807670"/>
      <w:r>
        <w:rPr>
          <w:rStyle w:val="CharSectno"/>
        </w:rPr>
        <w:t>61</w:t>
      </w:r>
      <w:r>
        <w:rPr>
          <w:snapToGrid w:val="0"/>
        </w:rPr>
        <w:t>.</w:t>
      </w:r>
      <w:r>
        <w:rPr>
          <w:snapToGrid w:val="0"/>
        </w:rPr>
        <w:tab/>
        <w:t>Foreign probates, etc. may be sealed</w:t>
      </w:r>
      <w:bookmarkEnd w:id="199"/>
      <w:bookmarkEnd w:id="200"/>
      <w:bookmarkEnd w:id="201"/>
      <w:r>
        <w:rPr>
          <w:snapToGrid w:val="0"/>
        </w:rPr>
        <w:t xml:space="preserve"> </w:t>
      </w:r>
    </w:p>
    <w:p>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authorised by power of attorney in that behalf, under the hand and seal of such executor or administrator, such probate or administration may be sealed with the seal of the Court.</w:t>
      </w:r>
    </w:p>
    <w:p>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pPr>
        <w:pStyle w:val="Footnotesection"/>
      </w:pPr>
      <w:r>
        <w:tab/>
        <w:t xml:space="preserve">[Section 61 amended by No. 138 of 1976 s. 13; No. 67 of 1979 s. 44.] </w:t>
      </w:r>
    </w:p>
    <w:p>
      <w:pPr>
        <w:pStyle w:val="Heading5"/>
        <w:rPr>
          <w:snapToGrid w:val="0"/>
        </w:rPr>
      </w:pPr>
      <w:bookmarkStart w:id="202" w:name="_Toc26349222"/>
      <w:bookmarkStart w:id="203" w:name="_Toc124061289"/>
      <w:bookmarkStart w:id="204" w:name="_Toc271807671"/>
      <w:r>
        <w:rPr>
          <w:rStyle w:val="CharSectno"/>
        </w:rPr>
        <w:t>62</w:t>
      </w:r>
      <w:r>
        <w:rPr>
          <w:snapToGrid w:val="0"/>
        </w:rPr>
        <w:t>.</w:t>
      </w:r>
      <w:r>
        <w:rPr>
          <w:snapToGrid w:val="0"/>
        </w:rPr>
        <w:tab/>
        <w:t>Power to require sureties to be provided before foreign administration sealed</w:t>
      </w:r>
      <w:bookmarkEnd w:id="202"/>
      <w:bookmarkEnd w:id="203"/>
      <w:bookmarkEnd w:id="204"/>
      <w:r>
        <w:rPr>
          <w:snapToGrid w:val="0"/>
        </w:rPr>
        <w:t xml:space="preserve"> </w:t>
      </w:r>
    </w:p>
    <w:p>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pPr>
        <w:pStyle w:val="Footnotesection"/>
      </w:pPr>
      <w:r>
        <w:tab/>
        <w:t xml:space="preserve">[Section 62 inserted by No. 138 of 1976 s. 14.] </w:t>
      </w:r>
    </w:p>
    <w:p>
      <w:pPr>
        <w:pStyle w:val="Heading2"/>
      </w:pPr>
      <w:bookmarkStart w:id="205" w:name="_Toc89160139"/>
      <w:bookmarkStart w:id="206" w:name="_Toc101855615"/>
      <w:bookmarkStart w:id="207" w:name="_Toc121561306"/>
      <w:bookmarkStart w:id="208" w:name="_Toc124061290"/>
      <w:bookmarkStart w:id="209" w:name="_Toc124140182"/>
      <w:bookmarkStart w:id="210" w:name="_Toc137973030"/>
      <w:bookmarkStart w:id="211" w:name="_Toc140397876"/>
      <w:bookmarkStart w:id="212" w:name="_Toc140980023"/>
      <w:bookmarkStart w:id="213" w:name="_Toc140980235"/>
      <w:bookmarkStart w:id="214" w:name="_Toc151784558"/>
      <w:bookmarkStart w:id="215" w:name="_Toc155594402"/>
      <w:bookmarkStart w:id="216" w:name="_Toc266865902"/>
      <w:bookmarkStart w:id="217" w:name="_Toc271807672"/>
      <w:r>
        <w:rPr>
          <w:rStyle w:val="CharPartNo"/>
        </w:rPr>
        <w:t>Part IV</w:t>
      </w:r>
      <w:r>
        <w:t> — </w:t>
      </w:r>
      <w:r>
        <w:rPr>
          <w:rStyle w:val="CharPartText"/>
        </w:rPr>
        <w:t>Caveats</w:t>
      </w:r>
      <w:r>
        <w:rPr>
          <w:vertAlign w:val="superscript"/>
        </w:rPr>
        <w:t xml:space="preserve"> </w:t>
      </w:r>
      <w:r>
        <w:rPr>
          <w:sz w:val="24"/>
          <w:vertAlign w:val="superscript"/>
        </w:rPr>
        <w:t>3</w:t>
      </w:r>
      <w:bookmarkEnd w:id="205"/>
      <w:bookmarkEnd w:id="206"/>
      <w:bookmarkEnd w:id="207"/>
      <w:bookmarkEnd w:id="208"/>
      <w:bookmarkEnd w:id="209"/>
      <w:bookmarkEnd w:id="210"/>
      <w:bookmarkEnd w:id="211"/>
      <w:bookmarkEnd w:id="212"/>
      <w:bookmarkEnd w:id="213"/>
      <w:bookmarkEnd w:id="214"/>
      <w:bookmarkEnd w:id="215"/>
      <w:bookmarkEnd w:id="216"/>
      <w:bookmarkEnd w:id="217"/>
      <w:r>
        <w:t xml:space="preserve"> </w:t>
      </w:r>
    </w:p>
    <w:p>
      <w:pPr>
        <w:pStyle w:val="Heading5"/>
        <w:rPr>
          <w:snapToGrid w:val="0"/>
        </w:rPr>
      </w:pPr>
      <w:bookmarkStart w:id="218" w:name="_Toc26349223"/>
      <w:bookmarkStart w:id="219" w:name="_Toc124061291"/>
      <w:bookmarkStart w:id="220" w:name="_Toc271807673"/>
      <w:r>
        <w:rPr>
          <w:rStyle w:val="CharSectno"/>
        </w:rPr>
        <w:t>63</w:t>
      </w:r>
      <w:r>
        <w:rPr>
          <w:snapToGrid w:val="0"/>
        </w:rPr>
        <w:t>.</w:t>
      </w:r>
      <w:r>
        <w:rPr>
          <w:snapToGrid w:val="0"/>
        </w:rPr>
        <w:tab/>
        <w:t>Caveat</w:t>
      </w:r>
      <w:bookmarkEnd w:id="218"/>
      <w:bookmarkEnd w:id="219"/>
      <w:bookmarkEnd w:id="220"/>
      <w:r>
        <w:rPr>
          <w:snapToGrid w:val="0"/>
        </w:rPr>
        <w:t xml:space="preserve"> </w:t>
      </w:r>
    </w:p>
    <w:p>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pPr>
        <w:pStyle w:val="Footnotesection"/>
      </w:pPr>
      <w:r>
        <w:tab/>
        <w:t xml:space="preserve">[Section 63 amended by No. 67 of 1979 s. 44; No. 14 of 1980 s. 6.] </w:t>
      </w:r>
    </w:p>
    <w:p>
      <w:pPr>
        <w:pStyle w:val="Heading5"/>
        <w:rPr>
          <w:snapToGrid w:val="0"/>
        </w:rPr>
      </w:pPr>
      <w:bookmarkStart w:id="221" w:name="_Toc26349224"/>
      <w:bookmarkStart w:id="222" w:name="_Toc124061292"/>
      <w:bookmarkStart w:id="223" w:name="_Toc271807674"/>
      <w:r>
        <w:rPr>
          <w:rStyle w:val="CharSectno"/>
        </w:rPr>
        <w:t>64</w:t>
      </w:r>
      <w:r>
        <w:rPr>
          <w:snapToGrid w:val="0"/>
        </w:rPr>
        <w:t>.</w:t>
      </w:r>
      <w:r>
        <w:rPr>
          <w:snapToGrid w:val="0"/>
        </w:rPr>
        <w:tab/>
        <w:t>Court may remove caveat</w:t>
      </w:r>
      <w:bookmarkEnd w:id="221"/>
      <w:bookmarkEnd w:id="222"/>
      <w:bookmarkEnd w:id="223"/>
      <w:r>
        <w:rPr>
          <w:snapToGrid w:val="0"/>
        </w:rPr>
        <w:t xml:space="preserve"> </w:t>
      </w:r>
    </w:p>
    <w:p>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pPr>
        <w:pStyle w:val="Subsection"/>
        <w:rPr>
          <w:snapToGrid w:val="0"/>
        </w:rPr>
      </w:pPr>
      <w:r>
        <w:rPr>
          <w:snapToGrid w:val="0"/>
        </w:rPr>
        <w:tab/>
        <w:t>(3)</w:t>
      </w:r>
      <w:r>
        <w:rPr>
          <w:snapToGrid w:val="0"/>
        </w:rPr>
        <w:tab/>
        <w:t>Such application may be heard and order made upon affidavit or oral evidence, or as the Court may direct.</w:t>
      </w:r>
    </w:p>
    <w:p>
      <w:pPr>
        <w:pStyle w:val="Heading2"/>
      </w:pPr>
      <w:bookmarkStart w:id="224" w:name="_Toc89160142"/>
      <w:bookmarkStart w:id="225" w:name="_Toc101855618"/>
      <w:bookmarkStart w:id="226" w:name="_Toc121561309"/>
      <w:bookmarkStart w:id="227" w:name="_Toc124061293"/>
      <w:bookmarkStart w:id="228" w:name="_Toc124140185"/>
      <w:bookmarkStart w:id="229" w:name="_Toc137973033"/>
      <w:bookmarkStart w:id="230" w:name="_Toc140397879"/>
      <w:bookmarkStart w:id="231" w:name="_Toc140980026"/>
      <w:bookmarkStart w:id="232" w:name="_Toc140980238"/>
      <w:bookmarkStart w:id="233" w:name="_Toc151784561"/>
      <w:bookmarkStart w:id="234" w:name="_Toc155594405"/>
      <w:bookmarkStart w:id="235" w:name="_Toc266865905"/>
      <w:bookmarkStart w:id="236" w:name="_Toc271807675"/>
      <w:r>
        <w:rPr>
          <w:rStyle w:val="CharPartNo"/>
        </w:rPr>
        <w:t>Part V</w:t>
      </w:r>
      <w:r>
        <w:rPr>
          <w:rStyle w:val="CharDivNo"/>
        </w:rPr>
        <w:t> </w:t>
      </w:r>
      <w:r>
        <w:t>—</w:t>
      </w:r>
      <w:r>
        <w:rPr>
          <w:rStyle w:val="CharDivText"/>
        </w:rPr>
        <w:t> </w:t>
      </w:r>
      <w:r>
        <w:rPr>
          <w:rStyle w:val="CharPartText"/>
        </w:rPr>
        <w:t xml:space="preserve">Duties on deceased persons’ estates and succession duties </w:t>
      </w:r>
      <w:r>
        <w:rPr>
          <w:sz w:val="24"/>
          <w:vertAlign w:val="superscript"/>
        </w:rPr>
        <w:t>4</w:t>
      </w:r>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Ednotesection"/>
      </w:pPr>
      <w:r>
        <w:t>[</w:t>
      </w:r>
      <w:r>
        <w:rPr>
          <w:b/>
        </w:rPr>
        <w:t>65</w:t>
      </w:r>
      <w:r>
        <w:rPr>
          <w:b/>
        </w:rPr>
        <w:noBreakHyphen/>
        <w:t>70A.</w:t>
      </w:r>
      <w:r>
        <w:rPr>
          <w:b/>
        </w:rPr>
        <w:tab/>
      </w:r>
      <w:r>
        <w:t>Deleted by No. 80 of 1973 s. 3.]</w:t>
      </w:r>
    </w:p>
    <w:p>
      <w:pPr>
        <w:pStyle w:val="Heading5"/>
        <w:rPr>
          <w:snapToGrid w:val="0"/>
        </w:rPr>
      </w:pPr>
      <w:bookmarkStart w:id="237" w:name="_Toc26349225"/>
      <w:bookmarkStart w:id="238" w:name="_Toc124061294"/>
      <w:bookmarkStart w:id="239" w:name="_Toc271807676"/>
      <w:r>
        <w:rPr>
          <w:rStyle w:val="CharSectno"/>
        </w:rPr>
        <w:t>71</w:t>
      </w:r>
      <w:r>
        <w:rPr>
          <w:snapToGrid w:val="0"/>
        </w:rPr>
        <w:t>.</w:t>
      </w:r>
      <w:r>
        <w:rPr>
          <w:snapToGrid w:val="0"/>
        </w:rPr>
        <w:tab/>
        <w:t>No will to be registered or admissible in evidence until proved</w:t>
      </w:r>
      <w:bookmarkEnd w:id="237"/>
      <w:bookmarkEnd w:id="238"/>
      <w:bookmarkEnd w:id="239"/>
      <w:r>
        <w:rPr>
          <w:snapToGrid w:val="0"/>
        </w:rPr>
        <w:t xml:space="preserve"> </w:t>
      </w:r>
    </w:p>
    <w:p>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pPr>
        <w:pStyle w:val="Footnotesection"/>
      </w:pPr>
      <w:r>
        <w:tab/>
        <w:t xml:space="preserve">[Section 71 amended by No. 57 of 1964 s. 7; No. 107 of 1970 s. 11.] </w:t>
      </w:r>
    </w:p>
    <w:p>
      <w:pPr>
        <w:pStyle w:val="Ednotesection"/>
      </w:pPr>
      <w:r>
        <w:t>[</w:t>
      </w:r>
      <w:r>
        <w:rPr>
          <w:b/>
        </w:rPr>
        <w:t>72</w:t>
      </w:r>
      <w:r>
        <w:rPr>
          <w:b/>
        </w:rPr>
        <w:noBreakHyphen/>
        <w:t>137.</w:t>
      </w:r>
      <w:r>
        <w:rPr>
          <w:b/>
        </w:rPr>
        <w:tab/>
      </w:r>
      <w:r>
        <w:t>Deleted by No. 80 of 1973 s. 3.]</w:t>
      </w:r>
    </w:p>
    <w:p>
      <w:pPr>
        <w:pStyle w:val="Heading2"/>
      </w:pPr>
      <w:bookmarkStart w:id="240" w:name="_Toc89160144"/>
      <w:bookmarkStart w:id="241" w:name="_Toc101855620"/>
      <w:bookmarkStart w:id="242" w:name="_Toc121561311"/>
      <w:bookmarkStart w:id="243" w:name="_Toc124061295"/>
      <w:bookmarkStart w:id="244" w:name="_Toc124140187"/>
      <w:bookmarkStart w:id="245" w:name="_Toc137973035"/>
      <w:bookmarkStart w:id="246" w:name="_Toc140397881"/>
      <w:bookmarkStart w:id="247" w:name="_Toc140980028"/>
      <w:bookmarkStart w:id="248" w:name="_Toc140980240"/>
      <w:bookmarkStart w:id="249" w:name="_Toc151784563"/>
      <w:bookmarkStart w:id="250" w:name="_Toc155594407"/>
      <w:bookmarkStart w:id="251" w:name="_Toc266865907"/>
      <w:bookmarkStart w:id="252" w:name="_Toc271807677"/>
      <w:r>
        <w:rPr>
          <w:rStyle w:val="CharPartNo"/>
        </w:rPr>
        <w:t>Part VI</w:t>
      </w:r>
      <w:r>
        <w:rPr>
          <w:rStyle w:val="CharDivNo"/>
        </w:rPr>
        <w:t> </w:t>
      </w:r>
      <w:r>
        <w:t>—</w:t>
      </w:r>
      <w:r>
        <w:rPr>
          <w:rStyle w:val="CharDivText"/>
        </w:rPr>
        <w:t> </w:t>
      </w:r>
      <w:r>
        <w:rPr>
          <w:rStyle w:val="CharPartText"/>
        </w:rPr>
        <w:t>Miscellaneous</w:t>
      </w:r>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Ednotesection"/>
        <w:spacing w:before="180"/>
        <w:ind w:left="890" w:hanging="890"/>
      </w:pPr>
      <w:r>
        <w:t>[</w:t>
      </w:r>
      <w:r>
        <w:rPr>
          <w:b/>
        </w:rPr>
        <w:t>138.</w:t>
      </w:r>
      <w:r>
        <w:tab/>
        <w:t xml:space="preserve">Deleted by No. 40 of 1971 s. 2.] </w:t>
      </w:r>
    </w:p>
    <w:p>
      <w:pPr>
        <w:pStyle w:val="Heading5"/>
        <w:spacing w:before="180"/>
        <w:rPr>
          <w:snapToGrid w:val="0"/>
        </w:rPr>
      </w:pPr>
      <w:bookmarkStart w:id="253" w:name="_Toc26349226"/>
      <w:bookmarkStart w:id="254" w:name="_Toc124061296"/>
      <w:bookmarkStart w:id="255" w:name="_Toc271807678"/>
      <w:r>
        <w:rPr>
          <w:rStyle w:val="CharSectno"/>
        </w:rPr>
        <w:t>139</w:t>
      </w:r>
      <w:r>
        <w:rPr>
          <w:snapToGrid w:val="0"/>
        </w:rPr>
        <w:t>.</w:t>
      </w:r>
      <w:r>
        <w:rPr>
          <w:snapToGrid w:val="0"/>
        </w:rPr>
        <w:tab/>
        <w:t>Deposits not exceeding prescribed amount in any ADI may be paid to widow or next of kin without probate or administration</w:t>
      </w:r>
      <w:bookmarkEnd w:id="253"/>
      <w:bookmarkEnd w:id="254"/>
      <w:bookmarkEnd w:id="255"/>
      <w:r>
        <w:rPr>
          <w:snapToGrid w:val="0"/>
        </w:rPr>
        <w:t xml:space="preserve"> </w:t>
      </w:r>
    </w:p>
    <w:p>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5</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pPr>
        <w:pStyle w:val="Indenta"/>
        <w:rPr>
          <w:snapToGrid w:val="0"/>
        </w:rPr>
      </w:pPr>
      <w:r>
        <w:rPr>
          <w:snapToGrid w:val="0"/>
        </w:rPr>
        <w:tab/>
        <w:t>(b)</w:t>
      </w:r>
      <w:r>
        <w:rPr>
          <w:snapToGrid w:val="0"/>
        </w:rPr>
        <w:tab/>
        <w:t>in payment to such other persons or for such other purposes as may be declared and authorised by proclamation from time to time,</w:t>
      </w:r>
    </w:p>
    <w:p>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pPr>
        <w:pStyle w:val="Subsection"/>
      </w:pPr>
      <w:r>
        <w:tab/>
        <w:t>(2)</w:t>
      </w:r>
      <w:r>
        <w:tab/>
        <w:t xml:space="preserve">In subsection (1) — </w:t>
      </w:r>
    </w:p>
    <w:p>
      <w:pPr>
        <w:pStyle w:val="Defstart"/>
      </w:pPr>
      <w:r>
        <w:tab/>
      </w:r>
      <w:r>
        <w:rPr>
          <w:rStyle w:val="CharDefText"/>
        </w:rPr>
        <w:t>ADI</w:t>
      </w:r>
      <w:r>
        <w:t xml:space="preserve"> means authorised deposit</w:t>
      </w:r>
      <w:r>
        <w:noBreakHyphen/>
        <w:t xml:space="preserve">taking institution as defined in section 5 of the </w:t>
      </w:r>
      <w:r>
        <w:rPr>
          <w:i/>
        </w:rPr>
        <w:t>Banking Act 1959</w:t>
      </w:r>
      <w:r>
        <w:t xml:space="preserve"> of the Commonwealth.</w:t>
      </w:r>
    </w:p>
    <w:p>
      <w:pPr>
        <w:pStyle w:val="Footnotesection"/>
        <w:rPr>
          <w:spacing w:val="-4"/>
        </w:rPr>
      </w:pPr>
      <w:r>
        <w:tab/>
      </w:r>
      <w:r>
        <w:rPr>
          <w:spacing w:val="-4"/>
        </w:rPr>
        <w:t xml:space="preserve">[Section 139 amended by No. 62 of 1955 s. 15; No. 57 of 1964 s. 11; No. 78 of 1965 s. 4; No. 113 of 1965 s. 8; No. 80 of 1973 s. 3; No. 26 of 1999 s. 59; No. 25 of 2002 s. 52.] </w:t>
      </w:r>
    </w:p>
    <w:p>
      <w:pPr>
        <w:pStyle w:val="Heading5"/>
        <w:rPr>
          <w:snapToGrid w:val="0"/>
        </w:rPr>
      </w:pPr>
      <w:bookmarkStart w:id="256" w:name="_Toc26349227"/>
      <w:bookmarkStart w:id="257" w:name="_Toc124061297"/>
      <w:bookmarkStart w:id="258" w:name="_Toc271807679"/>
      <w:r>
        <w:rPr>
          <w:rStyle w:val="CharSectno"/>
        </w:rPr>
        <w:t>140</w:t>
      </w:r>
      <w:r>
        <w:rPr>
          <w:snapToGrid w:val="0"/>
        </w:rPr>
        <w:t>.</w:t>
      </w:r>
      <w:r>
        <w:rPr>
          <w:snapToGrid w:val="0"/>
        </w:rPr>
        <w:tab/>
        <w:t>Records of grants, etc.</w:t>
      </w:r>
      <w:bookmarkEnd w:id="256"/>
      <w:bookmarkEnd w:id="257"/>
      <w:bookmarkEnd w:id="258"/>
      <w:r>
        <w:rPr>
          <w:snapToGrid w:val="0"/>
        </w:rPr>
        <w:t xml:space="preserve"> </w:t>
      </w:r>
    </w:p>
    <w:p>
      <w:pPr>
        <w:pStyle w:val="Subsection"/>
        <w:spacing w:before="120"/>
        <w:rPr>
          <w:snapToGrid w:val="0"/>
        </w:rPr>
      </w:pPr>
      <w:r>
        <w:rPr>
          <w:snapToGrid w:val="0"/>
        </w:rPr>
        <w:tab/>
        <w:t>(1)</w:t>
      </w:r>
      <w:r>
        <w:rPr>
          <w:snapToGrid w:val="0"/>
        </w:rPr>
        <w:tab/>
        <w:t>The Principal Registrar shall cause entries to be made in a book to be kept for that purpose of — </w:t>
      </w:r>
    </w:p>
    <w:p>
      <w:pPr>
        <w:pStyle w:val="Indenta"/>
        <w:spacing w:before="60"/>
        <w:rPr>
          <w:snapToGrid w:val="0"/>
        </w:rPr>
      </w:pPr>
      <w:r>
        <w:rPr>
          <w:snapToGrid w:val="0"/>
        </w:rPr>
        <w:tab/>
        <w:t>(a)</w:t>
      </w:r>
      <w:r>
        <w:rPr>
          <w:snapToGrid w:val="0"/>
        </w:rPr>
        <w:tab/>
        <w:t>all grants of probate and administration, and all orders to collect;</w:t>
      </w:r>
    </w:p>
    <w:p>
      <w:pPr>
        <w:pStyle w:val="Indenta"/>
        <w:spacing w:before="60"/>
        <w:rPr>
          <w:snapToGrid w:val="0"/>
        </w:rPr>
      </w:pPr>
      <w:r>
        <w:rPr>
          <w:snapToGrid w:val="0"/>
        </w:rPr>
        <w:tab/>
        <w:t>(b)</w:t>
      </w:r>
      <w:r>
        <w:rPr>
          <w:snapToGrid w:val="0"/>
        </w:rPr>
        <w:tab/>
        <w:t>the filing, passing, and allowance of the accounts of all executors and administrators; and of</w:t>
      </w:r>
    </w:p>
    <w:p>
      <w:pPr>
        <w:pStyle w:val="Indenta"/>
        <w:spacing w:before="60"/>
        <w:rPr>
          <w:snapToGrid w:val="0"/>
        </w:rPr>
      </w:pPr>
      <w:r>
        <w:rPr>
          <w:snapToGrid w:val="0"/>
        </w:rPr>
        <w:tab/>
        <w:t>(c)</w:t>
      </w:r>
      <w:r>
        <w:rPr>
          <w:snapToGrid w:val="0"/>
        </w:rPr>
        <w:tab/>
        <w:t>any special order extending the time for passing such accounts.</w:t>
      </w:r>
    </w:p>
    <w:p>
      <w:pPr>
        <w:pStyle w:val="Subsection"/>
        <w:spacing w:before="120"/>
        <w:rPr>
          <w:snapToGrid w:val="0"/>
        </w:rPr>
      </w:pPr>
      <w:r>
        <w:rPr>
          <w:snapToGrid w:val="0"/>
        </w:rPr>
        <w:tab/>
        <w:t>(2)</w:t>
      </w:r>
      <w:r>
        <w:rPr>
          <w:snapToGrid w:val="0"/>
        </w:rPr>
        <w:tab/>
        <w:t>Such book shall set forth — </w:t>
      </w:r>
    </w:p>
    <w:p>
      <w:pPr>
        <w:pStyle w:val="Indenta"/>
        <w:spacing w:before="60"/>
        <w:rPr>
          <w:snapToGrid w:val="0"/>
        </w:rPr>
      </w:pPr>
      <w:r>
        <w:rPr>
          <w:snapToGrid w:val="0"/>
        </w:rPr>
        <w:tab/>
        <w:t>(a)</w:t>
      </w:r>
      <w:r>
        <w:rPr>
          <w:snapToGrid w:val="0"/>
        </w:rPr>
        <w:tab/>
        <w:t>the dates of such grants;</w:t>
      </w:r>
    </w:p>
    <w:p>
      <w:pPr>
        <w:pStyle w:val="Indenta"/>
        <w:spacing w:before="60"/>
        <w:rPr>
          <w:snapToGrid w:val="0"/>
        </w:rPr>
      </w:pPr>
      <w:r>
        <w:rPr>
          <w:snapToGrid w:val="0"/>
        </w:rPr>
        <w:tab/>
        <w:t>(b)</w:t>
      </w:r>
      <w:r>
        <w:rPr>
          <w:snapToGrid w:val="0"/>
        </w:rPr>
        <w:tab/>
        <w:t>the names of the testators or intestates;</w:t>
      </w:r>
    </w:p>
    <w:p>
      <w:pPr>
        <w:pStyle w:val="Indenta"/>
        <w:spacing w:before="60"/>
        <w:rPr>
          <w:snapToGrid w:val="0"/>
        </w:rPr>
      </w:pPr>
      <w:r>
        <w:rPr>
          <w:snapToGrid w:val="0"/>
        </w:rPr>
        <w:tab/>
        <w:t>(c)</w:t>
      </w:r>
      <w:r>
        <w:rPr>
          <w:snapToGrid w:val="0"/>
        </w:rPr>
        <w:tab/>
        <w:t>the place and time of death;</w:t>
      </w:r>
    </w:p>
    <w:p>
      <w:pPr>
        <w:pStyle w:val="Indenta"/>
        <w:spacing w:before="60"/>
        <w:rPr>
          <w:snapToGrid w:val="0"/>
        </w:rPr>
      </w:pPr>
      <w:r>
        <w:rPr>
          <w:snapToGrid w:val="0"/>
        </w:rPr>
        <w:tab/>
        <w:t>(d)</w:t>
      </w:r>
      <w:r>
        <w:rPr>
          <w:snapToGrid w:val="0"/>
        </w:rPr>
        <w:tab/>
        <w:t xml:space="preserve">the names and description of the executors or administrators; </w:t>
      </w:r>
    </w:p>
    <w:p>
      <w:pPr>
        <w:pStyle w:val="Ednotepara"/>
        <w:spacing w:before="60"/>
        <w:ind w:left="1610" w:hanging="161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the dates of the filing, passing, allowance of, and special orders with reference to the said accounts.</w:t>
      </w:r>
    </w:p>
    <w:p>
      <w:pPr>
        <w:pStyle w:val="Subsection"/>
        <w:spacing w:before="120"/>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pPr>
        <w:pStyle w:val="Footnotesection"/>
      </w:pPr>
      <w:r>
        <w:tab/>
        <w:t xml:space="preserve">[Section 140 amended by No. 57 of 1964 s. 12; No. 107 of 1970 s. 16; No. 67 of 1979 s. 44.] </w:t>
      </w:r>
    </w:p>
    <w:p>
      <w:pPr>
        <w:pStyle w:val="Heading5"/>
        <w:spacing w:before="180"/>
        <w:rPr>
          <w:snapToGrid w:val="0"/>
        </w:rPr>
      </w:pPr>
      <w:bookmarkStart w:id="259" w:name="_Toc26349228"/>
      <w:bookmarkStart w:id="260" w:name="_Toc124061298"/>
      <w:bookmarkStart w:id="261" w:name="_Toc271807680"/>
      <w:r>
        <w:rPr>
          <w:rStyle w:val="CharSectno"/>
        </w:rPr>
        <w:t>141</w:t>
      </w:r>
      <w:r>
        <w:rPr>
          <w:snapToGrid w:val="0"/>
        </w:rPr>
        <w:t>.</w:t>
      </w:r>
      <w:r>
        <w:rPr>
          <w:snapToGrid w:val="0"/>
        </w:rPr>
        <w:tab/>
        <w:t>Court may appoint an attorney for an absent executor</w:t>
      </w:r>
      <w:bookmarkEnd w:id="259"/>
      <w:bookmarkEnd w:id="260"/>
      <w:bookmarkEnd w:id="261"/>
      <w:r>
        <w:rPr>
          <w:snapToGrid w:val="0"/>
        </w:rPr>
        <w:t xml:space="preserve"> </w:t>
      </w:r>
    </w:p>
    <w:p>
      <w:pPr>
        <w:pStyle w:val="Ednotesubsection"/>
        <w:spacing w:before="180"/>
      </w:pPr>
      <w:r>
        <w:tab/>
        <w:t>[(1)</w:t>
      </w:r>
      <w:r>
        <w:tab/>
        <w:t>deleted]</w:t>
      </w:r>
    </w:p>
    <w:p>
      <w:pPr>
        <w:pStyle w:val="Subsection"/>
        <w:spacing w:before="120"/>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pPr>
        <w:pStyle w:val="Footnotesection"/>
      </w:pPr>
      <w:r>
        <w:tab/>
        <w:t xml:space="preserve">[Section 141 amended by No. 21 of 1942 s. 4; No. 80 of 1962 s. 8; No. 57 of 1984 s. 6.] </w:t>
      </w:r>
    </w:p>
    <w:p>
      <w:pPr>
        <w:pStyle w:val="Heading5"/>
        <w:rPr>
          <w:snapToGrid w:val="0"/>
        </w:rPr>
      </w:pPr>
      <w:bookmarkStart w:id="262" w:name="_Toc26349229"/>
      <w:bookmarkStart w:id="263" w:name="_Toc124061299"/>
      <w:bookmarkStart w:id="264" w:name="_Toc271807681"/>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262"/>
      <w:bookmarkEnd w:id="263"/>
      <w:bookmarkEnd w:id="264"/>
      <w:r>
        <w:rPr>
          <w:snapToGrid w:val="0"/>
        </w:rPr>
        <w:t xml:space="preserve"> </w:t>
      </w:r>
    </w:p>
    <w:p>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pPr>
        <w:pStyle w:val="Subsection"/>
        <w:rPr>
          <w:snapToGrid w:val="0"/>
        </w:rPr>
      </w:pPr>
      <w:r>
        <w:rPr>
          <w:snapToGrid w:val="0"/>
        </w:rPr>
        <w:tab/>
        <w:t>(2)</w:t>
      </w:r>
      <w:r>
        <w:rPr>
          <w:snapToGrid w:val="0"/>
        </w:rPr>
        <w:tab/>
        <w:t xml:space="preserve">Where any part of the estate of a deceased person, whose estate is being administered by the Public Trustee of Western Australia, is situated outside the limits of </w:t>
      </w:r>
      <w:smartTag w:uri="urn:schemas-microsoft-com:office:smarttags" w:element="State">
        <w:r>
          <w:rPr>
            <w:snapToGrid w:val="0"/>
          </w:rPr>
          <w:t>Western Australia</w:t>
        </w:r>
      </w:smartTag>
      <w:r>
        <w:rPr>
          <w:snapToGrid w:val="0"/>
        </w:rPr>
        <w:t xml:space="preserve">, such Public Trustee may receive any part of such estate so situated, and, when received, the same shall be dealt with according to the law of </w:t>
      </w:r>
      <w:smartTag w:uri="urn:schemas-microsoft-com:office:smarttags" w:element="State">
        <w:smartTag w:uri="urn:schemas-microsoft-com:office:smarttags" w:element="place">
          <w:r>
            <w:rPr>
              <w:snapToGrid w:val="0"/>
            </w:rPr>
            <w:t>Western Australia</w:t>
          </w:r>
        </w:smartTag>
      </w:smartTag>
      <w:r>
        <w:rPr>
          <w:snapToGrid w:val="0"/>
          <w:vertAlign w:val="superscript"/>
        </w:rPr>
        <w:t xml:space="preserve"> 6</w:t>
      </w:r>
      <w:r>
        <w:rPr>
          <w:snapToGrid w:val="0"/>
        </w:rPr>
        <w:t>.</w:t>
      </w:r>
    </w:p>
    <w:p>
      <w:pPr>
        <w:pStyle w:val="Footnotesection"/>
      </w:pPr>
      <w:r>
        <w:tab/>
        <w:t xml:space="preserve">[Section 142 amended by No. 62 of 1955 s. 16.] </w:t>
      </w:r>
    </w:p>
    <w:p>
      <w:pPr>
        <w:pStyle w:val="Ednotesection"/>
      </w:pPr>
      <w:r>
        <w:t>[</w:t>
      </w:r>
      <w:r>
        <w:rPr>
          <w:b/>
        </w:rPr>
        <w:t>143.</w:t>
      </w:r>
      <w:r>
        <w:tab/>
        <w:t xml:space="preserve">Deleted by No. 80 of 1962 s. 8.] </w:t>
      </w:r>
    </w:p>
    <w:p>
      <w:pPr>
        <w:pStyle w:val="Heading5"/>
        <w:rPr>
          <w:snapToGrid w:val="0"/>
        </w:rPr>
      </w:pPr>
      <w:bookmarkStart w:id="265" w:name="_Toc26349230"/>
      <w:bookmarkStart w:id="266" w:name="_Toc124061300"/>
      <w:bookmarkStart w:id="267" w:name="_Toc271807682"/>
      <w:r>
        <w:rPr>
          <w:rStyle w:val="CharSectno"/>
        </w:rPr>
        <w:t>143A</w:t>
      </w:r>
      <w:r>
        <w:rPr>
          <w:snapToGrid w:val="0"/>
        </w:rPr>
        <w:t xml:space="preserve">. </w:t>
      </w:r>
      <w:r>
        <w:rPr>
          <w:snapToGrid w:val="0"/>
        </w:rPr>
        <w:tab/>
        <w:t>Rate of interest payable on legacies</w:t>
      </w:r>
      <w:bookmarkEnd w:id="265"/>
      <w:bookmarkEnd w:id="266"/>
      <w:bookmarkEnd w:id="267"/>
      <w:r>
        <w:rPr>
          <w:snapToGrid w:val="0"/>
        </w:rPr>
        <w:t xml:space="preserve"> </w:t>
      </w:r>
    </w:p>
    <w:p>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pPr>
        <w:pStyle w:val="Footnotesection"/>
      </w:pPr>
      <w:r>
        <w:tab/>
        <w:t xml:space="preserve">[Section 143A inserted by No. 39 of 1945 s. 2; amended by No 113 of 1965 s. 8.] </w:t>
      </w:r>
    </w:p>
    <w:p>
      <w:pPr>
        <w:pStyle w:val="Heading5"/>
        <w:rPr>
          <w:snapToGrid w:val="0"/>
        </w:rPr>
      </w:pPr>
      <w:bookmarkStart w:id="268" w:name="_Toc26349231"/>
      <w:bookmarkStart w:id="269" w:name="_Toc124061301"/>
      <w:bookmarkStart w:id="270" w:name="_Toc271807683"/>
      <w:r>
        <w:rPr>
          <w:rStyle w:val="CharSectno"/>
        </w:rPr>
        <w:t>143B</w:t>
      </w:r>
      <w:r>
        <w:rPr>
          <w:snapToGrid w:val="0"/>
        </w:rPr>
        <w:t xml:space="preserve">. </w:t>
      </w:r>
      <w:r>
        <w:rPr>
          <w:snapToGrid w:val="0"/>
        </w:rPr>
        <w:tab/>
        <w:t>Saving provision as to bonds</w:t>
      </w:r>
      <w:bookmarkEnd w:id="268"/>
      <w:bookmarkEnd w:id="269"/>
      <w:bookmarkEnd w:id="270"/>
      <w:r>
        <w:rPr>
          <w:snapToGrid w:val="0"/>
        </w:rPr>
        <w:t xml:space="preserve"> </w:t>
      </w:r>
    </w:p>
    <w:p>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r>
        <w:rPr>
          <w:snapToGrid w:val="0"/>
          <w:vertAlign w:val="superscript"/>
        </w:rPr>
        <w:t>1</w:t>
      </w:r>
      <w:r>
        <w:rPr>
          <w:snapToGrid w:val="0"/>
        </w:rPr>
        <w:t xml:space="preserve"> may be enforced and assigned as if that Act had not been passed.</w:t>
      </w:r>
    </w:p>
    <w:p>
      <w:pPr>
        <w:pStyle w:val="Footnotesection"/>
      </w:pPr>
      <w:r>
        <w:tab/>
        <w:t xml:space="preserve">[Section 143B inserted by No. 138 of 1976 s. 15.] </w:t>
      </w:r>
    </w:p>
    <w:p>
      <w:pPr>
        <w:pStyle w:val="Heading5"/>
        <w:rPr>
          <w:snapToGrid w:val="0"/>
        </w:rPr>
      </w:pPr>
      <w:bookmarkStart w:id="271" w:name="_Toc26349232"/>
      <w:bookmarkStart w:id="272" w:name="_Toc124061302"/>
      <w:bookmarkStart w:id="273" w:name="_Toc271807684"/>
      <w:r>
        <w:rPr>
          <w:rStyle w:val="CharSectno"/>
        </w:rPr>
        <w:t>144</w:t>
      </w:r>
      <w:r>
        <w:rPr>
          <w:snapToGrid w:val="0"/>
        </w:rPr>
        <w:t>.</w:t>
      </w:r>
      <w:r>
        <w:rPr>
          <w:snapToGrid w:val="0"/>
        </w:rPr>
        <w:tab/>
        <w:t>Rules of Court</w:t>
      </w:r>
      <w:bookmarkEnd w:id="271"/>
      <w:bookmarkEnd w:id="272"/>
      <w:bookmarkEnd w:id="273"/>
      <w:r>
        <w:rPr>
          <w:snapToGrid w:val="0"/>
        </w:rPr>
        <w:t xml:space="preserve"> </w:t>
      </w:r>
    </w:p>
    <w:p>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pPr>
        <w:pStyle w:val="Subsection"/>
        <w:rPr>
          <w:snapToGrid w:val="0"/>
        </w:rPr>
      </w:pPr>
      <w:r>
        <w:rPr>
          <w:snapToGrid w:val="0"/>
        </w:rPr>
        <w:tab/>
        <w:t>(2)</w:t>
      </w:r>
      <w:r>
        <w:rPr>
          <w:snapToGrid w:val="0"/>
        </w:rPr>
        <w:tab/>
        <w:t>Except where otherwise provided, the practice and rules and scales of fees heretofore in force shall apply.</w:t>
      </w:r>
    </w:p>
    <w:p>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pPr>
        <w:pStyle w:val="Footnotesection"/>
      </w:pPr>
      <w:r>
        <w:tab/>
        <w:t xml:space="preserve">[Section 144 amended by No. 30 of 1954 s. 5; No. 57 of 1964 s. 13; No. 67 1979 s. 45.] </w:t>
      </w:r>
    </w:p>
    <w:p>
      <w:pPr>
        <w:pStyle w:val="Ednotesection"/>
      </w:pPr>
      <w:r>
        <w:t>[</w:t>
      </w:r>
      <w:r>
        <w:rPr>
          <w:b/>
        </w:rPr>
        <w:t>145</w:t>
      </w:r>
      <w:r>
        <w:rPr>
          <w:b/>
        </w:rPr>
        <w:noBreakHyphen/>
        <w:t>148.</w:t>
      </w:r>
      <w:r>
        <w:tab/>
        <w:t xml:space="preserve">Deleted by No. 80 of 1973 s. 3.] </w:t>
      </w:r>
    </w:p>
    <w:p>
      <w:pPr>
        <w:pStyle w:val="yEdnoteschedule"/>
      </w:pPr>
      <w:r>
        <w:t>[First Schedule omitted under the Reprints Act 1984 s. 7(4)(f).]</w:t>
      </w:r>
    </w:p>
    <w:p>
      <w:pPr>
        <w:pStyle w:val="yEdnoteschedule"/>
      </w:pPr>
      <w:r>
        <w:t>[Second Schedule deleted by No. 80 of 1973 s. 3.]</w:t>
      </w:r>
    </w:p>
    <w:p>
      <w:pPr>
        <w:pStyle w:val="yEdnoteschedule"/>
      </w:pPr>
      <w:r>
        <w:t>[Third Schedule deleted by No. 19 of 2010 s. 6(2).]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74" w:name="_Toc121561320"/>
      <w:bookmarkStart w:id="275" w:name="_Toc124061304"/>
      <w:bookmarkStart w:id="276" w:name="_Toc124140196"/>
      <w:bookmarkStart w:id="277" w:name="_Toc137973044"/>
      <w:bookmarkStart w:id="278" w:name="_Toc140397890"/>
      <w:bookmarkStart w:id="279" w:name="_Toc140980037"/>
      <w:bookmarkStart w:id="280" w:name="_Toc140980250"/>
      <w:bookmarkStart w:id="281" w:name="_Toc151784573"/>
      <w:bookmarkStart w:id="282" w:name="_Toc155594417"/>
      <w:bookmarkStart w:id="283" w:name="_Toc266865917"/>
      <w:bookmarkStart w:id="284" w:name="_Toc271807685"/>
      <w:r>
        <w:rPr>
          <w:rStyle w:val="CharSchNo"/>
        </w:rPr>
        <w:t>Fourth Schedule</w:t>
      </w:r>
      <w:bookmarkEnd w:id="274"/>
      <w:bookmarkEnd w:id="275"/>
      <w:bookmarkEnd w:id="276"/>
      <w:bookmarkEnd w:id="277"/>
      <w:bookmarkEnd w:id="278"/>
      <w:bookmarkEnd w:id="279"/>
      <w:bookmarkEnd w:id="280"/>
      <w:bookmarkEnd w:id="281"/>
      <w:bookmarkEnd w:id="282"/>
      <w:r>
        <w:rPr>
          <w:rStyle w:val="CharSDivNo"/>
        </w:rPr>
        <w:t> </w:t>
      </w:r>
      <w:r>
        <w:t>—</w:t>
      </w:r>
      <w:r>
        <w:rPr>
          <w:rStyle w:val="CharSDivText"/>
        </w:rPr>
        <w:t> </w:t>
      </w:r>
      <w:r>
        <w:rPr>
          <w:rStyle w:val="CharSchText"/>
        </w:rPr>
        <w:t>Rights in respect of dwelling houses</w:t>
      </w:r>
      <w:bookmarkEnd w:id="283"/>
      <w:bookmarkEnd w:id="284"/>
    </w:p>
    <w:p>
      <w:pPr>
        <w:pStyle w:val="yShoulderClause"/>
      </w:pPr>
      <w:bookmarkStart w:id="285" w:name="_Toc140980251"/>
      <w:bookmarkStart w:id="286" w:name="_Toc151784574"/>
      <w:bookmarkStart w:id="287" w:name="_Toc155594418"/>
      <w:r>
        <w:t>[s. 14]</w:t>
      </w:r>
    </w:p>
    <w:bookmarkEnd w:id="285"/>
    <w:bookmarkEnd w:id="286"/>
    <w:bookmarkEnd w:id="287"/>
    <w:p>
      <w:pPr>
        <w:pStyle w:val="yFootnoteheading"/>
      </w:pPr>
      <w:r>
        <w:tab/>
        <w:t>[Heading inserted by No. 138 of 1976 s. 16; amended by No. 25 of 2002 s. 52; No. 19 of 2010 s. 6(3).]</w:t>
      </w:r>
    </w:p>
    <w:p>
      <w:pPr>
        <w:pStyle w:val="yHeading5"/>
        <w:rPr>
          <w:snapToGrid w:val="0"/>
        </w:rPr>
      </w:pPr>
      <w:bookmarkStart w:id="288" w:name="_Toc271807686"/>
      <w:bookmarkStart w:id="289" w:name="_Toc140397891"/>
      <w:r>
        <w:rPr>
          <w:rStyle w:val="CharSClsNo"/>
        </w:rPr>
        <w:t>1</w:t>
      </w:r>
      <w:r>
        <w:rPr>
          <w:snapToGrid w:val="0"/>
        </w:rPr>
        <w:t>.</w:t>
      </w:r>
      <w:r>
        <w:rPr>
          <w:snapToGrid w:val="0"/>
        </w:rPr>
        <w:tab/>
        <w:t>Rights of surviving spouse if dwelling house is residence</w:t>
      </w:r>
      <w:bookmarkEnd w:id="288"/>
    </w:p>
    <w:bookmarkEnd w:id="289"/>
    <w:p>
      <w:pPr>
        <w:pStyle w:val="ySubsection"/>
        <w:spacing w:before="140"/>
        <w:rPr>
          <w:snapToGrid w:val="0"/>
        </w:rPr>
      </w:pPr>
      <w:r>
        <w:rPr>
          <w:snapToGrid w:val="0"/>
        </w:rPr>
        <w:tab/>
        <w:t>(1)</w:t>
      </w:r>
      <w:r>
        <w:rPr>
          <w:snapToGrid w:val="0"/>
        </w:rPr>
        <w:tab/>
        <w:t>Subject to the provisions of this Schedule where — </w:t>
      </w:r>
    </w:p>
    <w:p>
      <w:pPr>
        <w:pStyle w:val="yEdnotepara"/>
        <w:rPr>
          <w:snapToGrid w:val="0"/>
        </w:rPr>
      </w:pPr>
      <w:r>
        <w:rPr>
          <w:snapToGrid w:val="0"/>
        </w:rPr>
        <w:tab/>
        <w:t>[(a)</w:t>
      </w:r>
      <w:r>
        <w:rPr>
          <w:snapToGrid w:val="0"/>
        </w:rPr>
        <w:tab/>
        <w:t>deleted]</w:t>
      </w:r>
    </w:p>
    <w:p>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w:t>
      </w:r>
      <w:r>
        <w:rPr>
          <w:rStyle w:val="CharDefText"/>
        </w:rPr>
        <w:t>the interest</w:t>
      </w:r>
      <w:r>
        <w:rPr>
          <w:snapToGrid w:val="0"/>
        </w:rPr>
        <w:t>); and</w:t>
      </w:r>
    </w:p>
    <w:p>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pPr>
        <w:pStyle w:val="ySubsection"/>
        <w:spacing w:before="120"/>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pPr>
        <w:pStyle w:val="ySubsection"/>
        <w:spacing w:before="120"/>
        <w:rPr>
          <w:snapToGrid w:val="0"/>
        </w:rPr>
      </w:pPr>
      <w:r>
        <w:rPr>
          <w:snapToGrid w:val="0"/>
        </w:rPr>
        <w:tab/>
        <w:t>(2)</w:t>
      </w:r>
      <w:r>
        <w:rPr>
          <w:snapToGrid w:val="0"/>
        </w:rPr>
        <w:tab/>
        <w:t>The right conferred by this paragraph shall not be exercisable where the interest is — </w:t>
      </w:r>
    </w:p>
    <w:p>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pPr>
        <w:pStyle w:val="ySubsection"/>
        <w:spacing w:before="120"/>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pPr>
        <w:pStyle w:val="ySubsection"/>
        <w:spacing w:before="120"/>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pPr>
        <w:pStyle w:val="yFootnotesection"/>
      </w:pPr>
      <w:r>
        <w:tab/>
        <w:t>[Clause 1 amended by No. 19 of 2010 s. 51.]</w:t>
      </w:r>
    </w:p>
    <w:p>
      <w:pPr>
        <w:pStyle w:val="yHeading5"/>
        <w:rPr>
          <w:snapToGrid w:val="0"/>
        </w:rPr>
      </w:pPr>
      <w:bookmarkStart w:id="290" w:name="_Toc271807687"/>
      <w:bookmarkStart w:id="291" w:name="_Toc140397892"/>
      <w:r>
        <w:rPr>
          <w:rStyle w:val="CharSClsNo"/>
        </w:rPr>
        <w:t>2</w:t>
      </w:r>
      <w:r>
        <w:rPr>
          <w:snapToGrid w:val="0"/>
        </w:rPr>
        <w:t>.</w:t>
      </w:r>
      <w:r>
        <w:rPr>
          <w:snapToGrid w:val="0"/>
        </w:rPr>
        <w:tab/>
        <w:t>Court order required in certain cases</w:t>
      </w:r>
      <w:bookmarkEnd w:id="290"/>
    </w:p>
    <w:bookmarkEnd w:id="291"/>
    <w:p>
      <w:pPr>
        <w:pStyle w:val="ySubsection"/>
        <w:spacing w:before="140"/>
      </w:pPr>
      <w:r>
        <w:rPr>
          <w:snapToGrid w:val="0"/>
        </w:rPr>
        <w:tab/>
      </w:r>
      <w:r>
        <w:tab/>
        <w:t>Where — </w:t>
      </w:r>
    </w:p>
    <w:p>
      <w:pPr>
        <w:pStyle w:val="yIndenta"/>
        <w:rPr>
          <w:snapToGrid w:val="0"/>
        </w:rPr>
      </w:pPr>
      <w:r>
        <w:rPr>
          <w:snapToGrid w:val="0"/>
        </w:rPr>
        <w:tab/>
        <w:t>(a)</w:t>
      </w:r>
      <w:r>
        <w:rPr>
          <w:snapToGrid w:val="0"/>
        </w:rPr>
        <w:tab/>
        <w:t>the dwelling house forms part of a building and an interest in the whole of the building is comprised in the intestate property;</w:t>
      </w:r>
    </w:p>
    <w:p>
      <w:pPr>
        <w:pStyle w:val="yIndenta"/>
        <w:rPr>
          <w:snapToGrid w:val="0"/>
        </w:rPr>
      </w:pPr>
      <w:r>
        <w:rPr>
          <w:snapToGrid w:val="0"/>
        </w:rPr>
        <w:tab/>
        <w:t>(b)</w:t>
      </w:r>
      <w:r>
        <w:rPr>
          <w:snapToGrid w:val="0"/>
        </w:rPr>
        <w:tab/>
        <w:t>the dwelling house is held with land used for agricultural purposes and an interest in that land is comprised in the intestate property;</w:t>
      </w:r>
    </w:p>
    <w:p>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pPr>
        <w:pStyle w:val="yIndenta"/>
        <w:rPr>
          <w:snapToGrid w:val="0"/>
        </w:rPr>
      </w:pPr>
      <w:r>
        <w:rPr>
          <w:snapToGrid w:val="0"/>
        </w:rPr>
        <w:tab/>
        <w:t>(d)</w:t>
      </w:r>
      <w:r>
        <w:rPr>
          <w:snapToGrid w:val="0"/>
        </w:rPr>
        <w:tab/>
        <w:t>a part of the dwelling house was, at the date of the death of the intestate, used for purposes other than domestic purposes,</w:t>
      </w:r>
    </w:p>
    <w:p>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pPr>
        <w:pStyle w:val="yFootnotesection"/>
      </w:pPr>
      <w:r>
        <w:tab/>
        <w:t>[Clause 2 amended by No. 19 of 2010 s. 51.]</w:t>
      </w:r>
    </w:p>
    <w:p>
      <w:pPr>
        <w:pStyle w:val="yHeading5"/>
        <w:rPr>
          <w:snapToGrid w:val="0"/>
        </w:rPr>
      </w:pPr>
      <w:bookmarkStart w:id="292" w:name="_Toc271807688"/>
      <w:bookmarkStart w:id="293" w:name="_Toc140397893"/>
      <w:r>
        <w:rPr>
          <w:rStyle w:val="CharSClsNo"/>
        </w:rPr>
        <w:t>3</w:t>
      </w:r>
      <w:r>
        <w:rPr>
          <w:snapToGrid w:val="0"/>
        </w:rPr>
        <w:t>.</w:t>
      </w:r>
      <w:r>
        <w:rPr>
          <w:snapToGrid w:val="0"/>
        </w:rPr>
        <w:tab/>
        <w:t>Time limit for exercising right under par. 1</w:t>
      </w:r>
      <w:bookmarkEnd w:id="292"/>
    </w:p>
    <w:bookmarkEnd w:id="293"/>
    <w:p>
      <w:pPr>
        <w:pStyle w:val="ySubsection"/>
        <w:spacing w:before="140"/>
        <w:rPr>
          <w:snapToGrid w:val="0"/>
        </w:rPr>
      </w:pPr>
      <w:r>
        <w:rPr>
          <w:snapToGrid w:val="0"/>
        </w:rPr>
        <w:tab/>
        <w:t>(1)</w:t>
      </w:r>
      <w:r>
        <w:rPr>
          <w:snapToGrid w:val="0"/>
        </w:rPr>
        <w:tab/>
        <w:t>The right conferred by paragraph 1 shall not be exercisable — </w:t>
      </w:r>
    </w:p>
    <w:p>
      <w:pPr>
        <w:pStyle w:val="yIndenta"/>
        <w:rPr>
          <w:snapToGrid w:val="0"/>
        </w:rPr>
      </w:pPr>
      <w:r>
        <w:rPr>
          <w:snapToGrid w:val="0"/>
        </w:rPr>
        <w:tab/>
        <w:t>(a)</w:t>
      </w:r>
      <w:r>
        <w:rPr>
          <w:snapToGrid w:val="0"/>
        </w:rPr>
        <w:tab/>
        <w:t>after the expiration of 12 months from the first grant of administration of the estate of the intestate; or</w:t>
      </w:r>
    </w:p>
    <w:p>
      <w:pPr>
        <w:pStyle w:val="yIndenta"/>
        <w:rPr>
          <w:snapToGrid w:val="0"/>
        </w:rPr>
      </w:pPr>
      <w:r>
        <w:rPr>
          <w:snapToGrid w:val="0"/>
        </w:rPr>
        <w:tab/>
        <w:t>(b)</w:t>
      </w:r>
      <w:r>
        <w:rPr>
          <w:snapToGrid w:val="0"/>
        </w:rPr>
        <w:tab/>
        <w:t>after the death of the surviving husband or wife.</w:t>
      </w:r>
    </w:p>
    <w:p>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pPr>
        <w:pStyle w:val="yFootnotesection"/>
      </w:pPr>
      <w:r>
        <w:tab/>
        <w:t>[Clause 3 amended by No. 19 of 2010 s. 51.]</w:t>
      </w:r>
    </w:p>
    <w:p>
      <w:pPr>
        <w:pStyle w:val="yHeading5"/>
        <w:rPr>
          <w:snapToGrid w:val="0"/>
        </w:rPr>
      </w:pPr>
      <w:bookmarkStart w:id="294" w:name="_Toc271807689"/>
      <w:bookmarkStart w:id="295" w:name="_Toc140397894"/>
      <w:r>
        <w:rPr>
          <w:rStyle w:val="CharSClsNo"/>
        </w:rPr>
        <w:t>4</w:t>
      </w:r>
      <w:r>
        <w:rPr>
          <w:snapToGrid w:val="0"/>
        </w:rPr>
        <w:t>.</w:t>
      </w:r>
      <w:r>
        <w:rPr>
          <w:snapToGrid w:val="0"/>
        </w:rPr>
        <w:tab/>
        <w:t>Mode of exercising right under par. 1</w:t>
      </w:r>
      <w:bookmarkEnd w:id="294"/>
    </w:p>
    <w:bookmarkEnd w:id="295"/>
    <w:p>
      <w:pPr>
        <w:pStyle w:val="ySubsection"/>
        <w:spacing w:before="140"/>
        <w:rPr>
          <w:snapToGrid w:val="0"/>
        </w:rPr>
      </w:pPr>
      <w:r>
        <w:rPr>
          <w:snapToGrid w:val="0"/>
        </w:rPr>
        <w:tab/>
        <w:t>(1)</w:t>
      </w:r>
      <w:r>
        <w:rPr>
          <w:snapToGrid w:val="0"/>
        </w:rPr>
        <w:tab/>
        <w:t>The right conferred by paragraph 1 shall be exercisable by furnishing a notification in writing — </w:t>
      </w:r>
    </w:p>
    <w:p>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w:t>
      </w:r>
    </w:p>
    <w:p>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pPr>
        <w:pStyle w:val="yIndenta"/>
        <w:rPr>
          <w:snapToGrid w:val="0"/>
        </w:rPr>
      </w:pPr>
      <w:r>
        <w:rPr>
          <w:snapToGrid w:val="0"/>
        </w:rPr>
        <w:tab/>
        <w:t>(c)</w:t>
      </w:r>
      <w:r>
        <w:rPr>
          <w:snapToGrid w:val="0"/>
        </w:rPr>
        <w:tab/>
        <w:t>if the surviving husband or wife is the sole personal representative of the intestate — to the Principal Registrar.</w:t>
      </w:r>
    </w:p>
    <w:p>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pPr>
        <w:pStyle w:val="yFootnotesection"/>
      </w:pPr>
      <w:r>
        <w:tab/>
        <w:t>[Clause 4 amended by No. 19 of 2010 s. 51.]</w:t>
      </w:r>
    </w:p>
    <w:p>
      <w:pPr>
        <w:pStyle w:val="yHeading5"/>
        <w:rPr>
          <w:snapToGrid w:val="0"/>
        </w:rPr>
      </w:pPr>
      <w:bookmarkStart w:id="296" w:name="_Toc271807690"/>
      <w:bookmarkStart w:id="297" w:name="_Toc140397895"/>
      <w:r>
        <w:rPr>
          <w:rStyle w:val="CharSClsNo"/>
        </w:rPr>
        <w:t>5</w:t>
      </w:r>
      <w:r>
        <w:rPr>
          <w:snapToGrid w:val="0"/>
        </w:rPr>
        <w:t>.</w:t>
      </w:r>
      <w:r>
        <w:rPr>
          <w:snapToGrid w:val="0"/>
        </w:rPr>
        <w:tab/>
        <w:t>Determination of value</w:t>
      </w:r>
      <w:bookmarkEnd w:id="296"/>
    </w:p>
    <w:bookmarkEnd w:id="297"/>
    <w:p>
      <w:pPr>
        <w:pStyle w:val="ySubsection"/>
        <w:spacing w:before="140"/>
        <w:rPr>
          <w:snapToGrid w:val="0"/>
        </w:rPr>
      </w:pPr>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pPr>
        <w:pStyle w:val="yFootnotesection"/>
      </w:pPr>
      <w:r>
        <w:tab/>
        <w:t>[Clause 5 amended by No. 19 of 2010 s. 51.]</w:t>
      </w:r>
    </w:p>
    <w:p>
      <w:pPr>
        <w:pStyle w:val="yHeading5"/>
        <w:rPr>
          <w:snapToGrid w:val="0"/>
        </w:rPr>
      </w:pPr>
      <w:bookmarkStart w:id="298" w:name="_Toc271807691"/>
      <w:bookmarkStart w:id="299" w:name="_Toc140397896"/>
      <w:r>
        <w:rPr>
          <w:rStyle w:val="CharSClsNo"/>
        </w:rPr>
        <w:t>6</w:t>
      </w:r>
      <w:r>
        <w:rPr>
          <w:snapToGrid w:val="0"/>
        </w:rPr>
        <w:t>.</w:t>
      </w:r>
      <w:r>
        <w:rPr>
          <w:snapToGrid w:val="0"/>
        </w:rPr>
        <w:tab/>
        <w:t>Restriction on sale during election period</w:t>
      </w:r>
      <w:bookmarkEnd w:id="298"/>
    </w:p>
    <w:bookmarkEnd w:id="299"/>
    <w:p>
      <w:pPr>
        <w:pStyle w:val="ySubsection"/>
        <w:rPr>
          <w:snapToGrid w:val="0"/>
        </w:rPr>
      </w:pPr>
      <w:r>
        <w:rPr>
          <w:snapToGrid w:val="0"/>
        </w:rPr>
        <w:tab/>
        <w:t>(1)</w:t>
      </w:r>
      <w:r>
        <w:rPr>
          <w:snapToGrid w:val="0"/>
        </w:rPr>
        <w:tab/>
        <w:t>In this paragraph —</w:t>
      </w:r>
    </w:p>
    <w:p>
      <w:pPr>
        <w:pStyle w:val="yDefstart"/>
      </w:pPr>
      <w:r>
        <w:tab/>
      </w:r>
      <w:r>
        <w:rPr>
          <w:rStyle w:val="CharDefText"/>
        </w:rPr>
        <w:t>election period</w:t>
      </w:r>
      <w:r>
        <w:t xml:space="preserve"> means the period of 12 months mentioned in paragraph 3 and includes any extension of that period granted under subparagraph (2) of that paragraph.</w:t>
      </w:r>
    </w:p>
    <w:p>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authorise the personal representative to dispose of the interest within the election period.</w:t>
      </w:r>
    </w:p>
    <w:p>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pPr>
        <w:pStyle w:val="yFootnotesection"/>
      </w:pPr>
      <w:r>
        <w:tab/>
        <w:t>[Clause 6 amended by No. 19 of 2010 s. 51.]</w:t>
      </w:r>
    </w:p>
    <w:p>
      <w:pPr>
        <w:pStyle w:val="yHeading5"/>
        <w:rPr>
          <w:snapToGrid w:val="0"/>
        </w:rPr>
      </w:pPr>
      <w:bookmarkStart w:id="300" w:name="_Toc271807692"/>
      <w:bookmarkStart w:id="301" w:name="_Toc140397897"/>
      <w:r>
        <w:rPr>
          <w:rStyle w:val="CharSClsNo"/>
        </w:rPr>
        <w:t>7</w:t>
      </w:r>
      <w:r>
        <w:rPr>
          <w:snapToGrid w:val="0"/>
        </w:rPr>
        <w:t>.</w:t>
      </w:r>
      <w:r>
        <w:rPr>
          <w:snapToGrid w:val="0"/>
        </w:rPr>
        <w:tab/>
        <w:t>Surviving spouse as sole personal representative</w:t>
      </w:r>
      <w:bookmarkEnd w:id="300"/>
    </w:p>
    <w:bookmarkEnd w:id="301"/>
    <w:p>
      <w:pPr>
        <w:pStyle w:val="ySubsection"/>
        <w:spacing w:before="140"/>
        <w:rPr>
          <w:snapToGrid w:val="0"/>
        </w:rPr>
      </w:pPr>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pPr>
        <w:pStyle w:val="yFootnotesection"/>
      </w:pPr>
      <w:r>
        <w:tab/>
        <w:t>[Clause 7 amended by No. 19 of 2010 s. 51.]</w:t>
      </w:r>
    </w:p>
    <w:p>
      <w:pPr>
        <w:pStyle w:val="yHeading5"/>
        <w:rPr>
          <w:snapToGrid w:val="0"/>
        </w:rPr>
      </w:pPr>
      <w:bookmarkStart w:id="302" w:name="_Toc271807693"/>
      <w:bookmarkStart w:id="303" w:name="_Toc140397898"/>
      <w:r>
        <w:rPr>
          <w:rStyle w:val="CharSClsNo"/>
        </w:rPr>
        <w:t>8</w:t>
      </w:r>
      <w:r>
        <w:rPr>
          <w:snapToGrid w:val="0"/>
        </w:rPr>
        <w:t>.</w:t>
      </w:r>
      <w:r>
        <w:rPr>
          <w:snapToGrid w:val="0"/>
        </w:rPr>
        <w:tab/>
        <w:t>Surviving spouse not of full mental capacity</w:t>
      </w:r>
      <w:bookmarkEnd w:id="302"/>
    </w:p>
    <w:bookmarkEnd w:id="303"/>
    <w:p>
      <w:pPr>
        <w:pStyle w:val="ySubsection"/>
        <w:spacing w:before="140"/>
        <w:rPr>
          <w:snapToGrid w:val="0"/>
        </w:rPr>
      </w:pPr>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pPr>
        <w:pStyle w:val="yFootnotesection"/>
      </w:pPr>
      <w:r>
        <w:tab/>
        <w:t>[Clause 8 amended by No. 19 of 2010 s. 51.]</w:t>
      </w:r>
    </w:p>
    <w:p>
      <w:pPr>
        <w:pStyle w:val="yHeading5"/>
        <w:rPr>
          <w:snapToGrid w:val="0"/>
        </w:rPr>
      </w:pPr>
      <w:bookmarkStart w:id="304" w:name="_Toc271807694"/>
      <w:bookmarkStart w:id="305" w:name="_Toc140397899"/>
      <w:r>
        <w:rPr>
          <w:rStyle w:val="CharSClsNo"/>
        </w:rPr>
        <w:t>9</w:t>
      </w:r>
      <w:r>
        <w:rPr>
          <w:snapToGrid w:val="0"/>
        </w:rPr>
        <w:t>.</w:t>
      </w:r>
      <w:r>
        <w:rPr>
          <w:snapToGrid w:val="0"/>
        </w:rPr>
        <w:tab/>
        <w:t>Terms used</w:t>
      </w:r>
      <w:bookmarkEnd w:id="304"/>
    </w:p>
    <w:bookmarkEnd w:id="305"/>
    <w:p>
      <w:pPr>
        <w:pStyle w:val="ySubsection"/>
        <w:spacing w:before="140"/>
        <w:rPr>
          <w:snapToGrid w:val="0"/>
        </w:rPr>
      </w:pPr>
      <w:r>
        <w:rPr>
          <w:snapToGrid w:val="0"/>
        </w:rPr>
        <w:tab/>
      </w:r>
      <w:r>
        <w:rPr>
          <w:snapToGrid w:val="0"/>
        </w:rPr>
        <w:tab/>
        <w:t>Unless the contrary intention appears, words and expressions used in this Schedule have the same respective meanings as they have in and for the purposes of section 14.</w:t>
      </w:r>
    </w:p>
    <w:p>
      <w:pPr>
        <w:pStyle w:val="yFootnotesection"/>
      </w:pPr>
      <w:r>
        <w:tab/>
        <w:t>[Clause 9 amended by No. 19 of 2010 s. 51.]</w:t>
      </w:r>
    </w:p>
    <w:p>
      <w:pPr>
        <w:pStyle w:val="yFootnotesection"/>
      </w:pPr>
      <w:r>
        <w:tab/>
        <w:t xml:space="preserve">[Fourth Schedule inserted by No. 138 of 1976 s. 16; amended by No. 67 of 1979 s. 44(z); No. 25 of 2002 s. 52; No. 19 of 2010 s. 51.] </w:t>
      </w:r>
    </w:p>
    <w:p>
      <w:pPr>
        <w:pStyle w:val="yScheduleHeading"/>
      </w:pPr>
      <w:bookmarkStart w:id="306" w:name="_Toc121561321"/>
      <w:bookmarkStart w:id="307" w:name="_Toc124061305"/>
      <w:bookmarkStart w:id="308" w:name="_Toc124140197"/>
      <w:bookmarkStart w:id="309" w:name="_Toc137973054"/>
      <w:bookmarkStart w:id="310" w:name="_Toc140397900"/>
      <w:bookmarkStart w:id="311" w:name="_Toc140980038"/>
      <w:bookmarkStart w:id="312" w:name="_Toc140980252"/>
      <w:bookmarkStart w:id="313" w:name="_Toc151784575"/>
      <w:bookmarkStart w:id="314" w:name="_Toc155594419"/>
      <w:bookmarkStart w:id="315" w:name="_Toc266865919"/>
      <w:bookmarkStart w:id="316" w:name="_Toc271807695"/>
      <w:r>
        <w:rPr>
          <w:rStyle w:val="CharSchNo"/>
        </w:rPr>
        <w:t>Fifth Schedule</w:t>
      </w:r>
      <w:bookmarkEnd w:id="306"/>
      <w:bookmarkEnd w:id="307"/>
      <w:bookmarkEnd w:id="308"/>
      <w:bookmarkEnd w:id="309"/>
      <w:bookmarkEnd w:id="310"/>
      <w:bookmarkEnd w:id="311"/>
      <w:bookmarkEnd w:id="312"/>
      <w:bookmarkEnd w:id="313"/>
      <w:bookmarkEnd w:id="314"/>
      <w:r>
        <w:rPr>
          <w:rStyle w:val="CharSDivNo"/>
        </w:rPr>
        <w:t> </w:t>
      </w:r>
      <w:r>
        <w:t>—</w:t>
      </w:r>
      <w:r>
        <w:rPr>
          <w:rStyle w:val="CharSDivText"/>
        </w:rPr>
        <w:t> </w:t>
      </w:r>
      <w:r>
        <w:rPr>
          <w:rStyle w:val="CharSchText"/>
        </w:rPr>
        <w:t>Rules as to payment of debts and liabilities of insolvent estates</w:t>
      </w:r>
      <w:bookmarkEnd w:id="315"/>
      <w:bookmarkEnd w:id="316"/>
    </w:p>
    <w:p>
      <w:pPr>
        <w:pStyle w:val="yShoulderClause"/>
      </w:pPr>
      <w:bookmarkStart w:id="317" w:name="_Toc140980253"/>
      <w:bookmarkStart w:id="318" w:name="_Toc151784576"/>
      <w:bookmarkStart w:id="319" w:name="_Toc155594420"/>
      <w:r>
        <w:t>[s. 10A]</w:t>
      </w:r>
    </w:p>
    <w:p>
      <w:pPr>
        <w:pStyle w:val="yFootnoteheading"/>
        <w:rPr>
          <w:snapToGrid w:val="0"/>
        </w:rPr>
      </w:pPr>
      <w:bookmarkStart w:id="320" w:name="_Toc140397901"/>
      <w:bookmarkEnd w:id="317"/>
      <w:bookmarkEnd w:id="318"/>
      <w:bookmarkEnd w:id="319"/>
      <w:r>
        <w:rPr>
          <w:snapToGrid w:val="0"/>
        </w:rPr>
        <w:tab/>
        <w:t>[Heading amended by No. 19 of 2010 s. 6(3).]</w:t>
      </w:r>
    </w:p>
    <w:p>
      <w:pPr>
        <w:pStyle w:val="yHeading5"/>
      </w:pPr>
      <w:bookmarkStart w:id="321" w:name="_Toc271807696"/>
      <w:r>
        <w:rPr>
          <w:rStyle w:val="CharSClsNo"/>
        </w:rPr>
        <w:t>1</w:t>
      </w:r>
      <w:r>
        <w:t>.</w:t>
      </w:r>
      <w:r>
        <w:tab/>
        <w:t>Expenses having priority</w:t>
      </w:r>
      <w:bookmarkEnd w:id="321"/>
    </w:p>
    <w:bookmarkEnd w:id="320"/>
    <w:p>
      <w:pPr>
        <w:pStyle w:val="ySubsection"/>
        <w:spacing w:before="140"/>
        <w:rPr>
          <w:snapToGrid w:val="0"/>
        </w:rPr>
      </w:pPr>
      <w:r>
        <w:rPr>
          <w:snapToGrid w:val="0"/>
        </w:rPr>
        <w:tab/>
      </w:r>
      <w:r>
        <w:rPr>
          <w:snapToGrid w:val="0"/>
        </w:rPr>
        <w:tab/>
        <w:t>Funeral, testamentary and administration expenses have priority.</w:t>
      </w:r>
    </w:p>
    <w:p>
      <w:pPr>
        <w:pStyle w:val="yFootnotesection"/>
      </w:pPr>
      <w:r>
        <w:tab/>
        <w:t>[Clause 1 amended by No. 19 of 2010 s. 51.]</w:t>
      </w:r>
    </w:p>
    <w:p>
      <w:pPr>
        <w:pStyle w:val="yHeading5"/>
      </w:pPr>
      <w:bookmarkStart w:id="322" w:name="_Toc271807697"/>
      <w:bookmarkStart w:id="323" w:name="_Toc140397902"/>
      <w:r>
        <w:rPr>
          <w:rStyle w:val="CharSClsNo"/>
        </w:rPr>
        <w:t>2</w:t>
      </w:r>
      <w:r>
        <w:t>.</w:t>
      </w:r>
      <w:r>
        <w:tab/>
        <w:t>Demand for unliquidated damages</w:t>
      </w:r>
      <w:bookmarkEnd w:id="322"/>
    </w:p>
    <w:bookmarkEnd w:id="323"/>
    <w:p>
      <w:pPr>
        <w:pStyle w:val="ySubsection"/>
        <w:spacing w:before="140"/>
        <w:rPr>
          <w:snapToGrid w:val="0"/>
        </w:rPr>
      </w:pPr>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pPr>
        <w:pStyle w:val="yFootnotesection"/>
      </w:pPr>
      <w:r>
        <w:tab/>
        <w:t>[Clause 2 amended by No. 19 of 2010 s. 51.]</w:t>
      </w:r>
    </w:p>
    <w:p>
      <w:pPr>
        <w:pStyle w:val="yHeading5"/>
      </w:pPr>
      <w:bookmarkStart w:id="324" w:name="_Toc271807698"/>
      <w:bookmarkStart w:id="325" w:name="_Toc140397903"/>
      <w:r>
        <w:rPr>
          <w:rStyle w:val="CharSClsNo"/>
        </w:rPr>
        <w:t>3</w:t>
      </w:r>
      <w:r>
        <w:t>.</w:t>
      </w:r>
      <w:r>
        <w:tab/>
        <w:t>Rules of bankruptcy apply</w:t>
      </w:r>
      <w:bookmarkEnd w:id="324"/>
    </w:p>
    <w:bookmarkEnd w:id="325"/>
    <w:p>
      <w:pPr>
        <w:pStyle w:val="ySubsection"/>
        <w:spacing w:before="140"/>
        <w:rPr>
          <w:snapToGrid w:val="0"/>
        </w:rPr>
      </w:pPr>
      <w:r>
        <w:rPr>
          <w:snapToGrid w:val="0"/>
        </w:rPr>
        <w:tab/>
      </w:r>
      <w:r>
        <w:rPr>
          <w:snapToGrid w:val="0"/>
        </w:rPr>
        <w:tab/>
        <w:t>Subject to these rules, the same rules shall prevail and be observed as to — </w:t>
      </w:r>
    </w:p>
    <w:p>
      <w:pPr>
        <w:pStyle w:val="yIndenta"/>
        <w:rPr>
          <w:snapToGrid w:val="0"/>
        </w:rPr>
      </w:pPr>
      <w:r>
        <w:rPr>
          <w:snapToGrid w:val="0"/>
        </w:rPr>
        <w:tab/>
        <w:t>(a)</w:t>
      </w:r>
      <w:r>
        <w:rPr>
          <w:snapToGrid w:val="0"/>
        </w:rPr>
        <w:tab/>
        <w:t>the respective rights of secured and unsecured creditors;</w:t>
      </w:r>
    </w:p>
    <w:p>
      <w:pPr>
        <w:pStyle w:val="yIndenta"/>
        <w:rPr>
          <w:snapToGrid w:val="0"/>
        </w:rPr>
      </w:pPr>
      <w:r>
        <w:rPr>
          <w:snapToGrid w:val="0"/>
        </w:rPr>
        <w:tab/>
        <w:t>(b)</w:t>
      </w:r>
      <w:r>
        <w:rPr>
          <w:snapToGrid w:val="0"/>
        </w:rPr>
        <w:tab/>
        <w:t>debts and liabilities provable;</w:t>
      </w:r>
    </w:p>
    <w:p>
      <w:pPr>
        <w:pStyle w:val="yIndenta"/>
        <w:rPr>
          <w:snapToGrid w:val="0"/>
        </w:rPr>
      </w:pPr>
      <w:r>
        <w:rPr>
          <w:snapToGrid w:val="0"/>
        </w:rPr>
        <w:tab/>
        <w:t>(c)</w:t>
      </w:r>
      <w:r>
        <w:rPr>
          <w:snapToGrid w:val="0"/>
        </w:rPr>
        <w:tab/>
        <w:t>the valuation of annuities and future and contingent liabilities; and</w:t>
      </w:r>
    </w:p>
    <w:p>
      <w:pPr>
        <w:pStyle w:val="yIndenta"/>
        <w:rPr>
          <w:snapToGrid w:val="0"/>
        </w:rPr>
      </w:pPr>
      <w:r>
        <w:rPr>
          <w:snapToGrid w:val="0"/>
        </w:rPr>
        <w:tab/>
        <w:t>(d)</w:t>
      </w:r>
      <w:r>
        <w:rPr>
          <w:snapToGrid w:val="0"/>
        </w:rPr>
        <w:tab/>
        <w:t>the priorities of debts and liabilities,</w:t>
      </w:r>
    </w:p>
    <w:p>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pPr>
        <w:pStyle w:val="yFootnotesection"/>
      </w:pPr>
      <w:r>
        <w:tab/>
        <w:t>[Clause 3 amended by No. 19 of 2010 s. 51.]</w:t>
      </w:r>
    </w:p>
    <w:p>
      <w:pPr>
        <w:pStyle w:val="yFootnotesection"/>
      </w:pPr>
      <w:r>
        <w:tab/>
        <w:t xml:space="preserve">[Fifth Schedule inserted by No. 72 of 1984 s. 8; amended by No. 19 of 2010 s. 51.] </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326" w:name="_Toc89160156"/>
      <w:bookmarkStart w:id="327" w:name="_Toc101855632"/>
      <w:bookmarkStart w:id="328" w:name="_Toc121561322"/>
      <w:bookmarkStart w:id="329" w:name="_Toc124061306"/>
      <w:bookmarkStart w:id="330" w:name="_Toc124140198"/>
      <w:bookmarkStart w:id="331" w:name="_Toc137973058"/>
      <w:bookmarkStart w:id="332" w:name="_Toc140397904"/>
      <w:bookmarkStart w:id="333" w:name="_Toc140980039"/>
      <w:bookmarkStart w:id="334" w:name="_Toc140980254"/>
      <w:bookmarkStart w:id="335" w:name="_Toc151784577"/>
      <w:bookmarkStart w:id="336" w:name="_Toc155594421"/>
      <w:bookmarkStart w:id="337" w:name="_Toc266865921"/>
      <w:bookmarkStart w:id="338" w:name="_Toc271807699"/>
      <w:r>
        <w:t>Notes</w:t>
      </w:r>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nSubsection"/>
        <w:rPr>
          <w:snapToGrid w:val="0"/>
        </w:rPr>
      </w:pPr>
      <w:r>
        <w:rPr>
          <w:snapToGrid w:val="0"/>
          <w:vertAlign w:val="superscript"/>
        </w:rPr>
        <w:t>1</w:t>
      </w:r>
      <w:r>
        <w:rPr>
          <w:snapToGrid w:val="0"/>
        </w:rPr>
        <w:tab/>
        <w:t xml:space="preserve">This is a compilation of the </w:t>
      </w:r>
      <w:r>
        <w:rPr>
          <w:i/>
          <w:noProof/>
          <w:snapToGrid w:val="0"/>
        </w:rPr>
        <w:t>Administration Act 1903</w:t>
      </w:r>
      <w:r>
        <w:rPr>
          <w:snapToGrid w:val="0"/>
        </w:rPr>
        <w:t xml:space="preserve"> and includes the amendments made by the other written laws referred to in the following table </w:t>
      </w:r>
      <w:r>
        <w:rPr>
          <w:snapToGrid w:val="0"/>
          <w:vertAlign w:val="superscript"/>
        </w:rPr>
        <w:t xml:space="preserve"> 7</w:t>
      </w:r>
      <w:r>
        <w:rPr>
          <w:snapToGrid w:val="0"/>
        </w:rPr>
        <w:t>. The table also contains information about any reprint.</w:t>
      </w:r>
    </w:p>
    <w:p>
      <w:pPr>
        <w:pStyle w:val="nHeading3"/>
      </w:pPr>
      <w:bookmarkStart w:id="339" w:name="_Toc271807700"/>
      <w:r>
        <w:t>Compilation table</w:t>
      </w:r>
      <w:bookmarkEnd w:id="339"/>
    </w:p>
    <w:tbl>
      <w:tblPr>
        <w:tblW w:w="7087" w:type="dxa"/>
        <w:tblInd w:w="28" w:type="dxa"/>
        <w:tblLayout w:type="fixed"/>
        <w:tblCellMar>
          <w:left w:w="56" w:type="dxa"/>
          <w:right w:w="56" w:type="dxa"/>
        </w:tblCellMar>
        <w:tblLook w:val="0000" w:firstRow="0" w:lastRow="0" w:firstColumn="0" w:lastColumn="0" w:noHBand="0" w:noVBand="0"/>
      </w:tblPr>
      <w:tblGrid>
        <w:gridCol w:w="7"/>
        <w:gridCol w:w="2241"/>
        <w:gridCol w:w="1123"/>
        <w:gridCol w:w="1120"/>
        <w:gridCol w:w="2516"/>
        <w:gridCol w:w="80"/>
      </w:tblGrid>
      <w:tr>
        <w:trPr>
          <w:gridAfter w:val="1"/>
          <w:wAfter w:w="80" w:type="dxa"/>
          <w:cantSplit/>
          <w:tblHeader/>
        </w:trPr>
        <w:tc>
          <w:tcPr>
            <w:tcW w:w="2244"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24" w:type="dxa"/>
            <w:tcBorders>
              <w:top w:val="single" w:sz="8" w:space="0" w:color="auto"/>
              <w:bottom w:val="single" w:sz="8" w:space="0" w:color="auto"/>
            </w:tcBorders>
          </w:tcPr>
          <w:p>
            <w:pPr>
              <w:pStyle w:val="nTable"/>
              <w:spacing w:after="40"/>
              <w:rPr>
                <w:b/>
                <w:sz w:val="19"/>
              </w:rPr>
            </w:pPr>
            <w:r>
              <w:rPr>
                <w:b/>
                <w:sz w:val="19"/>
              </w:rPr>
              <w:t>Number and year</w:t>
            </w:r>
          </w:p>
        </w:tc>
        <w:tc>
          <w:tcPr>
            <w:tcW w:w="1121" w:type="dxa"/>
            <w:tcBorders>
              <w:top w:val="single" w:sz="8" w:space="0" w:color="auto"/>
              <w:bottom w:val="single" w:sz="8" w:space="0" w:color="auto"/>
            </w:tcBorders>
          </w:tcPr>
          <w:p>
            <w:pPr>
              <w:pStyle w:val="nTable"/>
              <w:spacing w:after="40"/>
              <w:rPr>
                <w:b/>
                <w:sz w:val="19"/>
              </w:rPr>
            </w:pPr>
            <w:r>
              <w:rPr>
                <w:b/>
                <w:sz w:val="19"/>
              </w:rPr>
              <w:t>Assent</w:t>
            </w:r>
          </w:p>
        </w:tc>
        <w:tc>
          <w:tcPr>
            <w:tcW w:w="2518"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0" w:type="dxa"/>
          <w:cantSplit/>
        </w:trPr>
        <w:tc>
          <w:tcPr>
            <w:tcW w:w="2244" w:type="dxa"/>
            <w:gridSpan w:val="2"/>
            <w:tcBorders>
              <w:top w:val="single" w:sz="8" w:space="0" w:color="auto"/>
            </w:tcBorders>
          </w:tcPr>
          <w:p>
            <w:pPr>
              <w:pStyle w:val="nTable"/>
              <w:spacing w:after="40"/>
              <w:ind w:right="170"/>
              <w:rPr>
                <w:sz w:val="19"/>
              </w:rPr>
            </w:pPr>
            <w:r>
              <w:rPr>
                <w:i/>
                <w:sz w:val="19"/>
              </w:rPr>
              <w:t>Administration Act 1903</w:t>
            </w:r>
          </w:p>
        </w:tc>
        <w:tc>
          <w:tcPr>
            <w:tcW w:w="1124" w:type="dxa"/>
            <w:tcBorders>
              <w:top w:val="single" w:sz="8" w:space="0" w:color="auto"/>
            </w:tcBorders>
          </w:tcPr>
          <w:p>
            <w:pPr>
              <w:pStyle w:val="nTable"/>
              <w:spacing w:after="40"/>
              <w:rPr>
                <w:sz w:val="19"/>
              </w:rPr>
            </w:pPr>
            <w:r>
              <w:rPr>
                <w:sz w:val="19"/>
              </w:rPr>
              <w:t>13 of 1903</w:t>
            </w:r>
          </w:p>
        </w:tc>
        <w:tc>
          <w:tcPr>
            <w:tcW w:w="1121" w:type="dxa"/>
            <w:tcBorders>
              <w:top w:val="single" w:sz="8" w:space="0" w:color="auto"/>
            </w:tcBorders>
          </w:tcPr>
          <w:p>
            <w:pPr>
              <w:pStyle w:val="nTable"/>
              <w:spacing w:after="40"/>
              <w:rPr>
                <w:sz w:val="19"/>
              </w:rPr>
            </w:pPr>
            <w:r>
              <w:rPr>
                <w:sz w:val="19"/>
              </w:rPr>
              <w:t>31 Dec 1903</w:t>
            </w:r>
          </w:p>
        </w:tc>
        <w:tc>
          <w:tcPr>
            <w:tcW w:w="2518" w:type="dxa"/>
            <w:tcBorders>
              <w:top w:val="single" w:sz="8" w:space="0" w:color="auto"/>
            </w:tcBorders>
          </w:tcPr>
          <w:p>
            <w:pPr>
              <w:pStyle w:val="nTable"/>
              <w:spacing w:after="40"/>
              <w:rPr>
                <w:sz w:val="19"/>
              </w:rPr>
            </w:pPr>
            <w:r>
              <w:rPr>
                <w:sz w:val="19"/>
              </w:rPr>
              <w:t>1 Jan 1904 (see s. 1)</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1909</w:t>
            </w:r>
          </w:p>
        </w:tc>
        <w:tc>
          <w:tcPr>
            <w:tcW w:w="1124" w:type="dxa"/>
          </w:tcPr>
          <w:p>
            <w:pPr>
              <w:pStyle w:val="nTable"/>
              <w:spacing w:after="40"/>
              <w:rPr>
                <w:sz w:val="19"/>
              </w:rPr>
            </w:pPr>
            <w:r>
              <w:rPr>
                <w:sz w:val="19"/>
              </w:rPr>
              <w:t>29 of 1909</w:t>
            </w:r>
          </w:p>
        </w:tc>
        <w:tc>
          <w:tcPr>
            <w:tcW w:w="1121" w:type="dxa"/>
          </w:tcPr>
          <w:p>
            <w:pPr>
              <w:pStyle w:val="nTable"/>
              <w:spacing w:after="40"/>
              <w:rPr>
                <w:sz w:val="19"/>
              </w:rPr>
            </w:pPr>
            <w:r>
              <w:rPr>
                <w:sz w:val="19"/>
              </w:rPr>
              <w:t>20 Nov 1909</w:t>
            </w:r>
          </w:p>
        </w:tc>
        <w:tc>
          <w:tcPr>
            <w:tcW w:w="2518" w:type="dxa"/>
          </w:tcPr>
          <w:p>
            <w:pPr>
              <w:pStyle w:val="nTable"/>
              <w:spacing w:after="40"/>
              <w:rPr>
                <w:sz w:val="19"/>
              </w:rPr>
            </w:pPr>
            <w:r>
              <w:rPr>
                <w:sz w:val="19"/>
              </w:rPr>
              <w:t>20 Nov 1909</w:t>
            </w:r>
          </w:p>
        </w:tc>
      </w:tr>
      <w:tr>
        <w:trPr>
          <w:gridAfter w:val="1"/>
          <w:wAfter w:w="80" w:type="dxa"/>
          <w:cantSplit/>
        </w:trPr>
        <w:tc>
          <w:tcPr>
            <w:tcW w:w="2244" w:type="dxa"/>
            <w:gridSpan w:val="2"/>
          </w:tcPr>
          <w:p>
            <w:pPr>
              <w:pStyle w:val="nTable"/>
              <w:spacing w:after="40"/>
              <w:ind w:right="170"/>
              <w:rPr>
                <w:sz w:val="19"/>
              </w:rPr>
            </w:pPr>
            <w:r>
              <w:rPr>
                <w:i/>
                <w:sz w:val="19"/>
              </w:rPr>
              <w:t>Curator of Intestate Estates Act 1918</w:t>
            </w:r>
            <w:r>
              <w:rPr>
                <w:sz w:val="19"/>
              </w:rPr>
              <w:t xml:space="preserve"> s. 2</w:t>
            </w:r>
          </w:p>
        </w:tc>
        <w:tc>
          <w:tcPr>
            <w:tcW w:w="1124" w:type="dxa"/>
          </w:tcPr>
          <w:p>
            <w:pPr>
              <w:pStyle w:val="nTable"/>
              <w:spacing w:after="40"/>
              <w:rPr>
                <w:sz w:val="19"/>
              </w:rPr>
            </w:pPr>
            <w:r>
              <w:rPr>
                <w:sz w:val="19"/>
              </w:rPr>
              <w:t>9 of 1918</w:t>
            </w:r>
          </w:p>
        </w:tc>
        <w:tc>
          <w:tcPr>
            <w:tcW w:w="1121" w:type="dxa"/>
          </w:tcPr>
          <w:p>
            <w:pPr>
              <w:pStyle w:val="nTable"/>
              <w:spacing w:after="40"/>
              <w:rPr>
                <w:sz w:val="19"/>
              </w:rPr>
            </w:pPr>
            <w:r>
              <w:rPr>
                <w:sz w:val="19"/>
              </w:rPr>
              <w:t>15 Apr 1918</w:t>
            </w:r>
          </w:p>
        </w:tc>
        <w:tc>
          <w:tcPr>
            <w:tcW w:w="2518" w:type="dxa"/>
          </w:tcPr>
          <w:p>
            <w:pPr>
              <w:pStyle w:val="nTable"/>
              <w:spacing w:after="40"/>
              <w:rPr>
                <w:sz w:val="19"/>
              </w:rPr>
            </w:pPr>
            <w:r>
              <w:rPr>
                <w:sz w:val="19"/>
              </w:rPr>
              <w:t xml:space="preserve">1 Jul 1918 (see s. 1 and </w:t>
            </w:r>
            <w:r>
              <w:rPr>
                <w:i/>
                <w:sz w:val="19"/>
              </w:rPr>
              <w:t>Gazette</w:t>
            </w:r>
            <w:r>
              <w:rPr>
                <w:sz w:val="19"/>
              </w:rPr>
              <w:t xml:space="preserve"> 7 Jun 1918 p. 813)</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1921</w:t>
            </w:r>
          </w:p>
        </w:tc>
        <w:tc>
          <w:tcPr>
            <w:tcW w:w="1124" w:type="dxa"/>
          </w:tcPr>
          <w:p>
            <w:pPr>
              <w:pStyle w:val="nTable"/>
              <w:spacing w:after="40"/>
              <w:rPr>
                <w:sz w:val="19"/>
              </w:rPr>
            </w:pPr>
            <w:r>
              <w:rPr>
                <w:sz w:val="19"/>
              </w:rPr>
              <w:t>13 of 1921</w:t>
            </w:r>
          </w:p>
        </w:tc>
        <w:tc>
          <w:tcPr>
            <w:tcW w:w="1121" w:type="dxa"/>
          </w:tcPr>
          <w:p>
            <w:pPr>
              <w:pStyle w:val="nTable"/>
              <w:spacing w:after="40"/>
              <w:rPr>
                <w:sz w:val="19"/>
              </w:rPr>
            </w:pPr>
            <w:r>
              <w:rPr>
                <w:sz w:val="19"/>
              </w:rPr>
              <w:t>15 Nov 1921</w:t>
            </w:r>
          </w:p>
        </w:tc>
        <w:tc>
          <w:tcPr>
            <w:tcW w:w="2518" w:type="dxa"/>
          </w:tcPr>
          <w:p>
            <w:pPr>
              <w:pStyle w:val="nTable"/>
              <w:spacing w:after="40"/>
              <w:rPr>
                <w:sz w:val="19"/>
              </w:rPr>
            </w:pPr>
            <w:r>
              <w:rPr>
                <w:sz w:val="19"/>
              </w:rPr>
              <w:t>15 Nov 1921</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1922</w:t>
            </w:r>
          </w:p>
        </w:tc>
        <w:tc>
          <w:tcPr>
            <w:tcW w:w="1124" w:type="dxa"/>
          </w:tcPr>
          <w:p>
            <w:pPr>
              <w:pStyle w:val="nTable"/>
              <w:spacing w:after="40"/>
              <w:rPr>
                <w:sz w:val="19"/>
              </w:rPr>
            </w:pPr>
            <w:r>
              <w:rPr>
                <w:sz w:val="19"/>
              </w:rPr>
              <w:t>29 of 1922</w:t>
            </w:r>
          </w:p>
        </w:tc>
        <w:tc>
          <w:tcPr>
            <w:tcW w:w="1121" w:type="dxa"/>
          </w:tcPr>
          <w:p>
            <w:pPr>
              <w:pStyle w:val="nTable"/>
              <w:spacing w:after="40"/>
              <w:rPr>
                <w:sz w:val="19"/>
              </w:rPr>
            </w:pPr>
            <w:r>
              <w:rPr>
                <w:sz w:val="19"/>
              </w:rPr>
              <w:t>7 Dec 1922</w:t>
            </w:r>
          </w:p>
        </w:tc>
        <w:tc>
          <w:tcPr>
            <w:tcW w:w="2518" w:type="dxa"/>
          </w:tcPr>
          <w:p>
            <w:pPr>
              <w:pStyle w:val="nTable"/>
              <w:spacing w:after="40"/>
              <w:rPr>
                <w:sz w:val="19"/>
              </w:rPr>
            </w:pPr>
            <w:r>
              <w:rPr>
                <w:sz w:val="19"/>
              </w:rPr>
              <w:t>7 Dec 1922</w:t>
            </w:r>
          </w:p>
        </w:tc>
      </w:tr>
      <w:tr>
        <w:trPr>
          <w:gridAfter w:val="1"/>
          <w:wAfter w:w="80" w:type="dxa"/>
          <w:cantSplit/>
        </w:trPr>
        <w:tc>
          <w:tcPr>
            <w:tcW w:w="2244" w:type="dxa"/>
            <w:gridSpan w:val="2"/>
          </w:tcPr>
          <w:p>
            <w:pPr>
              <w:pStyle w:val="nTable"/>
              <w:spacing w:after="40"/>
              <w:ind w:right="170"/>
              <w:rPr>
                <w:sz w:val="19"/>
              </w:rPr>
            </w:pPr>
            <w:r>
              <w:rPr>
                <w:i/>
                <w:sz w:val="19"/>
              </w:rPr>
              <w:t>Administration Act (Estate and Succession Duties) Amendment Act 1934</w:t>
            </w:r>
            <w:r>
              <w:rPr>
                <w:iCs/>
                <w:sz w:val="19"/>
              </w:rPr>
              <w:t xml:space="preserve"> </w:t>
            </w:r>
            <w:r>
              <w:rPr>
                <w:sz w:val="19"/>
              </w:rPr>
              <w:t>s. 2 and Pt. III</w:t>
            </w:r>
            <w:r>
              <w:rPr>
                <w:sz w:val="19"/>
                <w:vertAlign w:val="superscript"/>
              </w:rPr>
              <w:t> 4</w:t>
            </w:r>
          </w:p>
        </w:tc>
        <w:tc>
          <w:tcPr>
            <w:tcW w:w="1124" w:type="dxa"/>
          </w:tcPr>
          <w:p>
            <w:pPr>
              <w:pStyle w:val="nTable"/>
              <w:spacing w:after="40"/>
              <w:rPr>
                <w:sz w:val="19"/>
              </w:rPr>
            </w:pPr>
            <w:r>
              <w:rPr>
                <w:sz w:val="19"/>
              </w:rPr>
              <w:t>28 of 1934</w:t>
            </w:r>
          </w:p>
        </w:tc>
        <w:tc>
          <w:tcPr>
            <w:tcW w:w="1121" w:type="dxa"/>
          </w:tcPr>
          <w:p>
            <w:pPr>
              <w:pStyle w:val="nTable"/>
              <w:spacing w:after="40"/>
              <w:rPr>
                <w:sz w:val="19"/>
              </w:rPr>
            </w:pPr>
            <w:r>
              <w:rPr>
                <w:sz w:val="19"/>
              </w:rPr>
              <w:t>28 Dec 1934</w:t>
            </w:r>
          </w:p>
        </w:tc>
        <w:tc>
          <w:tcPr>
            <w:tcW w:w="2518" w:type="dxa"/>
          </w:tcPr>
          <w:p>
            <w:pPr>
              <w:pStyle w:val="nTable"/>
              <w:spacing w:after="40"/>
              <w:rPr>
                <w:sz w:val="19"/>
              </w:rPr>
            </w:pPr>
            <w:r>
              <w:rPr>
                <w:sz w:val="19"/>
              </w:rPr>
              <w:t xml:space="preserve">1 Jan 1935 (see s. 1 and </w:t>
            </w:r>
            <w:r>
              <w:rPr>
                <w:i/>
                <w:sz w:val="19"/>
              </w:rPr>
              <w:t>Gazette</w:t>
            </w:r>
            <w:r>
              <w:rPr>
                <w:sz w:val="19"/>
              </w:rPr>
              <w:t xml:space="preserve"> 28 Dec 1934 p. 1983)</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not in a Volume</w:t>
            </w:r>
            <w:r>
              <w:rPr>
                <w:sz w:val="19"/>
              </w:rPr>
              <w:t xml:space="preserve"> (includes amendments listed above)</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1939</w:t>
            </w:r>
          </w:p>
        </w:tc>
        <w:tc>
          <w:tcPr>
            <w:tcW w:w="1124" w:type="dxa"/>
          </w:tcPr>
          <w:p>
            <w:pPr>
              <w:pStyle w:val="nTable"/>
              <w:spacing w:after="40"/>
              <w:rPr>
                <w:sz w:val="19"/>
              </w:rPr>
            </w:pPr>
            <w:r>
              <w:rPr>
                <w:sz w:val="19"/>
              </w:rPr>
              <w:t>24 of 1939</w:t>
            </w:r>
          </w:p>
        </w:tc>
        <w:tc>
          <w:tcPr>
            <w:tcW w:w="1121" w:type="dxa"/>
          </w:tcPr>
          <w:p>
            <w:pPr>
              <w:pStyle w:val="nTable"/>
              <w:spacing w:after="40"/>
              <w:rPr>
                <w:sz w:val="19"/>
              </w:rPr>
            </w:pPr>
            <w:r>
              <w:rPr>
                <w:sz w:val="19"/>
              </w:rPr>
              <w:t>22 Nov 1939</w:t>
            </w:r>
          </w:p>
        </w:tc>
        <w:tc>
          <w:tcPr>
            <w:tcW w:w="2518" w:type="dxa"/>
          </w:tcPr>
          <w:p>
            <w:pPr>
              <w:pStyle w:val="nTable"/>
              <w:spacing w:after="40"/>
              <w:rPr>
                <w:sz w:val="19"/>
              </w:rPr>
            </w:pPr>
            <w:r>
              <w:rPr>
                <w:sz w:val="19"/>
              </w:rPr>
              <w:t>22 Nov 1939</w:t>
            </w:r>
          </w:p>
        </w:tc>
      </w:tr>
      <w:tr>
        <w:trPr>
          <w:gridAfter w:val="1"/>
          <w:wAfter w:w="80" w:type="dxa"/>
          <w:cantSplit/>
        </w:trPr>
        <w:tc>
          <w:tcPr>
            <w:tcW w:w="2244" w:type="dxa"/>
            <w:gridSpan w:val="2"/>
          </w:tcPr>
          <w:p>
            <w:pPr>
              <w:pStyle w:val="nTable"/>
              <w:spacing w:after="40"/>
              <w:ind w:right="170"/>
              <w:rPr>
                <w:sz w:val="19"/>
              </w:rPr>
            </w:pPr>
            <w:r>
              <w:rPr>
                <w:i/>
                <w:sz w:val="19"/>
              </w:rPr>
              <w:t>Public Trustee Act 1941</w:t>
            </w:r>
            <w:r>
              <w:rPr>
                <w:sz w:val="19"/>
              </w:rPr>
              <w:t xml:space="preserve"> s. 3</w:t>
            </w:r>
          </w:p>
        </w:tc>
        <w:tc>
          <w:tcPr>
            <w:tcW w:w="1124" w:type="dxa"/>
          </w:tcPr>
          <w:p>
            <w:pPr>
              <w:pStyle w:val="nTable"/>
              <w:spacing w:after="40"/>
              <w:rPr>
                <w:sz w:val="19"/>
              </w:rPr>
            </w:pPr>
            <w:r>
              <w:rPr>
                <w:sz w:val="19"/>
              </w:rPr>
              <w:t>26 of 1941</w:t>
            </w:r>
          </w:p>
        </w:tc>
        <w:tc>
          <w:tcPr>
            <w:tcW w:w="1121" w:type="dxa"/>
          </w:tcPr>
          <w:p>
            <w:pPr>
              <w:pStyle w:val="nTable"/>
              <w:spacing w:after="40"/>
              <w:rPr>
                <w:sz w:val="19"/>
              </w:rPr>
            </w:pPr>
            <w:r>
              <w:rPr>
                <w:sz w:val="19"/>
              </w:rPr>
              <w:t>8 Dec 1941</w:t>
            </w:r>
          </w:p>
        </w:tc>
        <w:tc>
          <w:tcPr>
            <w:tcW w:w="2518"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(No. 2) 1941</w:t>
            </w:r>
          </w:p>
        </w:tc>
        <w:tc>
          <w:tcPr>
            <w:tcW w:w="1124" w:type="dxa"/>
          </w:tcPr>
          <w:p>
            <w:pPr>
              <w:pStyle w:val="nTable"/>
              <w:spacing w:after="40"/>
              <w:rPr>
                <w:sz w:val="19"/>
              </w:rPr>
            </w:pPr>
            <w:r>
              <w:rPr>
                <w:sz w:val="19"/>
              </w:rPr>
              <w:t>52 of 1941</w:t>
            </w:r>
          </w:p>
        </w:tc>
        <w:tc>
          <w:tcPr>
            <w:tcW w:w="1121" w:type="dxa"/>
          </w:tcPr>
          <w:p>
            <w:pPr>
              <w:pStyle w:val="nTable"/>
              <w:spacing w:after="40"/>
              <w:rPr>
                <w:sz w:val="19"/>
              </w:rPr>
            </w:pPr>
            <w:r>
              <w:rPr>
                <w:sz w:val="19"/>
              </w:rPr>
              <w:t>15 Jan 1942</w:t>
            </w:r>
          </w:p>
        </w:tc>
        <w:tc>
          <w:tcPr>
            <w:tcW w:w="2518" w:type="dxa"/>
          </w:tcPr>
          <w:p>
            <w:pPr>
              <w:pStyle w:val="nTable"/>
              <w:spacing w:after="40"/>
              <w:rPr>
                <w:sz w:val="19"/>
              </w:rPr>
            </w:pPr>
            <w:r>
              <w:rPr>
                <w:sz w:val="19"/>
              </w:rPr>
              <w:t>15 Jan 1942</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1941</w:t>
            </w:r>
          </w:p>
        </w:tc>
        <w:tc>
          <w:tcPr>
            <w:tcW w:w="1124" w:type="dxa"/>
          </w:tcPr>
          <w:p>
            <w:pPr>
              <w:pStyle w:val="nTable"/>
              <w:spacing w:after="40"/>
              <w:rPr>
                <w:sz w:val="19"/>
              </w:rPr>
            </w:pPr>
            <w:r>
              <w:rPr>
                <w:sz w:val="19"/>
              </w:rPr>
              <w:t>55 of 1941</w:t>
            </w:r>
          </w:p>
        </w:tc>
        <w:tc>
          <w:tcPr>
            <w:tcW w:w="1121" w:type="dxa"/>
          </w:tcPr>
          <w:p>
            <w:pPr>
              <w:pStyle w:val="nTable"/>
              <w:spacing w:after="40"/>
              <w:rPr>
                <w:sz w:val="19"/>
              </w:rPr>
            </w:pPr>
            <w:r>
              <w:rPr>
                <w:sz w:val="19"/>
              </w:rPr>
              <w:t>15 Jan 1942</w:t>
            </w:r>
          </w:p>
        </w:tc>
        <w:tc>
          <w:tcPr>
            <w:tcW w:w="2518" w:type="dxa"/>
          </w:tcPr>
          <w:p>
            <w:pPr>
              <w:pStyle w:val="nTable"/>
              <w:spacing w:after="40"/>
              <w:rPr>
                <w:sz w:val="19"/>
              </w:rPr>
            </w:pPr>
            <w:r>
              <w:rPr>
                <w:sz w:val="19"/>
              </w:rPr>
              <w:t>1 Jul 1942 (see s. 8)</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1942</w:t>
            </w:r>
          </w:p>
        </w:tc>
        <w:tc>
          <w:tcPr>
            <w:tcW w:w="1124" w:type="dxa"/>
          </w:tcPr>
          <w:p>
            <w:pPr>
              <w:pStyle w:val="nTable"/>
              <w:spacing w:after="40"/>
              <w:rPr>
                <w:sz w:val="19"/>
              </w:rPr>
            </w:pPr>
            <w:r>
              <w:rPr>
                <w:sz w:val="19"/>
              </w:rPr>
              <w:t>21 of 1942</w:t>
            </w:r>
          </w:p>
        </w:tc>
        <w:tc>
          <w:tcPr>
            <w:tcW w:w="1121" w:type="dxa"/>
          </w:tcPr>
          <w:p>
            <w:pPr>
              <w:pStyle w:val="nTable"/>
              <w:spacing w:after="40"/>
              <w:rPr>
                <w:sz w:val="19"/>
              </w:rPr>
            </w:pPr>
            <w:r>
              <w:rPr>
                <w:sz w:val="19"/>
              </w:rPr>
              <w:t>9 Dec 1942</w:t>
            </w:r>
          </w:p>
        </w:tc>
        <w:tc>
          <w:tcPr>
            <w:tcW w:w="2518" w:type="dxa"/>
          </w:tcPr>
          <w:p>
            <w:pPr>
              <w:pStyle w:val="nTable"/>
              <w:spacing w:after="40"/>
              <w:rPr>
                <w:sz w:val="19"/>
              </w:rPr>
            </w:pPr>
            <w:r>
              <w:rPr>
                <w:sz w:val="19"/>
              </w:rPr>
              <w:t>9 Dec 1942</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approved in Volume 2 of Reprinted Acts</w:t>
            </w:r>
            <w:r>
              <w:rPr>
                <w:sz w:val="19"/>
              </w:rPr>
              <w:t xml:space="preserve"> (includes amendments listed above)</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1945</w:t>
            </w:r>
          </w:p>
        </w:tc>
        <w:tc>
          <w:tcPr>
            <w:tcW w:w="1124" w:type="dxa"/>
          </w:tcPr>
          <w:p>
            <w:pPr>
              <w:pStyle w:val="nTable"/>
              <w:spacing w:after="40"/>
              <w:rPr>
                <w:sz w:val="19"/>
              </w:rPr>
            </w:pPr>
            <w:r>
              <w:rPr>
                <w:sz w:val="19"/>
              </w:rPr>
              <w:t>39 of 1945</w:t>
            </w:r>
          </w:p>
        </w:tc>
        <w:tc>
          <w:tcPr>
            <w:tcW w:w="1121" w:type="dxa"/>
          </w:tcPr>
          <w:p>
            <w:pPr>
              <w:pStyle w:val="nTable"/>
              <w:spacing w:after="40"/>
              <w:rPr>
                <w:sz w:val="19"/>
              </w:rPr>
            </w:pPr>
            <w:r>
              <w:rPr>
                <w:sz w:val="19"/>
              </w:rPr>
              <w:t>30 Jan 1946</w:t>
            </w:r>
          </w:p>
        </w:tc>
        <w:tc>
          <w:tcPr>
            <w:tcW w:w="2518" w:type="dxa"/>
          </w:tcPr>
          <w:p>
            <w:pPr>
              <w:pStyle w:val="nTable"/>
              <w:spacing w:after="40"/>
              <w:rPr>
                <w:sz w:val="19"/>
              </w:rPr>
            </w:pPr>
            <w:r>
              <w:rPr>
                <w:sz w:val="19"/>
              </w:rPr>
              <w:t>30 Jan 1946</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1949</w:t>
            </w:r>
          </w:p>
        </w:tc>
        <w:tc>
          <w:tcPr>
            <w:tcW w:w="1124" w:type="dxa"/>
          </w:tcPr>
          <w:p>
            <w:pPr>
              <w:pStyle w:val="nTable"/>
              <w:spacing w:after="40"/>
              <w:rPr>
                <w:sz w:val="19"/>
              </w:rPr>
            </w:pPr>
            <w:r>
              <w:rPr>
                <w:sz w:val="19"/>
              </w:rPr>
              <w:t>8 of 1949</w:t>
            </w:r>
          </w:p>
        </w:tc>
        <w:tc>
          <w:tcPr>
            <w:tcW w:w="1121" w:type="dxa"/>
          </w:tcPr>
          <w:p>
            <w:pPr>
              <w:pStyle w:val="nTable"/>
              <w:spacing w:after="40"/>
              <w:rPr>
                <w:sz w:val="19"/>
              </w:rPr>
            </w:pPr>
            <w:r>
              <w:rPr>
                <w:sz w:val="19"/>
              </w:rPr>
              <w:t>14 Sep 1949</w:t>
            </w:r>
          </w:p>
        </w:tc>
        <w:tc>
          <w:tcPr>
            <w:tcW w:w="2518" w:type="dxa"/>
          </w:tcPr>
          <w:p>
            <w:pPr>
              <w:pStyle w:val="nTable"/>
              <w:spacing w:after="40"/>
              <w:rPr>
                <w:sz w:val="19"/>
              </w:rPr>
            </w:pPr>
            <w:r>
              <w:rPr>
                <w:sz w:val="19"/>
              </w:rPr>
              <w:t>14 Sep 1949</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1950</w:t>
            </w:r>
          </w:p>
        </w:tc>
        <w:tc>
          <w:tcPr>
            <w:tcW w:w="1124" w:type="dxa"/>
          </w:tcPr>
          <w:p>
            <w:pPr>
              <w:pStyle w:val="nTable"/>
              <w:spacing w:after="40"/>
              <w:rPr>
                <w:sz w:val="19"/>
              </w:rPr>
            </w:pPr>
            <w:r>
              <w:rPr>
                <w:sz w:val="19"/>
              </w:rPr>
              <w:t>55 of 1950</w:t>
            </w:r>
          </w:p>
        </w:tc>
        <w:tc>
          <w:tcPr>
            <w:tcW w:w="1121" w:type="dxa"/>
          </w:tcPr>
          <w:p>
            <w:pPr>
              <w:pStyle w:val="nTable"/>
              <w:spacing w:after="40"/>
              <w:rPr>
                <w:sz w:val="19"/>
              </w:rPr>
            </w:pPr>
            <w:r>
              <w:rPr>
                <w:sz w:val="19"/>
              </w:rPr>
              <w:t>18 Dec 1950</w:t>
            </w:r>
          </w:p>
        </w:tc>
        <w:tc>
          <w:tcPr>
            <w:tcW w:w="2518" w:type="dxa"/>
          </w:tcPr>
          <w:p>
            <w:pPr>
              <w:pStyle w:val="nTable"/>
              <w:spacing w:after="40"/>
              <w:rPr>
                <w:sz w:val="19"/>
              </w:rPr>
            </w:pPr>
            <w:r>
              <w:rPr>
                <w:sz w:val="19"/>
              </w:rPr>
              <w:t>18 Dec 1950</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1953</w:t>
            </w:r>
          </w:p>
        </w:tc>
        <w:tc>
          <w:tcPr>
            <w:tcW w:w="1124" w:type="dxa"/>
          </w:tcPr>
          <w:p>
            <w:pPr>
              <w:pStyle w:val="nTable"/>
              <w:spacing w:after="40"/>
              <w:rPr>
                <w:sz w:val="19"/>
              </w:rPr>
            </w:pPr>
            <w:r>
              <w:rPr>
                <w:sz w:val="19"/>
              </w:rPr>
              <w:t>62 of 1953</w:t>
            </w:r>
          </w:p>
        </w:tc>
        <w:tc>
          <w:tcPr>
            <w:tcW w:w="1121" w:type="dxa"/>
          </w:tcPr>
          <w:p>
            <w:pPr>
              <w:pStyle w:val="nTable"/>
              <w:spacing w:after="40"/>
              <w:rPr>
                <w:sz w:val="19"/>
              </w:rPr>
            </w:pPr>
            <w:r>
              <w:rPr>
                <w:sz w:val="19"/>
              </w:rPr>
              <w:t>9 Jan 1954</w:t>
            </w:r>
          </w:p>
        </w:tc>
        <w:tc>
          <w:tcPr>
            <w:tcW w:w="2518" w:type="dxa"/>
          </w:tcPr>
          <w:p>
            <w:pPr>
              <w:pStyle w:val="nTable"/>
              <w:spacing w:after="40"/>
              <w:rPr>
                <w:sz w:val="19"/>
              </w:rPr>
            </w:pPr>
            <w:r>
              <w:rPr>
                <w:sz w:val="19"/>
              </w:rPr>
              <w:t>9 Jan 1954</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(No. 2) 1953</w:t>
            </w:r>
          </w:p>
        </w:tc>
        <w:tc>
          <w:tcPr>
            <w:tcW w:w="1124" w:type="dxa"/>
          </w:tcPr>
          <w:p>
            <w:pPr>
              <w:pStyle w:val="nTable"/>
              <w:spacing w:after="40"/>
              <w:rPr>
                <w:sz w:val="19"/>
              </w:rPr>
            </w:pPr>
            <w:r>
              <w:rPr>
                <w:sz w:val="19"/>
              </w:rPr>
              <w:t>81 of 1953</w:t>
            </w:r>
          </w:p>
        </w:tc>
        <w:tc>
          <w:tcPr>
            <w:tcW w:w="1121" w:type="dxa"/>
          </w:tcPr>
          <w:p>
            <w:pPr>
              <w:pStyle w:val="nTable"/>
              <w:spacing w:after="40"/>
              <w:rPr>
                <w:sz w:val="19"/>
              </w:rPr>
            </w:pPr>
            <w:r>
              <w:rPr>
                <w:sz w:val="19"/>
              </w:rPr>
              <w:t>18 Jan 1954</w:t>
            </w:r>
          </w:p>
        </w:tc>
        <w:tc>
          <w:tcPr>
            <w:tcW w:w="2518" w:type="dxa"/>
          </w:tcPr>
          <w:p>
            <w:pPr>
              <w:pStyle w:val="nTable"/>
              <w:spacing w:after="40"/>
              <w:rPr>
                <w:sz w:val="19"/>
              </w:rPr>
            </w:pPr>
            <w:r>
              <w:rPr>
                <w:sz w:val="19"/>
              </w:rPr>
              <w:t>18 Jan 1954</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1954</w:t>
            </w:r>
          </w:p>
        </w:tc>
        <w:tc>
          <w:tcPr>
            <w:tcW w:w="1124" w:type="dxa"/>
          </w:tcPr>
          <w:p>
            <w:pPr>
              <w:pStyle w:val="nTable"/>
              <w:spacing w:after="40"/>
              <w:rPr>
                <w:sz w:val="19"/>
              </w:rPr>
            </w:pPr>
            <w:r>
              <w:rPr>
                <w:sz w:val="19"/>
              </w:rPr>
              <w:t>30 of 1954</w:t>
            </w:r>
          </w:p>
        </w:tc>
        <w:tc>
          <w:tcPr>
            <w:tcW w:w="1121" w:type="dxa"/>
          </w:tcPr>
          <w:p>
            <w:pPr>
              <w:pStyle w:val="nTable"/>
              <w:spacing w:after="40"/>
              <w:rPr>
                <w:sz w:val="19"/>
              </w:rPr>
            </w:pPr>
            <w:r>
              <w:rPr>
                <w:sz w:val="19"/>
              </w:rPr>
              <w:t>8 Nov 1954</w:t>
            </w:r>
          </w:p>
        </w:tc>
        <w:tc>
          <w:tcPr>
            <w:tcW w:w="2518" w:type="dxa"/>
          </w:tcPr>
          <w:p>
            <w:pPr>
              <w:pStyle w:val="nTable"/>
              <w:spacing w:after="40"/>
              <w:rPr>
                <w:sz w:val="19"/>
              </w:rPr>
            </w:pPr>
            <w:r>
              <w:rPr>
                <w:sz w:val="19"/>
              </w:rPr>
              <w:t>8 Nov 1954</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approved 21 Jun 1955 in Volume 9 of Reprinted Acts</w:t>
            </w:r>
            <w:r>
              <w:rPr>
                <w:sz w:val="19"/>
              </w:rPr>
              <w:t xml:space="preserve"> (includes amendments listed above)</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1955</w:t>
            </w:r>
          </w:p>
        </w:tc>
        <w:tc>
          <w:tcPr>
            <w:tcW w:w="1124" w:type="dxa"/>
          </w:tcPr>
          <w:p>
            <w:pPr>
              <w:pStyle w:val="nTable"/>
              <w:spacing w:after="40"/>
              <w:rPr>
                <w:sz w:val="19"/>
              </w:rPr>
            </w:pPr>
            <w:r>
              <w:rPr>
                <w:sz w:val="19"/>
              </w:rPr>
              <w:t>62 of 1955</w:t>
            </w:r>
          </w:p>
        </w:tc>
        <w:tc>
          <w:tcPr>
            <w:tcW w:w="1121" w:type="dxa"/>
          </w:tcPr>
          <w:p>
            <w:pPr>
              <w:pStyle w:val="nTable"/>
              <w:spacing w:after="40"/>
              <w:rPr>
                <w:sz w:val="19"/>
              </w:rPr>
            </w:pPr>
            <w:r>
              <w:rPr>
                <w:sz w:val="19"/>
              </w:rPr>
              <w:t>19 Dec 1955</w:t>
            </w:r>
          </w:p>
        </w:tc>
        <w:tc>
          <w:tcPr>
            <w:tcW w:w="2518" w:type="dxa"/>
          </w:tcPr>
          <w:p>
            <w:pPr>
              <w:pStyle w:val="nTable"/>
              <w:spacing w:after="40"/>
              <w:rPr>
                <w:sz w:val="19"/>
              </w:rPr>
            </w:pPr>
            <w:r>
              <w:rPr>
                <w:sz w:val="19"/>
              </w:rPr>
              <w:t>19 Dec 1955</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1956</w:t>
            </w:r>
          </w:p>
        </w:tc>
        <w:tc>
          <w:tcPr>
            <w:tcW w:w="1124" w:type="dxa"/>
          </w:tcPr>
          <w:p>
            <w:pPr>
              <w:pStyle w:val="nTable"/>
              <w:spacing w:after="40"/>
              <w:rPr>
                <w:sz w:val="19"/>
              </w:rPr>
            </w:pPr>
            <w:r>
              <w:rPr>
                <w:sz w:val="19"/>
              </w:rPr>
              <w:t>81 of 1956</w:t>
            </w:r>
          </w:p>
        </w:tc>
        <w:tc>
          <w:tcPr>
            <w:tcW w:w="1121" w:type="dxa"/>
          </w:tcPr>
          <w:p>
            <w:pPr>
              <w:pStyle w:val="nTable"/>
              <w:spacing w:after="40"/>
              <w:rPr>
                <w:sz w:val="19"/>
              </w:rPr>
            </w:pPr>
            <w:r>
              <w:rPr>
                <w:sz w:val="19"/>
              </w:rPr>
              <w:t>17 Jan 1957</w:t>
            </w:r>
          </w:p>
        </w:tc>
        <w:tc>
          <w:tcPr>
            <w:tcW w:w="2518" w:type="dxa"/>
          </w:tcPr>
          <w:p>
            <w:pPr>
              <w:pStyle w:val="nTable"/>
              <w:spacing w:after="40"/>
              <w:rPr>
                <w:sz w:val="19"/>
              </w:rPr>
            </w:pPr>
            <w:r>
              <w:rPr>
                <w:sz w:val="19"/>
              </w:rPr>
              <w:t xml:space="preserve">1 Feb 1957 (see s. 2 and </w:t>
            </w:r>
            <w:r>
              <w:rPr>
                <w:i/>
                <w:sz w:val="19"/>
              </w:rPr>
              <w:t>Gazette</w:t>
            </w:r>
            <w:r>
              <w:rPr>
                <w:sz w:val="19"/>
              </w:rPr>
              <w:t xml:space="preserve"> 1 Feb 1957 p. 161)</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approved 23 Apr 1958 in Volume 12 of Reprinted Acts</w:t>
            </w:r>
            <w:r>
              <w:rPr>
                <w:sz w:val="19"/>
              </w:rPr>
              <w:t xml:space="preserve"> (includes amendments listed above)</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1959</w:t>
            </w:r>
          </w:p>
        </w:tc>
        <w:tc>
          <w:tcPr>
            <w:tcW w:w="1124" w:type="dxa"/>
          </w:tcPr>
          <w:p>
            <w:pPr>
              <w:pStyle w:val="nTable"/>
              <w:spacing w:after="40"/>
              <w:rPr>
                <w:sz w:val="19"/>
              </w:rPr>
            </w:pPr>
            <w:r>
              <w:rPr>
                <w:sz w:val="19"/>
              </w:rPr>
              <w:t>56 of 1959</w:t>
            </w:r>
          </w:p>
        </w:tc>
        <w:tc>
          <w:tcPr>
            <w:tcW w:w="1121" w:type="dxa"/>
          </w:tcPr>
          <w:p>
            <w:pPr>
              <w:pStyle w:val="nTable"/>
              <w:spacing w:after="40"/>
              <w:rPr>
                <w:sz w:val="19"/>
              </w:rPr>
            </w:pPr>
            <w:r>
              <w:rPr>
                <w:sz w:val="19"/>
              </w:rPr>
              <w:t>25 Nov 1959</w:t>
            </w:r>
          </w:p>
        </w:tc>
        <w:tc>
          <w:tcPr>
            <w:tcW w:w="2518" w:type="dxa"/>
          </w:tcPr>
          <w:p>
            <w:pPr>
              <w:pStyle w:val="nTable"/>
              <w:spacing w:after="40"/>
              <w:rPr>
                <w:sz w:val="19"/>
              </w:rPr>
            </w:pPr>
            <w:r>
              <w:rPr>
                <w:sz w:val="19"/>
              </w:rPr>
              <w:t>25 Nov 1959</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1960</w:t>
            </w:r>
          </w:p>
        </w:tc>
        <w:tc>
          <w:tcPr>
            <w:tcW w:w="1124" w:type="dxa"/>
          </w:tcPr>
          <w:p>
            <w:pPr>
              <w:pStyle w:val="nTable"/>
              <w:spacing w:after="40"/>
              <w:rPr>
                <w:sz w:val="19"/>
              </w:rPr>
            </w:pPr>
            <w:r>
              <w:rPr>
                <w:sz w:val="19"/>
              </w:rPr>
              <w:t>21 of 1960</w:t>
            </w:r>
          </w:p>
        </w:tc>
        <w:tc>
          <w:tcPr>
            <w:tcW w:w="1121" w:type="dxa"/>
          </w:tcPr>
          <w:p>
            <w:pPr>
              <w:pStyle w:val="nTable"/>
              <w:spacing w:after="40"/>
              <w:rPr>
                <w:sz w:val="19"/>
              </w:rPr>
            </w:pPr>
            <w:r>
              <w:rPr>
                <w:sz w:val="19"/>
              </w:rPr>
              <w:t>11 Oct 1960</w:t>
            </w:r>
          </w:p>
        </w:tc>
        <w:tc>
          <w:tcPr>
            <w:tcW w:w="2518" w:type="dxa"/>
          </w:tcPr>
          <w:p>
            <w:pPr>
              <w:pStyle w:val="nTable"/>
              <w:spacing w:after="40"/>
              <w:rPr>
                <w:sz w:val="19"/>
              </w:rPr>
            </w:pPr>
            <w:r>
              <w:rPr>
                <w:sz w:val="19"/>
              </w:rPr>
              <w:t xml:space="preserve">25 Nov 1960 (see s. 2 and </w:t>
            </w:r>
            <w:r>
              <w:rPr>
                <w:i/>
                <w:sz w:val="19"/>
              </w:rPr>
              <w:t>Gazette</w:t>
            </w:r>
            <w:r>
              <w:rPr>
                <w:sz w:val="19"/>
              </w:rPr>
              <w:t xml:space="preserve"> 25 Nov 1960 p. 3779)</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1961</w:t>
            </w:r>
          </w:p>
        </w:tc>
        <w:tc>
          <w:tcPr>
            <w:tcW w:w="1124" w:type="dxa"/>
          </w:tcPr>
          <w:p>
            <w:pPr>
              <w:pStyle w:val="nTable"/>
              <w:spacing w:after="40"/>
              <w:rPr>
                <w:sz w:val="19"/>
              </w:rPr>
            </w:pPr>
            <w:r>
              <w:rPr>
                <w:sz w:val="19"/>
              </w:rPr>
              <w:t>57 of 1961</w:t>
            </w:r>
          </w:p>
        </w:tc>
        <w:tc>
          <w:tcPr>
            <w:tcW w:w="1121" w:type="dxa"/>
          </w:tcPr>
          <w:p>
            <w:pPr>
              <w:pStyle w:val="nTable"/>
              <w:spacing w:after="40"/>
              <w:rPr>
                <w:sz w:val="19"/>
              </w:rPr>
            </w:pPr>
            <w:r>
              <w:rPr>
                <w:sz w:val="19"/>
              </w:rPr>
              <w:t>28 Nov 1961</w:t>
            </w:r>
          </w:p>
        </w:tc>
        <w:tc>
          <w:tcPr>
            <w:tcW w:w="2518" w:type="dxa"/>
          </w:tcPr>
          <w:p>
            <w:pPr>
              <w:pStyle w:val="nTable"/>
              <w:spacing w:after="40"/>
              <w:rPr>
                <w:sz w:val="19"/>
              </w:rPr>
            </w:pPr>
            <w:r>
              <w:rPr>
                <w:sz w:val="19"/>
              </w:rPr>
              <w:t>28 Nov 1961</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1962</w:t>
            </w:r>
          </w:p>
        </w:tc>
        <w:tc>
          <w:tcPr>
            <w:tcW w:w="1124" w:type="dxa"/>
          </w:tcPr>
          <w:p>
            <w:pPr>
              <w:pStyle w:val="nTable"/>
              <w:spacing w:after="40"/>
              <w:rPr>
                <w:sz w:val="19"/>
              </w:rPr>
            </w:pPr>
            <w:r>
              <w:rPr>
                <w:sz w:val="19"/>
              </w:rPr>
              <w:t>80 of 1962</w:t>
            </w:r>
          </w:p>
        </w:tc>
        <w:tc>
          <w:tcPr>
            <w:tcW w:w="1121" w:type="dxa"/>
          </w:tcPr>
          <w:p>
            <w:pPr>
              <w:pStyle w:val="nTable"/>
              <w:spacing w:after="40"/>
              <w:rPr>
                <w:sz w:val="19"/>
              </w:rPr>
            </w:pPr>
            <w:r>
              <w:rPr>
                <w:sz w:val="19"/>
              </w:rPr>
              <w:t>6 Dec 1962</w:t>
            </w:r>
          </w:p>
        </w:tc>
        <w:tc>
          <w:tcPr>
            <w:tcW w:w="2518" w:type="dxa"/>
          </w:tcPr>
          <w:p>
            <w:pPr>
              <w:pStyle w:val="nTable"/>
              <w:spacing w:after="40"/>
              <w:rPr>
                <w:sz w:val="19"/>
              </w:rPr>
            </w:pPr>
            <w:r>
              <w:rPr>
                <w:sz w:val="19"/>
              </w:rPr>
              <w:t>1 Jan 1963 (see s. 2)</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1963</w:t>
            </w:r>
          </w:p>
        </w:tc>
        <w:tc>
          <w:tcPr>
            <w:tcW w:w="1124" w:type="dxa"/>
          </w:tcPr>
          <w:p>
            <w:pPr>
              <w:pStyle w:val="nTable"/>
              <w:spacing w:after="40"/>
              <w:rPr>
                <w:sz w:val="19"/>
              </w:rPr>
            </w:pPr>
            <w:r>
              <w:rPr>
                <w:sz w:val="19"/>
              </w:rPr>
              <w:t>66 of 1963</w:t>
            </w:r>
          </w:p>
        </w:tc>
        <w:tc>
          <w:tcPr>
            <w:tcW w:w="1121" w:type="dxa"/>
          </w:tcPr>
          <w:p>
            <w:pPr>
              <w:pStyle w:val="nTable"/>
              <w:spacing w:after="40"/>
              <w:rPr>
                <w:sz w:val="19"/>
              </w:rPr>
            </w:pPr>
            <w:r>
              <w:rPr>
                <w:sz w:val="19"/>
              </w:rPr>
              <w:t>18 Dec 1963</w:t>
            </w:r>
          </w:p>
        </w:tc>
        <w:tc>
          <w:tcPr>
            <w:tcW w:w="2518" w:type="dxa"/>
          </w:tcPr>
          <w:p>
            <w:pPr>
              <w:pStyle w:val="nTable"/>
              <w:spacing w:after="40"/>
              <w:rPr>
                <w:sz w:val="19"/>
              </w:rPr>
            </w:pPr>
            <w:r>
              <w:rPr>
                <w:sz w:val="19"/>
              </w:rPr>
              <w:t>18 Dec 1963</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1964</w:t>
            </w:r>
          </w:p>
        </w:tc>
        <w:tc>
          <w:tcPr>
            <w:tcW w:w="1124" w:type="dxa"/>
          </w:tcPr>
          <w:p>
            <w:pPr>
              <w:pStyle w:val="nTable"/>
              <w:spacing w:after="40"/>
              <w:rPr>
                <w:sz w:val="19"/>
              </w:rPr>
            </w:pPr>
            <w:r>
              <w:rPr>
                <w:sz w:val="19"/>
              </w:rPr>
              <w:t>57 of 1964</w:t>
            </w:r>
          </w:p>
        </w:tc>
        <w:tc>
          <w:tcPr>
            <w:tcW w:w="1121" w:type="dxa"/>
          </w:tcPr>
          <w:p>
            <w:pPr>
              <w:pStyle w:val="nTable"/>
              <w:spacing w:after="40"/>
              <w:rPr>
                <w:sz w:val="19"/>
              </w:rPr>
            </w:pPr>
            <w:r>
              <w:rPr>
                <w:sz w:val="19"/>
              </w:rPr>
              <w:t>30 Nov 1964</w:t>
            </w:r>
          </w:p>
        </w:tc>
        <w:tc>
          <w:tcPr>
            <w:tcW w:w="2518" w:type="dxa"/>
          </w:tcPr>
          <w:p>
            <w:pPr>
              <w:pStyle w:val="nTable"/>
              <w:spacing w:after="40"/>
              <w:rPr>
                <w:sz w:val="19"/>
              </w:rPr>
            </w:pPr>
            <w:r>
              <w:rPr>
                <w:sz w:val="19"/>
              </w:rPr>
              <w:t>30 Nov 1964</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1965</w:t>
            </w:r>
          </w:p>
        </w:tc>
        <w:tc>
          <w:tcPr>
            <w:tcW w:w="1124" w:type="dxa"/>
          </w:tcPr>
          <w:p>
            <w:pPr>
              <w:pStyle w:val="nTable"/>
              <w:spacing w:after="40"/>
              <w:rPr>
                <w:sz w:val="19"/>
              </w:rPr>
            </w:pPr>
            <w:r>
              <w:rPr>
                <w:sz w:val="19"/>
              </w:rPr>
              <w:t>78 of 1965</w:t>
            </w:r>
          </w:p>
        </w:tc>
        <w:tc>
          <w:tcPr>
            <w:tcW w:w="1121" w:type="dxa"/>
          </w:tcPr>
          <w:p>
            <w:pPr>
              <w:pStyle w:val="nTable"/>
              <w:spacing w:after="40"/>
              <w:rPr>
                <w:sz w:val="19"/>
              </w:rPr>
            </w:pPr>
            <w:r>
              <w:rPr>
                <w:sz w:val="19"/>
              </w:rPr>
              <w:t>7 Dec 1965</w:t>
            </w:r>
          </w:p>
        </w:tc>
        <w:tc>
          <w:tcPr>
            <w:tcW w:w="2518" w:type="dxa"/>
          </w:tcPr>
          <w:p>
            <w:pPr>
              <w:pStyle w:val="nTable"/>
              <w:spacing w:after="40"/>
              <w:rPr>
                <w:sz w:val="19"/>
              </w:rPr>
            </w:pPr>
            <w:r>
              <w:rPr>
                <w:sz w:val="19"/>
              </w:rPr>
              <w:t>7 Dec 1965</w:t>
            </w:r>
          </w:p>
        </w:tc>
      </w:tr>
      <w:tr>
        <w:trPr>
          <w:gridAfter w:val="1"/>
          <w:wAfter w:w="80" w:type="dxa"/>
          <w:cantSplit/>
        </w:trPr>
        <w:tc>
          <w:tcPr>
            <w:tcW w:w="2244" w:type="dxa"/>
            <w:gridSpan w:val="2"/>
          </w:tcPr>
          <w:p>
            <w:pPr>
              <w:pStyle w:val="nTable"/>
              <w:spacing w:after="40"/>
              <w:ind w:right="170"/>
              <w:rPr>
                <w:sz w:val="19"/>
              </w:rPr>
            </w:pPr>
            <w:r>
              <w:rPr>
                <w:i/>
                <w:sz w:val="19"/>
              </w:rPr>
              <w:t>Decimal Currency Act 1965</w:t>
            </w:r>
          </w:p>
        </w:tc>
        <w:tc>
          <w:tcPr>
            <w:tcW w:w="1124" w:type="dxa"/>
          </w:tcPr>
          <w:p>
            <w:pPr>
              <w:pStyle w:val="nTable"/>
              <w:spacing w:after="40"/>
              <w:rPr>
                <w:sz w:val="19"/>
              </w:rPr>
            </w:pPr>
            <w:r>
              <w:rPr>
                <w:sz w:val="19"/>
              </w:rPr>
              <w:t>113 of 1965</w:t>
            </w:r>
          </w:p>
        </w:tc>
        <w:tc>
          <w:tcPr>
            <w:tcW w:w="1121" w:type="dxa"/>
          </w:tcPr>
          <w:p>
            <w:pPr>
              <w:pStyle w:val="nTable"/>
              <w:spacing w:after="40"/>
              <w:rPr>
                <w:sz w:val="19"/>
              </w:rPr>
            </w:pPr>
            <w:r>
              <w:rPr>
                <w:sz w:val="19"/>
              </w:rPr>
              <w:t>21 Dec 1965</w:t>
            </w:r>
          </w:p>
        </w:tc>
        <w:tc>
          <w:tcPr>
            <w:tcW w:w="2518" w:type="dxa"/>
          </w:tcPr>
          <w:p>
            <w:pPr>
              <w:pStyle w:val="nTable"/>
              <w:spacing w:after="40"/>
              <w:rPr>
                <w:sz w:val="19"/>
              </w:rPr>
            </w:pPr>
            <w:r>
              <w:rPr>
                <w:sz w:val="19"/>
              </w:rPr>
              <w:t>Act other than s. 4-9: 21 Dec 1965 (see s. 2(1));</w:t>
            </w:r>
            <w:r>
              <w:rPr>
                <w:sz w:val="19"/>
              </w:rPr>
              <w:br/>
              <w:t>s. 4-9: 14 Feb 1966 (see s. 2(2))</w:t>
            </w:r>
          </w:p>
        </w:tc>
      </w:tr>
      <w:tr>
        <w:trPr>
          <w:gridAfter w:val="1"/>
          <w:wAfter w:w="80" w:type="dxa"/>
          <w:cantSplit/>
        </w:trPr>
        <w:tc>
          <w:tcPr>
            <w:tcW w:w="2244" w:type="dxa"/>
            <w:gridSpan w:val="2"/>
          </w:tcPr>
          <w:p>
            <w:pPr>
              <w:pStyle w:val="nTable"/>
              <w:keepNext/>
              <w:keepLines/>
              <w:spacing w:after="40"/>
              <w:ind w:right="170"/>
              <w:rPr>
                <w:sz w:val="19"/>
              </w:rPr>
            </w:pPr>
            <w:r>
              <w:rPr>
                <w:i/>
                <w:sz w:val="19"/>
              </w:rPr>
              <w:t>Administration Act Amendment Act 1966</w:t>
            </w:r>
          </w:p>
        </w:tc>
        <w:tc>
          <w:tcPr>
            <w:tcW w:w="1124" w:type="dxa"/>
          </w:tcPr>
          <w:p>
            <w:pPr>
              <w:pStyle w:val="nTable"/>
              <w:keepNext/>
              <w:keepLines/>
              <w:spacing w:after="40"/>
              <w:rPr>
                <w:sz w:val="19"/>
              </w:rPr>
            </w:pPr>
            <w:r>
              <w:rPr>
                <w:sz w:val="19"/>
              </w:rPr>
              <w:t>68 of 1966</w:t>
            </w:r>
          </w:p>
        </w:tc>
        <w:tc>
          <w:tcPr>
            <w:tcW w:w="1121" w:type="dxa"/>
          </w:tcPr>
          <w:p>
            <w:pPr>
              <w:pStyle w:val="nTable"/>
              <w:keepNext/>
              <w:keepLines/>
              <w:spacing w:after="40"/>
              <w:rPr>
                <w:sz w:val="19"/>
              </w:rPr>
            </w:pPr>
            <w:r>
              <w:rPr>
                <w:sz w:val="19"/>
              </w:rPr>
              <w:t>12 Dec 1966</w:t>
            </w:r>
          </w:p>
        </w:tc>
        <w:tc>
          <w:tcPr>
            <w:tcW w:w="2518" w:type="dxa"/>
          </w:tcPr>
          <w:p>
            <w:pPr>
              <w:pStyle w:val="nTable"/>
              <w:keepNext/>
              <w:keepLines/>
              <w:spacing w:after="40"/>
              <w:rPr>
                <w:sz w:val="19"/>
              </w:rPr>
            </w:pPr>
            <w:r>
              <w:rPr>
                <w:sz w:val="19"/>
              </w:rPr>
              <w:t>12 Dec 1966</w:t>
            </w:r>
          </w:p>
        </w:tc>
      </w:tr>
      <w:tr>
        <w:trPr>
          <w:gridAfter w:val="1"/>
          <w:wAfter w:w="80" w:type="dxa"/>
          <w:cantSplit/>
        </w:trPr>
        <w:tc>
          <w:tcPr>
            <w:tcW w:w="4489" w:type="dxa"/>
            <w:gridSpan w:val="4"/>
          </w:tcPr>
          <w:p>
            <w:pPr>
              <w:pStyle w:val="nTable"/>
              <w:spacing w:after="40"/>
              <w:rPr>
                <w:sz w:val="19"/>
              </w:rPr>
            </w:pPr>
            <w:r>
              <w:rPr>
                <w:sz w:val="19"/>
              </w:rPr>
              <w:t>Rules (3</w:t>
            </w:r>
            <w:r>
              <w:rPr>
                <w:rFonts w:ascii="Times" w:hAnsi="Times"/>
                <w:sz w:val="19"/>
              </w:rPr>
              <w:t>rd</w:t>
            </w:r>
            <w:r>
              <w:rPr>
                <w:sz w:val="19"/>
              </w:rPr>
              <w:t xml:space="preserve"> Schedule) Revoked by </w:t>
            </w:r>
            <w:r>
              <w:rPr>
                <w:i/>
                <w:iCs/>
                <w:sz w:val="19"/>
              </w:rPr>
              <w:t>Gazette</w:t>
            </w:r>
            <w:r>
              <w:rPr>
                <w:sz w:val="19"/>
              </w:rPr>
              <w:t xml:space="preserve"> 11 Sep 1967 p. 2249-64</w:t>
            </w:r>
          </w:p>
        </w:tc>
        <w:tc>
          <w:tcPr>
            <w:tcW w:w="2518" w:type="dxa"/>
          </w:tcPr>
          <w:p>
            <w:pPr>
              <w:pStyle w:val="nTable"/>
              <w:spacing w:after="40"/>
              <w:rPr>
                <w:sz w:val="19"/>
              </w:rPr>
            </w:pPr>
            <w:r>
              <w:rPr>
                <w:sz w:val="19"/>
              </w:rPr>
              <w:t>11 Sep 1967</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approved 11 Sep 1967 in Volume 21 of Reprinted Acts</w:t>
            </w:r>
            <w:r>
              <w:rPr>
                <w:sz w:val="19"/>
              </w:rPr>
              <w:t xml:space="preserve"> (includes amendments listed above except Rules (3rd Schedule))</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1969</w:t>
            </w:r>
          </w:p>
        </w:tc>
        <w:tc>
          <w:tcPr>
            <w:tcW w:w="1124" w:type="dxa"/>
          </w:tcPr>
          <w:p>
            <w:pPr>
              <w:pStyle w:val="nTable"/>
              <w:spacing w:after="40"/>
              <w:rPr>
                <w:sz w:val="19"/>
              </w:rPr>
            </w:pPr>
            <w:r>
              <w:rPr>
                <w:sz w:val="19"/>
              </w:rPr>
              <w:t>2 of 1969</w:t>
            </w:r>
          </w:p>
        </w:tc>
        <w:tc>
          <w:tcPr>
            <w:tcW w:w="1121" w:type="dxa"/>
          </w:tcPr>
          <w:p>
            <w:pPr>
              <w:pStyle w:val="nTable"/>
              <w:spacing w:after="40"/>
              <w:rPr>
                <w:sz w:val="19"/>
              </w:rPr>
            </w:pPr>
            <w:r>
              <w:rPr>
                <w:sz w:val="19"/>
              </w:rPr>
              <w:t>21 Apr 1969</w:t>
            </w:r>
          </w:p>
        </w:tc>
        <w:tc>
          <w:tcPr>
            <w:tcW w:w="2518" w:type="dxa"/>
          </w:tcPr>
          <w:p>
            <w:pPr>
              <w:pStyle w:val="nTable"/>
              <w:spacing w:after="40"/>
              <w:rPr>
                <w:sz w:val="19"/>
              </w:rPr>
            </w:pPr>
            <w:r>
              <w:rPr>
                <w:sz w:val="19"/>
              </w:rPr>
              <w:t>21 Apr 1969</w:t>
            </w:r>
          </w:p>
        </w:tc>
      </w:tr>
      <w:tr>
        <w:trPr>
          <w:gridAfter w:val="1"/>
          <w:wAfter w:w="80" w:type="dxa"/>
          <w:cantSplit/>
        </w:trPr>
        <w:tc>
          <w:tcPr>
            <w:tcW w:w="2244" w:type="dxa"/>
            <w:gridSpan w:val="2"/>
          </w:tcPr>
          <w:p>
            <w:pPr>
              <w:pStyle w:val="nTable"/>
              <w:spacing w:after="40"/>
              <w:ind w:right="170"/>
              <w:rPr>
                <w:sz w:val="19"/>
              </w:rPr>
            </w:pPr>
            <w:r>
              <w:rPr>
                <w:i/>
                <w:sz w:val="19"/>
              </w:rPr>
              <w:t>Acts Amendment (Commissioner of State Taxation) Act 1970</w:t>
            </w:r>
            <w:r>
              <w:rPr>
                <w:sz w:val="19"/>
              </w:rPr>
              <w:t xml:space="preserve"> Pt. XII</w:t>
            </w:r>
          </w:p>
        </w:tc>
        <w:tc>
          <w:tcPr>
            <w:tcW w:w="1124" w:type="dxa"/>
          </w:tcPr>
          <w:p>
            <w:pPr>
              <w:pStyle w:val="nTable"/>
              <w:spacing w:after="40"/>
              <w:rPr>
                <w:sz w:val="19"/>
              </w:rPr>
            </w:pPr>
            <w:r>
              <w:rPr>
                <w:sz w:val="19"/>
              </w:rPr>
              <w:t>21 of 1970</w:t>
            </w:r>
          </w:p>
        </w:tc>
        <w:tc>
          <w:tcPr>
            <w:tcW w:w="1121" w:type="dxa"/>
          </w:tcPr>
          <w:p>
            <w:pPr>
              <w:pStyle w:val="nTable"/>
              <w:spacing w:after="40"/>
              <w:rPr>
                <w:sz w:val="19"/>
              </w:rPr>
            </w:pPr>
            <w:r>
              <w:rPr>
                <w:sz w:val="19"/>
              </w:rPr>
              <w:t>8 May 1970</w:t>
            </w:r>
          </w:p>
        </w:tc>
        <w:tc>
          <w:tcPr>
            <w:tcW w:w="2518"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gridAfter w:val="1"/>
          <w:wAfter w:w="80" w:type="dxa"/>
          <w:cantSplit/>
        </w:trPr>
        <w:tc>
          <w:tcPr>
            <w:tcW w:w="2244" w:type="dxa"/>
            <w:gridSpan w:val="2"/>
          </w:tcPr>
          <w:p>
            <w:pPr>
              <w:pStyle w:val="nTable"/>
              <w:spacing w:after="40"/>
              <w:ind w:right="170"/>
              <w:rPr>
                <w:iCs/>
                <w:sz w:val="19"/>
              </w:rPr>
            </w:pPr>
            <w:r>
              <w:rPr>
                <w:i/>
                <w:sz w:val="19"/>
              </w:rPr>
              <w:t>Administration Act Amendment Act 1970</w:t>
            </w:r>
            <w:r>
              <w:rPr>
                <w:iCs/>
                <w:sz w:val="19"/>
                <w:vertAlign w:val="superscript"/>
              </w:rPr>
              <w:t> 8</w:t>
            </w:r>
          </w:p>
        </w:tc>
        <w:tc>
          <w:tcPr>
            <w:tcW w:w="1124" w:type="dxa"/>
          </w:tcPr>
          <w:p>
            <w:pPr>
              <w:pStyle w:val="nTable"/>
              <w:spacing w:after="40"/>
              <w:rPr>
                <w:sz w:val="19"/>
              </w:rPr>
            </w:pPr>
            <w:r>
              <w:rPr>
                <w:sz w:val="19"/>
              </w:rPr>
              <w:t>107 of 1970</w:t>
            </w:r>
          </w:p>
        </w:tc>
        <w:tc>
          <w:tcPr>
            <w:tcW w:w="1121" w:type="dxa"/>
          </w:tcPr>
          <w:p>
            <w:pPr>
              <w:pStyle w:val="nTable"/>
              <w:spacing w:after="40"/>
              <w:rPr>
                <w:sz w:val="19"/>
              </w:rPr>
            </w:pPr>
            <w:r>
              <w:rPr>
                <w:sz w:val="19"/>
              </w:rPr>
              <w:t>8 Dec 1970</w:t>
            </w:r>
          </w:p>
        </w:tc>
        <w:tc>
          <w:tcPr>
            <w:tcW w:w="2518" w:type="dxa"/>
          </w:tcPr>
          <w:p>
            <w:pPr>
              <w:pStyle w:val="nTable"/>
              <w:spacing w:after="40"/>
              <w:rPr>
                <w:sz w:val="19"/>
              </w:rPr>
            </w:pPr>
            <w:r>
              <w:rPr>
                <w:sz w:val="19"/>
              </w:rPr>
              <w:t>Act other than s. 3, 4 and 11: 8 Dec 1970 (see s. 2(1));</w:t>
            </w:r>
            <w:r>
              <w:rPr>
                <w:sz w:val="19"/>
              </w:rPr>
              <w:br/>
              <w:t>s. 3, 4 and 11: 1 Jan 1971 (see s. 2(1))</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approved 23 Jun 1971</w:t>
            </w:r>
            <w:r>
              <w:rPr>
                <w:sz w:val="19"/>
              </w:rPr>
              <w:t xml:space="preserve"> (includes amendments listed above)</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1971</w:t>
            </w:r>
          </w:p>
        </w:tc>
        <w:tc>
          <w:tcPr>
            <w:tcW w:w="1124" w:type="dxa"/>
          </w:tcPr>
          <w:p>
            <w:pPr>
              <w:pStyle w:val="nTable"/>
              <w:spacing w:after="40"/>
              <w:rPr>
                <w:sz w:val="19"/>
              </w:rPr>
            </w:pPr>
            <w:r>
              <w:rPr>
                <w:sz w:val="19"/>
              </w:rPr>
              <w:t>18 of 1971</w:t>
            </w:r>
          </w:p>
        </w:tc>
        <w:tc>
          <w:tcPr>
            <w:tcW w:w="1121" w:type="dxa"/>
          </w:tcPr>
          <w:p>
            <w:pPr>
              <w:pStyle w:val="nTable"/>
              <w:spacing w:after="40"/>
              <w:rPr>
                <w:sz w:val="19"/>
              </w:rPr>
            </w:pPr>
            <w:r>
              <w:rPr>
                <w:sz w:val="19"/>
              </w:rPr>
              <w:t>1 Dec 1971</w:t>
            </w:r>
          </w:p>
        </w:tc>
        <w:tc>
          <w:tcPr>
            <w:tcW w:w="2518" w:type="dxa"/>
          </w:tcPr>
          <w:p>
            <w:pPr>
              <w:pStyle w:val="nTable"/>
              <w:spacing w:after="40"/>
              <w:rPr>
                <w:sz w:val="19"/>
              </w:rPr>
            </w:pPr>
            <w:r>
              <w:rPr>
                <w:sz w:val="19"/>
              </w:rPr>
              <w:t xml:space="preserve">21 Jan 1972 (see s. 2 and </w:t>
            </w:r>
            <w:r>
              <w:rPr>
                <w:i/>
                <w:sz w:val="19"/>
              </w:rPr>
              <w:t>Gazette</w:t>
            </w:r>
            <w:r>
              <w:rPr>
                <w:sz w:val="19"/>
              </w:rPr>
              <w:t xml:space="preserve"> 21 Jan 1972 p. 71)</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(No. 2) 1971</w:t>
            </w:r>
          </w:p>
        </w:tc>
        <w:tc>
          <w:tcPr>
            <w:tcW w:w="1124" w:type="dxa"/>
          </w:tcPr>
          <w:p>
            <w:pPr>
              <w:pStyle w:val="nTable"/>
              <w:spacing w:after="40"/>
              <w:rPr>
                <w:sz w:val="19"/>
              </w:rPr>
            </w:pPr>
            <w:r>
              <w:rPr>
                <w:sz w:val="19"/>
              </w:rPr>
              <w:t>40 of 1971</w:t>
            </w:r>
          </w:p>
        </w:tc>
        <w:tc>
          <w:tcPr>
            <w:tcW w:w="1121" w:type="dxa"/>
          </w:tcPr>
          <w:p>
            <w:pPr>
              <w:pStyle w:val="nTable"/>
              <w:spacing w:after="40"/>
              <w:rPr>
                <w:sz w:val="19"/>
              </w:rPr>
            </w:pPr>
            <w:r>
              <w:rPr>
                <w:sz w:val="19"/>
              </w:rPr>
              <w:t>10 Dec 1971</w:t>
            </w:r>
          </w:p>
        </w:tc>
        <w:tc>
          <w:tcPr>
            <w:tcW w:w="2518" w:type="dxa"/>
          </w:tcPr>
          <w:p>
            <w:pPr>
              <w:pStyle w:val="nTable"/>
              <w:spacing w:after="40"/>
              <w:rPr>
                <w:sz w:val="19"/>
              </w:rPr>
            </w:pPr>
            <w:r>
              <w:rPr>
                <w:sz w:val="19"/>
              </w:rPr>
              <w:t>10 Dec 1971</w:t>
            </w:r>
          </w:p>
        </w:tc>
      </w:tr>
      <w:tr>
        <w:trPr>
          <w:gridAfter w:val="1"/>
          <w:wAfter w:w="80" w:type="dxa"/>
          <w:cantSplit/>
        </w:trPr>
        <w:tc>
          <w:tcPr>
            <w:tcW w:w="2244" w:type="dxa"/>
            <w:gridSpan w:val="2"/>
          </w:tcPr>
          <w:p>
            <w:pPr>
              <w:pStyle w:val="nTable"/>
              <w:spacing w:after="40"/>
              <w:ind w:right="170"/>
              <w:rPr>
                <w:sz w:val="19"/>
              </w:rPr>
            </w:pPr>
            <w:r>
              <w:rPr>
                <w:i/>
                <w:sz w:val="19"/>
              </w:rPr>
              <w:t>Age of Majority Act 1972</w:t>
            </w:r>
            <w:r>
              <w:rPr>
                <w:sz w:val="19"/>
              </w:rPr>
              <w:t xml:space="preserve"> s. 6(2)</w:t>
            </w:r>
          </w:p>
        </w:tc>
        <w:tc>
          <w:tcPr>
            <w:tcW w:w="1124" w:type="dxa"/>
          </w:tcPr>
          <w:p>
            <w:pPr>
              <w:pStyle w:val="nTable"/>
              <w:spacing w:after="40"/>
              <w:rPr>
                <w:sz w:val="19"/>
              </w:rPr>
            </w:pPr>
            <w:r>
              <w:rPr>
                <w:sz w:val="19"/>
              </w:rPr>
              <w:t>46 of 1972</w:t>
            </w:r>
          </w:p>
        </w:tc>
        <w:tc>
          <w:tcPr>
            <w:tcW w:w="1121" w:type="dxa"/>
          </w:tcPr>
          <w:p>
            <w:pPr>
              <w:pStyle w:val="nTable"/>
              <w:spacing w:after="40"/>
              <w:rPr>
                <w:sz w:val="19"/>
              </w:rPr>
            </w:pPr>
            <w:r>
              <w:rPr>
                <w:sz w:val="19"/>
              </w:rPr>
              <w:t>18 Sep 1972</w:t>
            </w:r>
          </w:p>
        </w:tc>
        <w:tc>
          <w:tcPr>
            <w:tcW w:w="2518"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gridAfter w:val="1"/>
          <w:wAfter w:w="80" w:type="dxa"/>
          <w:cantSplit/>
        </w:trPr>
        <w:tc>
          <w:tcPr>
            <w:tcW w:w="2244" w:type="dxa"/>
            <w:gridSpan w:val="2"/>
          </w:tcPr>
          <w:p>
            <w:pPr>
              <w:pStyle w:val="nTable"/>
              <w:spacing w:after="40"/>
              <w:ind w:right="170"/>
              <w:rPr>
                <w:sz w:val="19"/>
              </w:rPr>
            </w:pPr>
            <w:r>
              <w:rPr>
                <w:i/>
                <w:sz w:val="19"/>
              </w:rPr>
              <w:t>Inheritance (Family and Dependants Provision) Act 1972</w:t>
            </w:r>
            <w:r>
              <w:rPr>
                <w:sz w:val="19"/>
              </w:rPr>
              <w:t xml:space="preserve"> s. 3(2)</w:t>
            </w:r>
          </w:p>
        </w:tc>
        <w:tc>
          <w:tcPr>
            <w:tcW w:w="1124" w:type="dxa"/>
          </w:tcPr>
          <w:p>
            <w:pPr>
              <w:pStyle w:val="nTable"/>
              <w:spacing w:after="40"/>
              <w:rPr>
                <w:sz w:val="19"/>
              </w:rPr>
            </w:pPr>
            <w:r>
              <w:rPr>
                <w:sz w:val="19"/>
              </w:rPr>
              <w:t>57 of 1972</w:t>
            </w:r>
          </w:p>
        </w:tc>
        <w:tc>
          <w:tcPr>
            <w:tcW w:w="1121" w:type="dxa"/>
          </w:tcPr>
          <w:p>
            <w:pPr>
              <w:pStyle w:val="nTable"/>
              <w:spacing w:after="40"/>
              <w:rPr>
                <w:sz w:val="19"/>
              </w:rPr>
            </w:pPr>
            <w:r>
              <w:rPr>
                <w:sz w:val="19"/>
              </w:rPr>
              <w:t>31 Oct 1972</w:t>
            </w:r>
          </w:p>
        </w:tc>
        <w:tc>
          <w:tcPr>
            <w:tcW w:w="2518" w:type="dxa"/>
          </w:tcPr>
          <w:p>
            <w:pPr>
              <w:pStyle w:val="nTable"/>
              <w:spacing w:after="40"/>
              <w:rPr>
                <w:sz w:val="19"/>
              </w:rPr>
            </w:pPr>
            <w:r>
              <w:rPr>
                <w:sz w:val="19"/>
              </w:rPr>
              <w:t>1 Jan 1973 (see s. 2 and </w:t>
            </w:r>
            <w:r>
              <w:rPr>
                <w:i/>
                <w:sz w:val="19"/>
              </w:rPr>
              <w:t>Gazette</w:t>
            </w:r>
            <w:r>
              <w:rPr>
                <w:sz w:val="19"/>
              </w:rPr>
              <w:t xml:space="preserve"> 17 Nov 1972 p. 4379)</w:t>
            </w:r>
          </w:p>
        </w:tc>
      </w:tr>
      <w:tr>
        <w:trPr>
          <w:gridAfter w:val="1"/>
          <w:wAfter w:w="80" w:type="dxa"/>
          <w:cantSplit/>
        </w:trPr>
        <w:tc>
          <w:tcPr>
            <w:tcW w:w="2244" w:type="dxa"/>
            <w:gridSpan w:val="2"/>
          </w:tcPr>
          <w:p>
            <w:pPr>
              <w:pStyle w:val="nTable"/>
              <w:spacing w:after="40"/>
              <w:ind w:right="170"/>
              <w:rPr>
                <w:sz w:val="19"/>
              </w:rPr>
            </w:pPr>
            <w:r>
              <w:rPr>
                <w:i/>
                <w:sz w:val="19"/>
              </w:rPr>
              <w:t>Metric Conversion Act 1972</w:t>
            </w:r>
          </w:p>
        </w:tc>
        <w:tc>
          <w:tcPr>
            <w:tcW w:w="1124" w:type="dxa"/>
          </w:tcPr>
          <w:p>
            <w:pPr>
              <w:pStyle w:val="nTable"/>
              <w:spacing w:after="40"/>
              <w:rPr>
                <w:sz w:val="19"/>
              </w:rPr>
            </w:pPr>
            <w:r>
              <w:rPr>
                <w:sz w:val="19"/>
              </w:rPr>
              <w:t>94 of 1972</w:t>
            </w:r>
            <w:r>
              <w:rPr>
                <w:sz w:val="19"/>
              </w:rPr>
              <w:br/>
              <w:t>(as amended by No. 19 of 1973 s. 4)</w:t>
            </w:r>
          </w:p>
        </w:tc>
        <w:tc>
          <w:tcPr>
            <w:tcW w:w="1121" w:type="dxa"/>
          </w:tcPr>
          <w:p>
            <w:pPr>
              <w:pStyle w:val="nTable"/>
              <w:spacing w:after="40"/>
              <w:rPr>
                <w:sz w:val="19"/>
              </w:rPr>
            </w:pPr>
            <w:r>
              <w:rPr>
                <w:sz w:val="19"/>
              </w:rPr>
              <w:t>4 Dec 1972</w:t>
            </w:r>
          </w:p>
        </w:tc>
        <w:tc>
          <w:tcPr>
            <w:tcW w:w="2518" w:type="dxa"/>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4108)</w:t>
            </w:r>
          </w:p>
        </w:tc>
      </w:tr>
      <w:tr>
        <w:trPr>
          <w:gridAfter w:val="1"/>
          <w:wAfter w:w="80" w:type="dxa"/>
          <w:cantSplit/>
        </w:trPr>
        <w:tc>
          <w:tcPr>
            <w:tcW w:w="2244" w:type="dxa"/>
            <w:gridSpan w:val="2"/>
          </w:tcPr>
          <w:p>
            <w:pPr>
              <w:pStyle w:val="nTable"/>
              <w:spacing w:after="40"/>
              <w:ind w:right="170"/>
              <w:rPr>
                <w:sz w:val="19"/>
              </w:rPr>
            </w:pPr>
            <w:r>
              <w:rPr>
                <w:i/>
                <w:sz w:val="19"/>
              </w:rPr>
              <w:t>Death Duty Assessment Act 1973</w:t>
            </w:r>
            <w:r>
              <w:rPr>
                <w:sz w:val="19"/>
              </w:rPr>
              <w:t xml:space="preserve"> s. 3</w:t>
            </w:r>
            <w:r>
              <w:rPr>
                <w:sz w:val="19"/>
                <w:vertAlign w:val="superscript"/>
              </w:rPr>
              <w:t> 10</w:t>
            </w:r>
          </w:p>
        </w:tc>
        <w:tc>
          <w:tcPr>
            <w:tcW w:w="1124" w:type="dxa"/>
          </w:tcPr>
          <w:p>
            <w:pPr>
              <w:pStyle w:val="nTable"/>
              <w:keepNext/>
              <w:keepLines/>
              <w:spacing w:after="40"/>
              <w:rPr>
                <w:sz w:val="19"/>
              </w:rPr>
            </w:pPr>
            <w:r>
              <w:rPr>
                <w:sz w:val="19"/>
              </w:rPr>
              <w:t>80 of 1973</w:t>
            </w:r>
          </w:p>
        </w:tc>
        <w:tc>
          <w:tcPr>
            <w:tcW w:w="1121" w:type="dxa"/>
          </w:tcPr>
          <w:p>
            <w:pPr>
              <w:pStyle w:val="nTable"/>
              <w:spacing w:after="40"/>
              <w:rPr>
                <w:sz w:val="19"/>
              </w:rPr>
            </w:pPr>
            <w:r>
              <w:rPr>
                <w:sz w:val="19"/>
              </w:rPr>
              <w:t>21 Dec 1973</w:t>
            </w:r>
          </w:p>
        </w:tc>
        <w:tc>
          <w:tcPr>
            <w:tcW w:w="2518" w:type="dxa"/>
          </w:tcPr>
          <w:p>
            <w:pPr>
              <w:pStyle w:val="nTable"/>
              <w:spacing w:after="40"/>
              <w:rPr>
                <w:sz w:val="19"/>
              </w:rPr>
            </w:pPr>
            <w:r>
              <w:rPr>
                <w:sz w:val="19"/>
              </w:rPr>
              <w:t>1 Jan 1974 (see s. 2 and </w:t>
            </w:r>
            <w:r>
              <w:rPr>
                <w:i/>
                <w:sz w:val="19"/>
              </w:rPr>
              <w:t>Gazette</w:t>
            </w:r>
            <w:r>
              <w:rPr>
                <w:sz w:val="19"/>
              </w:rPr>
              <w:t xml:space="preserve"> 28 Dec 1973 p. 4725)</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approved 17 Aug 1975</w:t>
            </w:r>
            <w:r>
              <w:rPr>
                <w:sz w:val="19"/>
              </w:rPr>
              <w:t xml:space="preserve"> (includes amendments listed above)</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1976</w:t>
            </w:r>
          </w:p>
        </w:tc>
        <w:tc>
          <w:tcPr>
            <w:tcW w:w="1124" w:type="dxa"/>
          </w:tcPr>
          <w:p>
            <w:pPr>
              <w:pStyle w:val="nTable"/>
              <w:spacing w:after="40"/>
              <w:rPr>
                <w:sz w:val="19"/>
              </w:rPr>
            </w:pPr>
            <w:r>
              <w:rPr>
                <w:sz w:val="19"/>
              </w:rPr>
              <w:t>138 of 1976</w:t>
            </w:r>
          </w:p>
        </w:tc>
        <w:tc>
          <w:tcPr>
            <w:tcW w:w="1121" w:type="dxa"/>
          </w:tcPr>
          <w:p>
            <w:pPr>
              <w:pStyle w:val="nTable"/>
              <w:spacing w:after="40"/>
              <w:rPr>
                <w:sz w:val="19"/>
              </w:rPr>
            </w:pPr>
            <w:r>
              <w:rPr>
                <w:sz w:val="19"/>
              </w:rPr>
              <w:t>13 Dec 1976</w:t>
            </w:r>
          </w:p>
        </w:tc>
        <w:tc>
          <w:tcPr>
            <w:tcW w:w="2518" w:type="dxa"/>
          </w:tcPr>
          <w:p>
            <w:pPr>
              <w:pStyle w:val="nTable"/>
              <w:spacing w:after="40"/>
              <w:rPr>
                <w:sz w:val="19"/>
              </w:rPr>
            </w:pPr>
            <w:r>
              <w:rPr>
                <w:sz w:val="19"/>
              </w:rPr>
              <w:t>Act other than s. 3</w:t>
            </w:r>
            <w:r>
              <w:rPr>
                <w:sz w:val="19"/>
              </w:rPr>
              <w:noBreakHyphen/>
              <w:t>16: 1 Mar 1977 (see s. 2(3));</w:t>
            </w:r>
            <w:r>
              <w:rPr>
                <w:sz w:val="19"/>
              </w:rPr>
              <w:br/>
              <w:t xml:space="preserve">s. 3, 4 and 16: 1 Mar 1977 (see s. 2(1) and </w:t>
            </w:r>
            <w:r>
              <w:rPr>
                <w:i/>
                <w:sz w:val="19"/>
              </w:rPr>
              <w:t>Gazette</w:t>
            </w:r>
            <w:r>
              <w:rPr>
                <w:sz w:val="19"/>
              </w:rPr>
              <w:t xml:space="preserve"> 28 Jan 1977 p. 185</w:t>
            </w:r>
            <w:r>
              <w:rPr>
                <w:sz w:val="19"/>
              </w:rPr>
              <w:noBreakHyphen/>
              <w:t>6);</w:t>
            </w:r>
            <w:r>
              <w:rPr>
                <w:sz w:val="19"/>
              </w:rPr>
              <w:br/>
              <w:t xml:space="preserve">s. 5-15: 1 Dec 1977 (see s. 2(2) and </w:t>
            </w:r>
            <w:r>
              <w:rPr>
                <w:i/>
                <w:sz w:val="19"/>
              </w:rPr>
              <w:t>Gazette</w:t>
            </w:r>
            <w:r>
              <w:rPr>
                <w:sz w:val="19"/>
              </w:rPr>
              <w:t xml:space="preserve"> 11 Nov 1977 p. 4193)</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1977</w:t>
            </w:r>
          </w:p>
        </w:tc>
        <w:tc>
          <w:tcPr>
            <w:tcW w:w="1124" w:type="dxa"/>
          </w:tcPr>
          <w:p>
            <w:pPr>
              <w:pStyle w:val="nTable"/>
              <w:spacing w:after="40"/>
              <w:rPr>
                <w:sz w:val="19"/>
              </w:rPr>
            </w:pPr>
            <w:r>
              <w:rPr>
                <w:sz w:val="19"/>
              </w:rPr>
              <w:t>37 of 1977</w:t>
            </w:r>
          </w:p>
        </w:tc>
        <w:tc>
          <w:tcPr>
            <w:tcW w:w="1121" w:type="dxa"/>
          </w:tcPr>
          <w:p>
            <w:pPr>
              <w:pStyle w:val="nTable"/>
              <w:spacing w:after="40"/>
              <w:rPr>
                <w:sz w:val="19"/>
              </w:rPr>
            </w:pPr>
            <w:r>
              <w:rPr>
                <w:sz w:val="19"/>
              </w:rPr>
              <w:t>7 Nov 1977</w:t>
            </w:r>
          </w:p>
        </w:tc>
        <w:tc>
          <w:tcPr>
            <w:tcW w:w="2518" w:type="dxa"/>
          </w:tcPr>
          <w:p>
            <w:pPr>
              <w:pStyle w:val="nTable"/>
              <w:spacing w:after="40"/>
              <w:rPr>
                <w:sz w:val="19"/>
              </w:rPr>
            </w:pPr>
            <w:r>
              <w:rPr>
                <w:sz w:val="19"/>
              </w:rPr>
              <w:t xml:space="preserve">1 Dec 1977 (see s. 2 and </w:t>
            </w:r>
            <w:r>
              <w:rPr>
                <w:i/>
                <w:sz w:val="19"/>
              </w:rPr>
              <w:t>Gazette</w:t>
            </w:r>
            <w:r>
              <w:rPr>
                <w:sz w:val="19"/>
              </w:rPr>
              <w:t xml:space="preserve"> 25 Nov 1977 p. 4345)</w:t>
            </w:r>
          </w:p>
        </w:tc>
      </w:tr>
      <w:tr>
        <w:trPr>
          <w:gridAfter w:val="1"/>
          <w:wAfter w:w="80" w:type="dxa"/>
          <w:cantSplit/>
        </w:trPr>
        <w:tc>
          <w:tcPr>
            <w:tcW w:w="2244" w:type="dxa"/>
            <w:gridSpan w:val="2"/>
          </w:tcPr>
          <w:p>
            <w:pPr>
              <w:pStyle w:val="nTable"/>
              <w:spacing w:after="40"/>
              <w:ind w:right="170"/>
              <w:rPr>
                <w:sz w:val="19"/>
              </w:rPr>
            </w:pPr>
            <w:r>
              <w:rPr>
                <w:i/>
                <w:sz w:val="19"/>
              </w:rPr>
              <w:t>Acts Amendment (Master, Supreme Court) Act 1979</w:t>
            </w:r>
            <w:r>
              <w:rPr>
                <w:sz w:val="19"/>
              </w:rPr>
              <w:t xml:space="preserve"> Pt. VIII</w:t>
            </w:r>
          </w:p>
        </w:tc>
        <w:tc>
          <w:tcPr>
            <w:tcW w:w="1124" w:type="dxa"/>
          </w:tcPr>
          <w:p>
            <w:pPr>
              <w:pStyle w:val="nTable"/>
              <w:spacing w:after="40"/>
              <w:rPr>
                <w:sz w:val="19"/>
              </w:rPr>
            </w:pPr>
            <w:r>
              <w:rPr>
                <w:sz w:val="19"/>
              </w:rPr>
              <w:t>67 of 1979</w:t>
            </w:r>
          </w:p>
        </w:tc>
        <w:tc>
          <w:tcPr>
            <w:tcW w:w="1121" w:type="dxa"/>
          </w:tcPr>
          <w:p>
            <w:pPr>
              <w:pStyle w:val="nTable"/>
              <w:spacing w:after="40"/>
              <w:rPr>
                <w:sz w:val="19"/>
              </w:rPr>
            </w:pPr>
            <w:r>
              <w:rPr>
                <w:sz w:val="19"/>
              </w:rPr>
              <w:t>21 Nov 1979</w:t>
            </w:r>
          </w:p>
        </w:tc>
        <w:tc>
          <w:tcPr>
            <w:tcW w:w="2518"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80" w:type="dxa"/>
          <w:cantSplit/>
        </w:trPr>
        <w:tc>
          <w:tcPr>
            <w:tcW w:w="2244" w:type="dxa"/>
            <w:gridSpan w:val="2"/>
          </w:tcPr>
          <w:p>
            <w:pPr>
              <w:pStyle w:val="nTable"/>
              <w:spacing w:after="40"/>
              <w:ind w:right="170"/>
              <w:rPr>
                <w:sz w:val="19"/>
              </w:rPr>
            </w:pPr>
            <w:r>
              <w:rPr>
                <w:i/>
                <w:sz w:val="19"/>
              </w:rPr>
              <w:t>Administration Act Amendment Act 1979</w:t>
            </w:r>
          </w:p>
        </w:tc>
        <w:tc>
          <w:tcPr>
            <w:tcW w:w="1124" w:type="dxa"/>
          </w:tcPr>
          <w:p>
            <w:pPr>
              <w:pStyle w:val="nTable"/>
              <w:spacing w:after="40"/>
              <w:rPr>
                <w:sz w:val="19"/>
              </w:rPr>
            </w:pPr>
            <w:r>
              <w:rPr>
                <w:sz w:val="19"/>
              </w:rPr>
              <w:t>103 of 1979</w:t>
            </w:r>
          </w:p>
        </w:tc>
        <w:tc>
          <w:tcPr>
            <w:tcW w:w="1121" w:type="dxa"/>
          </w:tcPr>
          <w:p>
            <w:pPr>
              <w:pStyle w:val="nTable"/>
              <w:spacing w:after="40"/>
              <w:rPr>
                <w:sz w:val="19"/>
              </w:rPr>
            </w:pPr>
            <w:r>
              <w:rPr>
                <w:sz w:val="19"/>
              </w:rPr>
              <w:t>17 Dec 1979</w:t>
            </w:r>
          </w:p>
        </w:tc>
        <w:tc>
          <w:tcPr>
            <w:tcW w:w="2518" w:type="dxa"/>
          </w:tcPr>
          <w:p>
            <w:pPr>
              <w:pStyle w:val="nTable"/>
              <w:spacing w:after="40"/>
              <w:rPr>
                <w:sz w:val="19"/>
              </w:rPr>
            </w:pPr>
            <w:r>
              <w:rPr>
                <w:sz w:val="19"/>
              </w:rPr>
              <w:t xml:space="preserve">24 Apr 1980 (see s. 2 and </w:t>
            </w:r>
            <w:r>
              <w:rPr>
                <w:i/>
                <w:sz w:val="19"/>
              </w:rPr>
              <w:t>Gazette</w:t>
            </w:r>
            <w:r>
              <w:rPr>
                <w:sz w:val="19"/>
              </w:rPr>
              <w:t xml:space="preserve"> 24 Apr 1980 p. 1179)</w:t>
            </w:r>
          </w:p>
        </w:tc>
      </w:tr>
      <w:tr>
        <w:trPr>
          <w:gridAfter w:val="1"/>
          <w:wAfter w:w="80" w:type="dxa"/>
          <w:cantSplit/>
        </w:trPr>
        <w:tc>
          <w:tcPr>
            <w:tcW w:w="2244" w:type="dxa"/>
            <w:gridSpan w:val="2"/>
          </w:tcPr>
          <w:p>
            <w:pPr>
              <w:pStyle w:val="nTable"/>
              <w:spacing w:after="40"/>
              <w:ind w:right="170"/>
              <w:rPr>
                <w:sz w:val="19"/>
              </w:rPr>
            </w:pPr>
            <w:r>
              <w:rPr>
                <w:i/>
                <w:sz w:val="19"/>
              </w:rPr>
              <w:t>Administration Amendment Act 1980</w:t>
            </w:r>
          </w:p>
        </w:tc>
        <w:tc>
          <w:tcPr>
            <w:tcW w:w="1124" w:type="dxa"/>
          </w:tcPr>
          <w:p>
            <w:pPr>
              <w:pStyle w:val="nTable"/>
              <w:spacing w:after="40"/>
              <w:rPr>
                <w:sz w:val="19"/>
              </w:rPr>
            </w:pPr>
            <w:r>
              <w:rPr>
                <w:sz w:val="19"/>
              </w:rPr>
              <w:t>14 of 1980</w:t>
            </w:r>
          </w:p>
        </w:tc>
        <w:tc>
          <w:tcPr>
            <w:tcW w:w="1121" w:type="dxa"/>
          </w:tcPr>
          <w:p>
            <w:pPr>
              <w:pStyle w:val="nTable"/>
              <w:spacing w:after="40"/>
              <w:rPr>
                <w:sz w:val="19"/>
              </w:rPr>
            </w:pPr>
            <w:r>
              <w:rPr>
                <w:sz w:val="19"/>
              </w:rPr>
              <w:t>15 Oct 1980</w:t>
            </w:r>
          </w:p>
        </w:tc>
        <w:tc>
          <w:tcPr>
            <w:tcW w:w="2518" w:type="dxa"/>
          </w:tcPr>
          <w:p>
            <w:pPr>
              <w:pStyle w:val="nTable"/>
              <w:spacing w:after="40"/>
              <w:rPr>
                <w:sz w:val="19"/>
              </w:rPr>
            </w:pPr>
            <w:r>
              <w:rPr>
                <w:sz w:val="19"/>
              </w:rPr>
              <w:t>12 Nov 1980 (see s. 2)</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approved 23 Dec 1980</w:t>
            </w:r>
            <w:r>
              <w:rPr>
                <w:sz w:val="19"/>
              </w:rPr>
              <w:t xml:space="preserve"> (includes amendments listed above)</w:t>
            </w:r>
          </w:p>
        </w:tc>
      </w:tr>
      <w:tr>
        <w:trPr>
          <w:gridAfter w:val="1"/>
          <w:wAfter w:w="80" w:type="dxa"/>
          <w:cantSplit/>
        </w:trPr>
        <w:tc>
          <w:tcPr>
            <w:tcW w:w="2244" w:type="dxa"/>
            <w:gridSpan w:val="2"/>
          </w:tcPr>
          <w:p>
            <w:pPr>
              <w:pStyle w:val="nTable"/>
              <w:spacing w:after="40"/>
              <w:ind w:right="170"/>
              <w:rPr>
                <w:sz w:val="19"/>
              </w:rPr>
            </w:pPr>
            <w:r>
              <w:rPr>
                <w:i/>
                <w:sz w:val="19"/>
              </w:rPr>
              <w:t>Administration Amendment Act 1982</w:t>
            </w:r>
          </w:p>
        </w:tc>
        <w:tc>
          <w:tcPr>
            <w:tcW w:w="1124" w:type="dxa"/>
          </w:tcPr>
          <w:p>
            <w:pPr>
              <w:pStyle w:val="nTable"/>
              <w:spacing w:after="40"/>
              <w:rPr>
                <w:sz w:val="19"/>
              </w:rPr>
            </w:pPr>
            <w:r>
              <w:rPr>
                <w:sz w:val="19"/>
              </w:rPr>
              <w:t>48 of 1982</w:t>
            </w:r>
          </w:p>
        </w:tc>
        <w:tc>
          <w:tcPr>
            <w:tcW w:w="1121" w:type="dxa"/>
          </w:tcPr>
          <w:p>
            <w:pPr>
              <w:pStyle w:val="nTable"/>
              <w:spacing w:after="40"/>
              <w:rPr>
                <w:sz w:val="19"/>
              </w:rPr>
            </w:pPr>
            <w:r>
              <w:rPr>
                <w:sz w:val="19"/>
              </w:rPr>
              <w:t>6 Sep 1982</w:t>
            </w:r>
          </w:p>
        </w:tc>
        <w:tc>
          <w:tcPr>
            <w:tcW w:w="2518" w:type="dxa"/>
          </w:tcPr>
          <w:p>
            <w:pPr>
              <w:pStyle w:val="nTable"/>
              <w:spacing w:after="40"/>
              <w:rPr>
                <w:sz w:val="19"/>
              </w:rPr>
            </w:pPr>
            <w:r>
              <w:rPr>
                <w:sz w:val="19"/>
              </w:rPr>
              <w:t xml:space="preserve">1 Mar 1983 (see s. 2 and </w:t>
            </w:r>
            <w:r>
              <w:rPr>
                <w:i/>
                <w:sz w:val="19"/>
              </w:rPr>
              <w:t>Gazette</w:t>
            </w:r>
            <w:r>
              <w:rPr>
                <w:sz w:val="19"/>
              </w:rPr>
              <w:t xml:space="preserve"> 25 Feb 1983 p. 637)</w:t>
            </w:r>
          </w:p>
        </w:tc>
      </w:tr>
      <w:tr>
        <w:trPr>
          <w:gridAfter w:val="1"/>
          <w:wAfter w:w="80" w:type="dxa"/>
          <w:cantSplit/>
        </w:trPr>
        <w:tc>
          <w:tcPr>
            <w:tcW w:w="2244" w:type="dxa"/>
            <w:gridSpan w:val="2"/>
          </w:tcPr>
          <w:p>
            <w:pPr>
              <w:pStyle w:val="nTable"/>
              <w:spacing w:after="40"/>
              <w:ind w:right="170"/>
              <w:rPr>
                <w:sz w:val="19"/>
              </w:rPr>
            </w:pPr>
            <w:r>
              <w:rPr>
                <w:i/>
                <w:sz w:val="19"/>
              </w:rPr>
              <w:t>Administration Amendment Act 1984</w:t>
            </w:r>
          </w:p>
        </w:tc>
        <w:tc>
          <w:tcPr>
            <w:tcW w:w="1124" w:type="dxa"/>
          </w:tcPr>
          <w:p>
            <w:pPr>
              <w:pStyle w:val="nTable"/>
              <w:spacing w:after="40"/>
              <w:rPr>
                <w:sz w:val="19"/>
              </w:rPr>
            </w:pPr>
            <w:r>
              <w:rPr>
                <w:sz w:val="19"/>
              </w:rPr>
              <w:t>57 of 1984</w:t>
            </w:r>
          </w:p>
        </w:tc>
        <w:tc>
          <w:tcPr>
            <w:tcW w:w="1121" w:type="dxa"/>
          </w:tcPr>
          <w:p>
            <w:pPr>
              <w:pStyle w:val="nTable"/>
              <w:spacing w:after="40"/>
              <w:rPr>
                <w:sz w:val="19"/>
              </w:rPr>
            </w:pPr>
            <w:r>
              <w:rPr>
                <w:sz w:val="19"/>
              </w:rPr>
              <w:t>24 Oct 1984</w:t>
            </w:r>
          </w:p>
        </w:tc>
        <w:tc>
          <w:tcPr>
            <w:tcW w:w="2518" w:type="dxa"/>
          </w:tcPr>
          <w:p>
            <w:pPr>
              <w:pStyle w:val="nTable"/>
              <w:spacing w:after="40"/>
              <w:rPr>
                <w:sz w:val="19"/>
              </w:rPr>
            </w:pPr>
            <w:r>
              <w:rPr>
                <w:sz w:val="19"/>
              </w:rPr>
              <w:t>21 Nov 1984</w:t>
            </w:r>
          </w:p>
        </w:tc>
      </w:tr>
      <w:tr>
        <w:trPr>
          <w:gridAfter w:val="1"/>
          <w:wAfter w:w="80" w:type="dxa"/>
          <w:cantSplit/>
        </w:trPr>
        <w:tc>
          <w:tcPr>
            <w:tcW w:w="2244" w:type="dxa"/>
            <w:gridSpan w:val="2"/>
          </w:tcPr>
          <w:p>
            <w:pPr>
              <w:pStyle w:val="nTable"/>
              <w:spacing w:after="40"/>
              <w:ind w:right="170"/>
              <w:rPr>
                <w:sz w:val="19"/>
              </w:rPr>
            </w:pPr>
            <w:r>
              <w:rPr>
                <w:i/>
                <w:sz w:val="19"/>
              </w:rPr>
              <w:t xml:space="preserve">Acts Amendment (Insolvent Estates) Act 1984 </w:t>
            </w:r>
            <w:r>
              <w:rPr>
                <w:sz w:val="19"/>
              </w:rPr>
              <w:t>Pt. II</w:t>
            </w:r>
          </w:p>
        </w:tc>
        <w:tc>
          <w:tcPr>
            <w:tcW w:w="1124" w:type="dxa"/>
          </w:tcPr>
          <w:p>
            <w:pPr>
              <w:pStyle w:val="nTable"/>
              <w:spacing w:after="40"/>
              <w:rPr>
                <w:sz w:val="19"/>
              </w:rPr>
            </w:pPr>
            <w:r>
              <w:rPr>
                <w:sz w:val="19"/>
              </w:rPr>
              <w:t>72 of 1984</w:t>
            </w:r>
          </w:p>
        </w:tc>
        <w:tc>
          <w:tcPr>
            <w:tcW w:w="1121" w:type="dxa"/>
          </w:tcPr>
          <w:p>
            <w:pPr>
              <w:pStyle w:val="nTable"/>
              <w:spacing w:after="40"/>
              <w:rPr>
                <w:sz w:val="19"/>
              </w:rPr>
            </w:pPr>
            <w:r>
              <w:rPr>
                <w:sz w:val="19"/>
              </w:rPr>
              <w:t>26 Nov 1984</w:t>
            </w:r>
          </w:p>
        </w:tc>
        <w:tc>
          <w:tcPr>
            <w:tcW w:w="2518" w:type="dxa"/>
          </w:tcPr>
          <w:p>
            <w:pPr>
              <w:pStyle w:val="nTable"/>
              <w:spacing w:after="40"/>
              <w:rPr>
                <w:sz w:val="19"/>
              </w:rPr>
            </w:pPr>
            <w:r>
              <w:rPr>
                <w:sz w:val="19"/>
              </w:rPr>
              <w:t>24 Dec 1984</w:t>
            </w:r>
          </w:p>
        </w:tc>
      </w:tr>
      <w:tr>
        <w:trPr>
          <w:gridAfter w:val="1"/>
          <w:wAfter w:w="80" w:type="dxa"/>
          <w:cantSplit/>
        </w:trPr>
        <w:tc>
          <w:tcPr>
            <w:tcW w:w="2244" w:type="dxa"/>
            <w:gridSpan w:val="2"/>
          </w:tcPr>
          <w:p>
            <w:pPr>
              <w:pStyle w:val="nTable"/>
              <w:spacing w:after="40"/>
              <w:ind w:right="170"/>
              <w:rPr>
                <w:sz w:val="19"/>
              </w:rPr>
            </w:pPr>
            <w:r>
              <w:rPr>
                <w:i/>
                <w:sz w:val="19"/>
              </w:rPr>
              <w:t>Artificial Conception Act 1985</w:t>
            </w:r>
            <w:r>
              <w:rPr>
                <w:sz w:val="19"/>
              </w:rPr>
              <w:t xml:space="preserve"> s. 8</w:t>
            </w:r>
          </w:p>
        </w:tc>
        <w:tc>
          <w:tcPr>
            <w:tcW w:w="1124" w:type="dxa"/>
          </w:tcPr>
          <w:p>
            <w:pPr>
              <w:pStyle w:val="nTable"/>
              <w:spacing w:after="40"/>
              <w:rPr>
                <w:sz w:val="19"/>
              </w:rPr>
            </w:pPr>
            <w:r>
              <w:rPr>
                <w:sz w:val="19"/>
              </w:rPr>
              <w:t>14 of 1985</w:t>
            </w:r>
          </w:p>
        </w:tc>
        <w:tc>
          <w:tcPr>
            <w:tcW w:w="1121" w:type="dxa"/>
          </w:tcPr>
          <w:p>
            <w:pPr>
              <w:pStyle w:val="nTable"/>
              <w:spacing w:after="40"/>
              <w:rPr>
                <w:sz w:val="19"/>
              </w:rPr>
            </w:pPr>
            <w:r>
              <w:rPr>
                <w:sz w:val="19"/>
              </w:rPr>
              <w:t>12 Apr 1985</w:t>
            </w:r>
          </w:p>
        </w:tc>
        <w:tc>
          <w:tcPr>
            <w:tcW w:w="2518"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as at 17 Jun 1986</w:t>
            </w:r>
            <w:r>
              <w:rPr>
                <w:sz w:val="19"/>
              </w:rPr>
              <w:t xml:space="preserve"> (includes amendments listed above)</w:t>
            </w:r>
          </w:p>
        </w:tc>
      </w:tr>
      <w:tr>
        <w:trPr>
          <w:gridAfter w:val="1"/>
          <w:wAfter w:w="80" w:type="dxa"/>
          <w:cantSplit/>
        </w:trPr>
        <w:tc>
          <w:tcPr>
            <w:tcW w:w="2244" w:type="dxa"/>
            <w:gridSpan w:val="2"/>
          </w:tcPr>
          <w:p>
            <w:pPr>
              <w:pStyle w:val="nTable"/>
              <w:spacing w:after="40"/>
              <w:ind w:right="170"/>
              <w:rPr>
                <w:sz w:val="19"/>
              </w:rPr>
            </w:pPr>
            <w:r>
              <w:rPr>
                <w:i/>
                <w:sz w:val="19"/>
              </w:rPr>
              <w:t>Administration Amendment Act 1986</w:t>
            </w:r>
          </w:p>
        </w:tc>
        <w:tc>
          <w:tcPr>
            <w:tcW w:w="1124" w:type="dxa"/>
          </w:tcPr>
          <w:p>
            <w:pPr>
              <w:pStyle w:val="nTable"/>
              <w:spacing w:after="40"/>
              <w:rPr>
                <w:sz w:val="19"/>
              </w:rPr>
            </w:pPr>
            <w:r>
              <w:rPr>
                <w:sz w:val="19"/>
              </w:rPr>
              <w:t>21 of 1986</w:t>
            </w:r>
          </w:p>
        </w:tc>
        <w:tc>
          <w:tcPr>
            <w:tcW w:w="1121" w:type="dxa"/>
          </w:tcPr>
          <w:p>
            <w:pPr>
              <w:pStyle w:val="nTable"/>
              <w:spacing w:after="40"/>
              <w:rPr>
                <w:sz w:val="19"/>
              </w:rPr>
            </w:pPr>
            <w:r>
              <w:rPr>
                <w:sz w:val="19"/>
              </w:rPr>
              <w:t>25 Jul 1986</w:t>
            </w:r>
          </w:p>
        </w:tc>
        <w:tc>
          <w:tcPr>
            <w:tcW w:w="2518" w:type="dxa"/>
          </w:tcPr>
          <w:p>
            <w:pPr>
              <w:pStyle w:val="nTable"/>
              <w:spacing w:after="40"/>
              <w:rPr>
                <w:sz w:val="19"/>
              </w:rPr>
            </w:pPr>
            <w:r>
              <w:rPr>
                <w:sz w:val="19"/>
              </w:rPr>
              <w:t xml:space="preserve">7 Nov 1986 (see s. 2 and </w:t>
            </w:r>
            <w:r>
              <w:rPr>
                <w:i/>
                <w:sz w:val="19"/>
              </w:rPr>
              <w:t>Gazette</w:t>
            </w:r>
            <w:r>
              <w:rPr>
                <w:sz w:val="19"/>
              </w:rPr>
              <w:t xml:space="preserve"> 7 Nov 1986 p. 4140)</w:t>
            </w:r>
          </w:p>
        </w:tc>
      </w:tr>
      <w:tr>
        <w:trPr>
          <w:gridAfter w:val="1"/>
          <w:wAfter w:w="80" w:type="dxa"/>
          <w:cantSplit/>
        </w:trPr>
        <w:tc>
          <w:tcPr>
            <w:tcW w:w="2244" w:type="dxa"/>
            <w:gridSpan w:val="2"/>
          </w:tcPr>
          <w:p>
            <w:pPr>
              <w:pStyle w:val="nTable"/>
              <w:spacing w:after="40"/>
              <w:ind w:right="170"/>
              <w:rPr>
                <w:sz w:val="19"/>
              </w:rPr>
            </w:pPr>
            <w:r>
              <w:rPr>
                <w:i/>
                <w:sz w:val="19"/>
              </w:rPr>
              <w:t>Transfer of Land Amendment Act 1996</w:t>
            </w:r>
            <w:r>
              <w:rPr>
                <w:sz w:val="19"/>
              </w:rPr>
              <w:t xml:space="preserve"> s. 153(1)</w:t>
            </w:r>
          </w:p>
        </w:tc>
        <w:tc>
          <w:tcPr>
            <w:tcW w:w="1124" w:type="dxa"/>
          </w:tcPr>
          <w:p>
            <w:pPr>
              <w:pStyle w:val="nTable"/>
              <w:spacing w:after="40"/>
              <w:rPr>
                <w:sz w:val="19"/>
              </w:rPr>
            </w:pPr>
            <w:r>
              <w:rPr>
                <w:sz w:val="19"/>
              </w:rPr>
              <w:t>81 of 1996</w:t>
            </w:r>
          </w:p>
        </w:tc>
        <w:tc>
          <w:tcPr>
            <w:tcW w:w="1121" w:type="dxa"/>
          </w:tcPr>
          <w:p>
            <w:pPr>
              <w:pStyle w:val="nTable"/>
              <w:spacing w:after="40"/>
              <w:rPr>
                <w:sz w:val="19"/>
              </w:rPr>
            </w:pPr>
            <w:r>
              <w:rPr>
                <w:sz w:val="19"/>
              </w:rPr>
              <w:t>14 Nov 1996</w:t>
            </w:r>
          </w:p>
        </w:tc>
        <w:tc>
          <w:tcPr>
            <w:tcW w:w="2518" w:type="dxa"/>
          </w:tcPr>
          <w:p>
            <w:pPr>
              <w:pStyle w:val="nTable"/>
              <w:spacing w:after="40"/>
              <w:rPr>
                <w:sz w:val="19"/>
              </w:rPr>
            </w:pPr>
            <w:r>
              <w:rPr>
                <w:sz w:val="19"/>
              </w:rPr>
              <w:t>14 Nov 1996 (see s. 2(1))</w:t>
            </w:r>
          </w:p>
        </w:tc>
      </w:tr>
      <w:tr>
        <w:trPr>
          <w:gridAfter w:val="1"/>
          <w:wAfter w:w="80" w:type="dxa"/>
          <w:cantSplit/>
        </w:trPr>
        <w:tc>
          <w:tcPr>
            <w:tcW w:w="2244" w:type="dxa"/>
            <w:gridSpan w:val="2"/>
          </w:tcPr>
          <w:p>
            <w:pPr>
              <w:pStyle w:val="nTable"/>
              <w:spacing w:after="40"/>
              <w:ind w:right="170"/>
              <w:rPr>
                <w:sz w:val="19"/>
              </w:rPr>
            </w:pPr>
            <w:r>
              <w:rPr>
                <w:i/>
                <w:sz w:val="19"/>
              </w:rPr>
              <w:t>Trustees Amendment Act 1997</w:t>
            </w:r>
            <w:r>
              <w:rPr>
                <w:sz w:val="19"/>
              </w:rPr>
              <w:t xml:space="preserve"> s. 18</w:t>
            </w:r>
          </w:p>
        </w:tc>
        <w:tc>
          <w:tcPr>
            <w:tcW w:w="1124" w:type="dxa"/>
          </w:tcPr>
          <w:p>
            <w:pPr>
              <w:pStyle w:val="nTable"/>
              <w:spacing w:after="40"/>
              <w:rPr>
                <w:sz w:val="19"/>
              </w:rPr>
            </w:pPr>
            <w:r>
              <w:rPr>
                <w:sz w:val="19"/>
              </w:rPr>
              <w:t>1 of 1997</w:t>
            </w:r>
          </w:p>
        </w:tc>
        <w:tc>
          <w:tcPr>
            <w:tcW w:w="1121" w:type="dxa"/>
          </w:tcPr>
          <w:p>
            <w:pPr>
              <w:pStyle w:val="nTable"/>
              <w:spacing w:after="40"/>
              <w:rPr>
                <w:sz w:val="19"/>
              </w:rPr>
            </w:pPr>
            <w:r>
              <w:rPr>
                <w:sz w:val="19"/>
              </w:rPr>
              <w:t>6 May 1997</w:t>
            </w:r>
          </w:p>
        </w:tc>
        <w:tc>
          <w:tcPr>
            <w:tcW w:w="2518"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80" w:type="dxa"/>
          <w:cantSplit/>
        </w:trPr>
        <w:tc>
          <w:tcPr>
            <w:tcW w:w="2244" w:type="dxa"/>
            <w:gridSpan w:val="2"/>
          </w:tcPr>
          <w:p>
            <w:pPr>
              <w:pStyle w:val="nTable"/>
              <w:spacing w:after="40"/>
              <w:ind w:right="170"/>
              <w:rPr>
                <w:sz w:val="19"/>
              </w:rPr>
            </w:pPr>
            <w:r>
              <w:rPr>
                <w:i/>
                <w:sz w:val="19"/>
              </w:rPr>
              <w:t>Statutes (Repeals and Minor Amendments) Act 1997</w:t>
            </w:r>
            <w:r>
              <w:rPr>
                <w:sz w:val="19"/>
              </w:rPr>
              <w:t xml:space="preserve"> s. 16</w:t>
            </w:r>
          </w:p>
        </w:tc>
        <w:tc>
          <w:tcPr>
            <w:tcW w:w="1124" w:type="dxa"/>
          </w:tcPr>
          <w:p>
            <w:pPr>
              <w:pStyle w:val="nTable"/>
              <w:spacing w:after="40"/>
              <w:rPr>
                <w:sz w:val="19"/>
              </w:rPr>
            </w:pPr>
            <w:r>
              <w:rPr>
                <w:sz w:val="19"/>
              </w:rPr>
              <w:t>57 of 1997</w:t>
            </w:r>
          </w:p>
        </w:tc>
        <w:tc>
          <w:tcPr>
            <w:tcW w:w="1121" w:type="dxa"/>
          </w:tcPr>
          <w:p>
            <w:pPr>
              <w:pStyle w:val="nTable"/>
              <w:spacing w:after="40"/>
              <w:rPr>
                <w:sz w:val="19"/>
              </w:rPr>
            </w:pPr>
            <w:r>
              <w:rPr>
                <w:sz w:val="19"/>
              </w:rPr>
              <w:t>15 Dec 1997</w:t>
            </w:r>
          </w:p>
        </w:tc>
        <w:tc>
          <w:tcPr>
            <w:tcW w:w="2518" w:type="dxa"/>
          </w:tcPr>
          <w:p>
            <w:pPr>
              <w:pStyle w:val="nTable"/>
              <w:spacing w:after="40"/>
              <w:rPr>
                <w:sz w:val="19"/>
              </w:rPr>
            </w:pPr>
            <w:r>
              <w:rPr>
                <w:sz w:val="19"/>
              </w:rPr>
              <w:t>15 Dec 1997 (see s. 2(1))</w:t>
            </w:r>
          </w:p>
        </w:tc>
      </w:tr>
      <w:tr>
        <w:trPr>
          <w:gridAfter w:val="1"/>
          <w:wAfter w:w="80" w:type="dxa"/>
          <w:cantSplit/>
        </w:trPr>
        <w:tc>
          <w:tcPr>
            <w:tcW w:w="2244" w:type="dxa"/>
            <w:gridSpan w:val="2"/>
          </w:tcPr>
          <w:p>
            <w:pPr>
              <w:pStyle w:val="nTable"/>
              <w:spacing w:after="40"/>
              <w:ind w:right="170"/>
              <w:rPr>
                <w:sz w:val="19"/>
              </w:rPr>
            </w:pPr>
            <w:r>
              <w:rPr>
                <w:i/>
                <w:sz w:val="19"/>
              </w:rPr>
              <w:t>Acts Amendment and Repeal (Financial Sector Reform) Act 1999</w:t>
            </w:r>
            <w:r>
              <w:rPr>
                <w:sz w:val="19"/>
              </w:rPr>
              <w:t xml:space="preserve"> s. 59</w:t>
            </w:r>
          </w:p>
        </w:tc>
        <w:tc>
          <w:tcPr>
            <w:tcW w:w="1124" w:type="dxa"/>
          </w:tcPr>
          <w:p>
            <w:pPr>
              <w:pStyle w:val="nTable"/>
              <w:spacing w:after="40"/>
              <w:rPr>
                <w:sz w:val="19"/>
              </w:rPr>
            </w:pPr>
            <w:r>
              <w:rPr>
                <w:sz w:val="19"/>
              </w:rPr>
              <w:t>26 of 1999</w:t>
            </w:r>
          </w:p>
        </w:tc>
        <w:tc>
          <w:tcPr>
            <w:tcW w:w="1121" w:type="dxa"/>
          </w:tcPr>
          <w:p>
            <w:pPr>
              <w:pStyle w:val="nTable"/>
              <w:spacing w:after="40"/>
              <w:rPr>
                <w:sz w:val="19"/>
              </w:rPr>
            </w:pPr>
            <w:r>
              <w:rPr>
                <w:sz w:val="19"/>
              </w:rPr>
              <w:t>29 Jun 1999</w:t>
            </w:r>
          </w:p>
        </w:tc>
        <w:tc>
          <w:tcPr>
            <w:tcW w:w="2518"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After w:val="1"/>
          <w:wAfter w:w="80" w:type="dxa"/>
          <w:cantSplit/>
        </w:trPr>
        <w:tc>
          <w:tcPr>
            <w:tcW w:w="7007" w:type="dxa"/>
            <w:gridSpan w:val="5"/>
          </w:tcPr>
          <w:p>
            <w:pPr>
              <w:pStyle w:val="nTable"/>
              <w:spacing w:after="40"/>
              <w:rPr>
                <w:sz w:val="19"/>
              </w:rPr>
            </w:pPr>
            <w:r>
              <w:rPr>
                <w:b/>
                <w:bCs/>
                <w:sz w:val="19"/>
              </w:rPr>
              <w:t xml:space="preserve">Reprint of the </w:t>
            </w:r>
            <w:r>
              <w:rPr>
                <w:b/>
                <w:bCs/>
                <w:i/>
                <w:sz w:val="19"/>
              </w:rPr>
              <w:t>Administration Act 1903</w:t>
            </w:r>
            <w:r>
              <w:rPr>
                <w:b/>
                <w:bCs/>
                <w:sz w:val="19"/>
              </w:rPr>
              <w:t xml:space="preserve"> as at 1 Jul 1999</w:t>
            </w:r>
            <w:r>
              <w:rPr>
                <w:sz w:val="19"/>
              </w:rPr>
              <w:t xml:space="preserve"> (includes amendments listed above)</w:t>
            </w:r>
          </w:p>
        </w:tc>
      </w:tr>
      <w:tr>
        <w:trPr>
          <w:gridAfter w:val="1"/>
          <w:wAfter w:w="80" w:type="dxa"/>
          <w:cantSplit/>
        </w:trPr>
        <w:tc>
          <w:tcPr>
            <w:tcW w:w="2244" w:type="dxa"/>
            <w:gridSpan w:val="2"/>
          </w:tcPr>
          <w:p>
            <w:pPr>
              <w:pStyle w:val="nTable"/>
              <w:spacing w:after="40"/>
              <w:ind w:right="170"/>
              <w:rPr>
                <w:sz w:val="19"/>
              </w:rPr>
            </w:pPr>
            <w:r>
              <w:rPr>
                <w:i/>
                <w:sz w:val="19"/>
              </w:rPr>
              <w:t>Acts Amendment (Lesbian and Gay Law Reform) Act 2002</w:t>
            </w:r>
            <w:r>
              <w:rPr>
                <w:sz w:val="19"/>
              </w:rPr>
              <w:t xml:space="preserve"> Pt. 2</w:t>
            </w:r>
          </w:p>
        </w:tc>
        <w:tc>
          <w:tcPr>
            <w:tcW w:w="1124" w:type="dxa"/>
          </w:tcPr>
          <w:p>
            <w:pPr>
              <w:pStyle w:val="nTable"/>
              <w:spacing w:after="40"/>
              <w:rPr>
                <w:sz w:val="19"/>
              </w:rPr>
            </w:pPr>
            <w:r>
              <w:rPr>
                <w:sz w:val="19"/>
              </w:rPr>
              <w:t>3 of 2002</w:t>
            </w:r>
          </w:p>
        </w:tc>
        <w:tc>
          <w:tcPr>
            <w:tcW w:w="1121" w:type="dxa"/>
          </w:tcPr>
          <w:p>
            <w:pPr>
              <w:pStyle w:val="nTable"/>
              <w:spacing w:after="40"/>
              <w:rPr>
                <w:sz w:val="19"/>
              </w:rPr>
            </w:pPr>
            <w:r>
              <w:rPr>
                <w:sz w:val="19"/>
              </w:rPr>
              <w:t>17 Apr 2002</w:t>
            </w:r>
          </w:p>
        </w:tc>
        <w:tc>
          <w:tcPr>
            <w:tcW w:w="2518"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80" w:type="dxa"/>
          <w:cantSplit/>
        </w:trPr>
        <w:tc>
          <w:tcPr>
            <w:tcW w:w="2244" w:type="dxa"/>
            <w:gridSpan w:val="2"/>
          </w:tcPr>
          <w:p>
            <w:pPr>
              <w:pStyle w:val="nTable"/>
              <w:spacing w:after="40"/>
              <w:ind w:right="170"/>
              <w:rPr>
                <w:i/>
                <w:sz w:val="19"/>
              </w:rPr>
            </w:pPr>
            <w:r>
              <w:rPr>
                <w:i/>
                <w:sz w:val="19"/>
              </w:rPr>
              <w:t xml:space="preserve">Family Court Amendment Act 2002 </w:t>
            </w:r>
            <w:r>
              <w:rPr>
                <w:sz w:val="19"/>
              </w:rPr>
              <w:t>s. 52</w:t>
            </w:r>
          </w:p>
        </w:tc>
        <w:tc>
          <w:tcPr>
            <w:tcW w:w="1124" w:type="dxa"/>
          </w:tcPr>
          <w:p>
            <w:pPr>
              <w:pStyle w:val="nTable"/>
              <w:spacing w:after="40"/>
              <w:rPr>
                <w:sz w:val="19"/>
              </w:rPr>
            </w:pPr>
            <w:r>
              <w:rPr>
                <w:sz w:val="19"/>
              </w:rPr>
              <w:t>25 of 2002</w:t>
            </w:r>
          </w:p>
        </w:tc>
        <w:tc>
          <w:tcPr>
            <w:tcW w:w="1121" w:type="dxa"/>
          </w:tcPr>
          <w:p>
            <w:pPr>
              <w:pStyle w:val="nTable"/>
              <w:spacing w:after="40"/>
              <w:rPr>
                <w:sz w:val="19"/>
              </w:rPr>
            </w:pPr>
            <w:r>
              <w:rPr>
                <w:sz w:val="19"/>
              </w:rPr>
              <w:t>25 Sep 2002</w:t>
            </w:r>
          </w:p>
        </w:tc>
        <w:tc>
          <w:tcPr>
            <w:tcW w:w="2518"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gridAfter w:val="1"/>
          <w:wAfter w:w="80" w:type="dxa"/>
          <w:cantSplit/>
        </w:trPr>
        <w:tc>
          <w:tcPr>
            <w:tcW w:w="2244" w:type="dxa"/>
            <w:gridSpan w:val="2"/>
          </w:tcPr>
          <w:p>
            <w:pPr>
              <w:pStyle w:val="nTable"/>
              <w:spacing w:after="40"/>
              <w:ind w:right="170"/>
              <w:rPr>
                <w:i/>
                <w:sz w:val="19"/>
              </w:rPr>
            </w:pPr>
            <w:r>
              <w:rPr>
                <w:i/>
                <w:iCs/>
                <w:snapToGrid w:val="0"/>
                <w:sz w:val="19"/>
                <w:lang w:val="en-US"/>
              </w:rPr>
              <w:t>Courts Legislation Amendment and Repeal Act 2004</w:t>
            </w:r>
            <w:r>
              <w:rPr>
                <w:snapToGrid w:val="0"/>
                <w:sz w:val="19"/>
                <w:lang w:val="en-US"/>
              </w:rPr>
              <w:t xml:space="preserve"> s. 141</w:t>
            </w:r>
          </w:p>
        </w:tc>
        <w:tc>
          <w:tcPr>
            <w:tcW w:w="1124" w:type="dxa"/>
          </w:tcPr>
          <w:p>
            <w:pPr>
              <w:pStyle w:val="nTable"/>
              <w:spacing w:after="40"/>
              <w:rPr>
                <w:sz w:val="19"/>
              </w:rPr>
            </w:pPr>
            <w:r>
              <w:rPr>
                <w:snapToGrid w:val="0"/>
                <w:sz w:val="19"/>
                <w:lang w:val="en-US"/>
              </w:rPr>
              <w:t>59 of 2004</w:t>
            </w:r>
          </w:p>
        </w:tc>
        <w:tc>
          <w:tcPr>
            <w:tcW w:w="1121" w:type="dxa"/>
          </w:tcPr>
          <w:p>
            <w:pPr>
              <w:pStyle w:val="nTable"/>
              <w:spacing w:after="40"/>
              <w:rPr>
                <w:sz w:val="19"/>
              </w:rPr>
            </w:pPr>
            <w:r>
              <w:rPr>
                <w:sz w:val="19"/>
              </w:rPr>
              <w:t>23 Nov 2004</w:t>
            </w:r>
          </w:p>
        </w:tc>
        <w:tc>
          <w:tcPr>
            <w:tcW w:w="2518"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gridAfter w:val="1"/>
          <w:wAfter w:w="80" w:type="dxa"/>
          <w:cantSplit/>
        </w:trPr>
        <w:tc>
          <w:tcPr>
            <w:tcW w:w="2244"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24" w:type="dxa"/>
          </w:tcPr>
          <w:p>
            <w:pPr>
              <w:pStyle w:val="nTable"/>
              <w:spacing w:after="40"/>
              <w:rPr>
                <w:sz w:val="19"/>
              </w:rPr>
            </w:pPr>
            <w:r>
              <w:rPr>
                <w:sz w:val="19"/>
              </w:rPr>
              <w:t>24 of 2005</w:t>
            </w:r>
          </w:p>
        </w:tc>
        <w:tc>
          <w:tcPr>
            <w:tcW w:w="1121" w:type="dxa"/>
          </w:tcPr>
          <w:p>
            <w:pPr>
              <w:pStyle w:val="nTable"/>
              <w:spacing w:after="40"/>
              <w:rPr>
                <w:sz w:val="19"/>
              </w:rPr>
            </w:pPr>
            <w:r>
              <w:rPr>
                <w:sz w:val="19"/>
              </w:rPr>
              <w:t>2 Dec 2005</w:t>
            </w:r>
          </w:p>
        </w:tc>
        <w:tc>
          <w:tcPr>
            <w:tcW w:w="2518"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After w:val="1"/>
          <w:wAfter w:w="80" w:type="dxa"/>
          <w:cantSplit/>
        </w:trPr>
        <w:tc>
          <w:tcPr>
            <w:tcW w:w="7007" w:type="dxa"/>
            <w:gridSpan w:val="5"/>
          </w:tcPr>
          <w:p>
            <w:pPr>
              <w:pStyle w:val="nTable"/>
              <w:spacing w:after="40"/>
              <w:rPr>
                <w:sz w:val="19"/>
              </w:rPr>
            </w:pPr>
            <w:r>
              <w:rPr>
                <w:b/>
                <w:bCs/>
                <w:sz w:val="19"/>
              </w:rPr>
              <w:t xml:space="preserve">Reprint 11: The </w:t>
            </w:r>
            <w:r>
              <w:rPr>
                <w:b/>
                <w:bCs/>
                <w:i/>
                <w:sz w:val="19"/>
              </w:rPr>
              <w:t>Administration Act 1903</w:t>
            </w:r>
            <w:r>
              <w:rPr>
                <w:b/>
                <w:bCs/>
                <w:sz w:val="19"/>
              </w:rPr>
              <w:t xml:space="preserve"> as at 14 Jul 2006</w:t>
            </w:r>
            <w:r>
              <w:rPr>
                <w:sz w:val="19"/>
              </w:rPr>
              <w:t xml:space="preserve"> (includes amendments listed above)</w:t>
            </w:r>
            <w:bookmarkStart w:id="340" w:name="UpToHere"/>
            <w:bookmarkEnd w:id="340"/>
          </w:p>
        </w:tc>
      </w:tr>
      <w:tr>
        <w:trPr>
          <w:gridAfter w:val="1"/>
          <w:wAfter w:w="80" w:type="dxa"/>
          <w:cantSplit/>
        </w:trPr>
        <w:tc>
          <w:tcPr>
            <w:tcW w:w="2244" w:type="dxa"/>
            <w:gridSpan w:val="2"/>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120</w:t>
            </w:r>
            <w:r>
              <w:rPr>
                <w:iCs/>
                <w:snapToGrid w:val="0"/>
                <w:sz w:val="19"/>
                <w:vertAlign w:val="superscript"/>
                <w:lang w:val="en-US"/>
              </w:rPr>
              <w:t xml:space="preserve"> </w:t>
            </w:r>
          </w:p>
        </w:tc>
        <w:tc>
          <w:tcPr>
            <w:tcW w:w="1124" w:type="dxa"/>
          </w:tcPr>
          <w:p>
            <w:pPr>
              <w:pStyle w:val="nTable"/>
              <w:spacing w:after="40"/>
              <w:rPr>
                <w:sz w:val="19"/>
              </w:rPr>
            </w:pPr>
            <w:r>
              <w:rPr>
                <w:snapToGrid w:val="0"/>
                <w:sz w:val="19"/>
                <w:lang w:val="en-US"/>
              </w:rPr>
              <w:t>60 of 2006</w:t>
            </w:r>
          </w:p>
        </w:tc>
        <w:tc>
          <w:tcPr>
            <w:tcW w:w="1121" w:type="dxa"/>
          </w:tcPr>
          <w:p>
            <w:pPr>
              <w:pStyle w:val="nTable"/>
              <w:spacing w:after="40"/>
              <w:rPr>
                <w:sz w:val="19"/>
              </w:rPr>
            </w:pPr>
            <w:r>
              <w:rPr>
                <w:snapToGrid w:val="0"/>
                <w:sz w:val="19"/>
                <w:lang w:val="en-US"/>
              </w:rPr>
              <w:t>16 Nov 2006</w:t>
            </w:r>
          </w:p>
        </w:tc>
        <w:tc>
          <w:tcPr>
            <w:tcW w:w="2518" w:type="dxa"/>
          </w:tcPr>
          <w:p>
            <w:pPr>
              <w:pStyle w:val="nTable"/>
              <w:spacing w:after="40"/>
              <w:rPr>
                <w:sz w:val="19"/>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gridBefore w:val="1"/>
          <w:wBefore w:w="6" w:type="dxa"/>
          <w:cantSplit/>
        </w:trPr>
        <w:tc>
          <w:tcPr>
            <w:tcW w:w="224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6 and 51</w:t>
            </w:r>
          </w:p>
        </w:tc>
        <w:tc>
          <w:tcPr>
            <w:tcW w:w="112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97"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60"/>
        <w:rPr>
          <w:snapToGrid w:val="0"/>
          <w:u w:val="words"/>
          <w:vertAlign w:val="superscript"/>
        </w:rPr>
      </w:pPr>
    </w:p>
    <w:p>
      <w:pPr>
        <w:pStyle w:val="nSubsection"/>
        <w:spacing w:before="60"/>
        <w:rPr>
          <w:snapToGrid w:val="0"/>
        </w:rPr>
      </w:pPr>
      <w:r>
        <w:rPr>
          <w:snapToGrid w:val="0"/>
          <w:vertAlign w:val="superscript"/>
        </w:rPr>
        <w:t>2</w:t>
      </w:r>
      <w:r>
        <w:rPr>
          <w:snapToGrid w:val="0"/>
        </w:rPr>
        <w:tab/>
        <w:t>Repealed by section 2 of this Act.</w:t>
      </w:r>
    </w:p>
    <w:p>
      <w:pPr>
        <w:pStyle w:val="nSubsection"/>
        <w:spacing w:before="60"/>
        <w:rPr>
          <w:snapToGrid w:val="0"/>
        </w:rPr>
      </w:pPr>
      <w:r>
        <w:rPr>
          <w:snapToGrid w:val="0"/>
          <w:vertAlign w:val="superscript"/>
        </w:rPr>
        <w:t>3</w:t>
      </w:r>
      <w:r>
        <w:rPr>
          <w:snapToGrid w:val="0"/>
        </w:rPr>
        <w:tab/>
        <w:t xml:space="preserve">Part IV, Curator of Intestate Estates, as enacted by this Act, was repealed by the </w:t>
      </w:r>
      <w:r>
        <w:rPr>
          <w:i/>
          <w:snapToGrid w:val="0"/>
        </w:rPr>
        <w:t>Curator of Intestate Estates Act 1918</w:t>
      </w:r>
      <w:r>
        <w:rPr>
          <w:snapToGrid w:val="0"/>
        </w:rPr>
        <w:t xml:space="preserve">.  Now see the </w:t>
      </w:r>
      <w:r>
        <w:rPr>
          <w:i/>
          <w:snapToGrid w:val="0"/>
        </w:rPr>
        <w:t>Public Trustee Act 1941</w:t>
      </w:r>
      <w:r>
        <w:rPr>
          <w:snapToGrid w:val="0"/>
        </w:rPr>
        <w:t>.</w:t>
      </w:r>
    </w:p>
    <w:p>
      <w:pPr>
        <w:pStyle w:val="nSubsection"/>
        <w:spacing w:before="60"/>
        <w:rPr>
          <w:snapToGrid w:val="0"/>
        </w:rPr>
      </w:pPr>
      <w:r>
        <w:rPr>
          <w:snapToGrid w:val="0"/>
          <w:vertAlign w:val="superscript"/>
        </w:rPr>
        <w:t>4</w:t>
      </w:r>
      <w:r>
        <w:rPr>
          <w:snapToGrid w:val="0"/>
        </w:rPr>
        <w:tab/>
        <w:t xml:space="preserve">This Part was enacted as Part II of the </w:t>
      </w:r>
      <w:r>
        <w:rPr>
          <w:i/>
          <w:snapToGrid w:val="0"/>
        </w:rPr>
        <w:t>Administration Act (Estate and Succession Duties) Amendment Act 1934</w:t>
      </w:r>
      <w:r>
        <w:rPr>
          <w:snapToGrid w:val="0"/>
        </w:rPr>
        <w:t>. By section 3 of that Act it was enacted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pPr>
        <w:pStyle w:val="MiscClose"/>
        <w:rPr>
          <w:snapToGrid w:val="0"/>
          <w:sz w:val="20"/>
        </w:rPr>
      </w:pPr>
      <w:r>
        <w:rPr>
          <w:snapToGrid w:val="0"/>
          <w:sz w:val="20"/>
        </w:rPr>
        <w:t>”.</w:t>
      </w:r>
    </w:p>
    <w:p>
      <w:pPr>
        <w:pStyle w:val="nSubsection"/>
        <w:spacing w:before="60"/>
        <w:rPr>
          <w:i/>
        </w:rPr>
      </w:pPr>
      <w:r>
        <w:rPr>
          <w:i/>
        </w:rPr>
        <w:tab/>
        <w:t xml:space="preserve">[It was inserted as Part VI in the 1934 reprint and renumbered as Part V in the 1943 reprint: See also the </w:t>
      </w:r>
      <w:r>
        <w:rPr>
          <w:i/>
          <w:snapToGrid w:val="0"/>
        </w:rPr>
        <w:t xml:space="preserve">Administration Act (Estate and Succession Duties) Amendment Act 1934 </w:t>
      </w:r>
      <w:r>
        <w:rPr>
          <w:i/>
        </w:rPr>
        <w:t>s. 77(3)(c).]</w:t>
      </w:r>
    </w:p>
    <w:p>
      <w:pPr>
        <w:pStyle w:val="nSubsection"/>
        <w:spacing w:before="60"/>
        <w:rPr>
          <w:snapToGrid w:val="0"/>
        </w:rPr>
      </w:pPr>
      <w:r>
        <w:rPr>
          <w:snapToGrid w:val="0"/>
          <w:vertAlign w:val="superscript"/>
        </w:rPr>
        <w:t>5</w:t>
      </w:r>
      <w:r>
        <w:rPr>
          <w:snapToGrid w:val="0"/>
        </w:rPr>
        <w:tab/>
        <w:t xml:space="preserve">This amount is now declared to be $6 000; see proclamation in </w:t>
      </w:r>
      <w:r>
        <w:rPr>
          <w:i/>
          <w:snapToGrid w:val="0"/>
        </w:rPr>
        <w:t>Gazette</w:t>
      </w:r>
      <w:r>
        <w:rPr>
          <w:snapToGrid w:val="0"/>
        </w:rPr>
        <w:t xml:space="preserve"> 6 February 2009 p. 243.</w:t>
      </w:r>
    </w:p>
    <w:p>
      <w:pPr>
        <w:pStyle w:val="nSubsection"/>
        <w:spacing w:before="60"/>
      </w:pPr>
      <w:r>
        <w:rPr>
          <w:vertAlign w:val="superscript"/>
        </w:rPr>
        <w:t>6</w:t>
      </w:r>
      <w:r>
        <w:tab/>
        <w:t xml:space="preserve">See </w:t>
      </w:r>
      <w:r>
        <w:rPr>
          <w:i/>
        </w:rPr>
        <w:t>Public Trustee Act 1941</w:t>
      </w:r>
      <w:r>
        <w:t xml:space="preserve"> s. 16.</w:t>
      </w:r>
    </w:p>
    <w:p>
      <w:pPr>
        <w:pStyle w:val="nSubsection"/>
        <w:spacing w:before="120"/>
        <w:rPr>
          <w:snapToGrid w:val="0"/>
        </w:rPr>
      </w:pPr>
      <w:r>
        <w:rPr>
          <w:snapToGrid w:val="0"/>
          <w:vertAlign w:val="superscript"/>
        </w:rPr>
        <w:t>7</w:t>
      </w:r>
      <w:r>
        <w:rPr>
          <w:snapToGrid w:val="0"/>
        </w:rPr>
        <w:tab/>
        <w:t>In this reprint the numbering of Parts, sections, Divisions etc. effected in the 1934 reprint (not in a volume), the 1943 reprint (in Volume 2 of the Reprinted Acts of the Parliament of Western Australia) and subsequent reprints has again been retained. References to the original numbering are contained in those reprints.</w:t>
      </w:r>
    </w:p>
    <w:p>
      <w:pPr>
        <w:pStyle w:val="nSubsection"/>
        <w:rPr>
          <w:snapToGrid w:val="0"/>
        </w:rPr>
      </w:pPr>
      <w:r>
        <w:rPr>
          <w:snapToGrid w:val="0"/>
          <w:vertAlign w:val="superscript"/>
        </w:rPr>
        <w:t>8</w:t>
      </w:r>
      <w:r>
        <w:rPr>
          <w:snapToGrid w:val="0"/>
        </w:rPr>
        <w:tab/>
        <w:t xml:space="preserve">The </w:t>
      </w:r>
      <w:r>
        <w:rPr>
          <w:i/>
          <w:snapToGrid w:val="0"/>
        </w:rPr>
        <w:t>Administration Act Amendment Act 1970</w:t>
      </w:r>
      <w:r>
        <w:rPr>
          <w:snapToGrid w:val="0"/>
        </w:rPr>
        <w:t xml:space="preserve"> s. 2(2) is a transitional provision that is of no further effect.</w:t>
      </w:r>
    </w:p>
    <w:p>
      <w:pPr>
        <w:pStyle w:val="nSubsection"/>
        <w:rPr>
          <w:snapToGrid w:val="0"/>
        </w:rPr>
      </w:pPr>
      <w:r>
        <w:rPr>
          <w:vertAlign w:val="superscript"/>
        </w:rPr>
        <w:t>9</w:t>
      </w:r>
      <w:r>
        <w:tab/>
        <w:t xml:space="preserve">The Second Schedule was inserted by the </w:t>
      </w:r>
      <w:r>
        <w:rPr>
          <w:i/>
        </w:rPr>
        <w:t>Metric Conversion Act Amendment Act 1973</w:t>
      </w:r>
      <w:r>
        <w:t xml:space="preserve"> s. 4.</w:t>
      </w:r>
    </w:p>
    <w:p>
      <w:pPr>
        <w:pStyle w:val="nSubsection"/>
        <w:rPr>
          <w:snapToGrid w:val="0"/>
        </w:rPr>
      </w:pPr>
      <w:r>
        <w:rPr>
          <w:snapToGrid w:val="0"/>
          <w:vertAlign w:val="superscript"/>
        </w:rPr>
        <w:t>10</w:t>
      </w:r>
      <w:r>
        <w:rPr>
          <w:snapToGrid w:val="0"/>
        </w:rPr>
        <w:tab/>
        <w:t xml:space="preserve">The </w:t>
      </w:r>
      <w:r>
        <w:rPr>
          <w:i/>
          <w:snapToGrid w:val="0"/>
        </w:rPr>
        <w:t>Death Duty Assessment Act 1973</w:t>
      </w:r>
      <w:r>
        <w:rPr>
          <w:snapToGrid w:val="0"/>
        </w:rPr>
        <w:t xml:space="preserve"> s. 3(2), (3), (4) and (5) are transitional provisions that are of no further effect.</w:t>
      </w:r>
    </w:p>
    <w:p/>
    <w:p>
      <w:pPr>
        <w:sectPr>
          <w:headerReference w:type="even" r:id="rId28"/>
          <w:headerReference w:type="defaul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Administration Act 1903</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fldSimple w:instr=" styleref CharSchText ">
            <w:r>
              <w:rPr>
                <w:noProof/>
              </w:rPr>
              <w:t>Rights in respect of dwelling houses</w:t>
            </w:r>
          </w:fldSimple>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Administration Act 1903</w:t>
            </w:r>
          </w:fldSimple>
        </w:p>
      </w:tc>
    </w:tr>
    <w:tr>
      <w:tc>
        <w:tcPr>
          <w:tcW w:w="5472" w:type="dxa"/>
          <w:vAlign w:val="bottom"/>
        </w:tcPr>
        <w:p>
          <w:pPr>
            <w:pStyle w:val="HeaderTextRight"/>
          </w:pPr>
          <w:fldSimple w:instr=" styleref CharSchText ">
            <w:r>
              <w:rPr>
                <w:noProof/>
              </w:rPr>
              <w:t>Rights in respect of dwelling houses</w:t>
            </w:r>
          </w:fldSimple>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r>
            <w:fldChar w:fldCharType="begin"/>
          </w:r>
          <w:r>
            <w:instrText xml:space="preserve"> styleref CharSDivText </w:instrText>
          </w:r>
          <w:r>
            <w:fldChar w:fldCharType="end"/>
          </w:r>
        </w:p>
      </w:tc>
      <w:tc>
        <w:tcPr>
          <w:tcW w:w="179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72" w:type="dxa"/>
        </w:tcPr>
        <w:p>
          <w:pPr>
            <w:pStyle w:val="HeaderTextRight"/>
          </w:pPr>
        </w:p>
      </w:tc>
      <w:tc>
        <w:tcPr>
          <w:tcW w:w="179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Administration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Administration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Administration Act 1903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Administration Act 1903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Administration Act 1903</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Administration Act 1903</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58" w:type="dxa"/>
          <w:gridSpan w:val="2"/>
        </w:tcPr>
        <w:p>
          <w:pPr>
            <w:pStyle w:val="HeaderNumberRight"/>
            <w:ind w:right="17"/>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Administration Act 1903</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Administration Act 1903</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E95AAC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7B8C3F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AF96A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346"/>
    <w:docVar w:name="WAFER_20151204112346" w:val="RemoveTrackChanges"/>
    <w:docVar w:name="WAFER_20151204112346_GUID" w:val="092f8563-904a-4c99-be90-6d2466a8cc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subs">
    <w:name w:val="subs"/>
    <w:basedOn w:val="Heading5"/>
    <w:rPr>
      <w:snapToGrid w:val="0"/>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heading20">
    <w:name w:val="nheading2"/>
    <w:basedOn w:val="Normal"/>
    <w:pPr>
      <w:jc w:val="center"/>
    </w:pPr>
    <w:rPr>
      <w:b/>
      <w:snapToGrid w:val="0"/>
      <w:sz w:val="2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16609</Words>
  <Characters>76070</Characters>
  <Application>Microsoft Office Word</Application>
  <DocSecurity>0</DocSecurity>
  <Lines>2173</Lines>
  <Paragraphs>1053</Paragraphs>
  <ScaleCrop>false</ScaleCrop>
  <HeadingPairs>
    <vt:vector size="2" baseType="variant">
      <vt:variant>
        <vt:lpstr>Title</vt:lpstr>
      </vt:variant>
      <vt:variant>
        <vt:i4>1</vt:i4>
      </vt:variant>
    </vt:vector>
  </HeadingPairs>
  <TitlesOfParts>
    <vt:vector size="1" baseType="lpstr">
      <vt:lpstr>Administration Act 1903</vt:lpstr>
    </vt:vector>
  </TitlesOfParts>
  <Manager/>
  <Company/>
  <LinksUpToDate>false</LinksUpToDate>
  <CharactersWithSpaces>91626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1903 - 11-e0-04</dc:title>
  <dc:subject/>
  <dc:creator/>
  <cp:keywords/>
  <dc:description/>
  <cp:lastModifiedBy>svcMRProcess</cp:lastModifiedBy>
  <cp:revision>4</cp:revision>
  <cp:lastPrinted>2010-07-14T02:05:00Z</cp:lastPrinted>
  <dcterms:created xsi:type="dcterms:W3CDTF">2015-12-04T09:16:00Z</dcterms:created>
  <dcterms:modified xsi:type="dcterms:W3CDTF">2015-12-04T09:16:00Z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vt:i4>
  </property>
  <property fmtid="{D5CDD505-2E9C-101B-9397-08002B2CF9AE}" pid="6" name="ReprintNo">
    <vt:lpwstr>11</vt:lpwstr>
  </property>
  <property fmtid="{D5CDD505-2E9C-101B-9397-08002B2CF9AE}" pid="7" name="AsAtDate">
    <vt:lpwstr>11 Sep 2010</vt:lpwstr>
  </property>
  <property fmtid="{D5CDD505-2E9C-101B-9397-08002B2CF9AE}" pid="8" name="Suffix">
    <vt:lpwstr>11-e0-04</vt:lpwstr>
  </property>
</Properties>
</file>