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68" w:rsidRDefault="005140C5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93968" w:rsidRDefault="005140C5">
      <w:pPr>
        <w:pStyle w:val="NameofActReg"/>
        <w:spacing w:before="3760" w:after="4200"/>
      </w:pPr>
      <w:r>
        <w:rPr>
          <w:noProof/>
        </w:rPr>
        <w:t>Bunbury Harbour (East Perth-Bunbury) Railway Act 1970</w:t>
      </w:r>
    </w:p>
    <w:p w:rsidR="00A93968" w:rsidRDefault="00A93968">
      <w:pPr>
        <w:jc w:val="center"/>
        <w:rPr>
          <w:b/>
        </w:rPr>
        <w:sectPr w:rsidR="00A939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93968">
        <w:trPr>
          <w:cantSplit/>
        </w:trPr>
        <w:tc>
          <w:tcPr>
            <w:tcW w:w="2434" w:type="dxa"/>
            <w:vMerge w:val="restart"/>
          </w:tcPr>
          <w:p w:rsidR="00A93968" w:rsidRDefault="00A93968"/>
        </w:tc>
        <w:tc>
          <w:tcPr>
            <w:tcW w:w="2434" w:type="dxa"/>
            <w:vMerge w:val="restart"/>
          </w:tcPr>
          <w:p w:rsidR="00A93968" w:rsidRDefault="00A93968">
            <w:pPr>
              <w:jc w:val="center"/>
            </w:pPr>
          </w:p>
        </w:tc>
        <w:tc>
          <w:tcPr>
            <w:tcW w:w="2434" w:type="dxa"/>
          </w:tcPr>
          <w:p w:rsidR="00A93968" w:rsidRDefault="00A93968"/>
        </w:tc>
      </w:tr>
      <w:tr w:rsidR="00A93968">
        <w:trPr>
          <w:cantSplit/>
        </w:trPr>
        <w:tc>
          <w:tcPr>
            <w:tcW w:w="2434" w:type="dxa"/>
            <w:vMerge/>
          </w:tcPr>
          <w:p w:rsidR="00A93968" w:rsidRDefault="00A93968"/>
        </w:tc>
        <w:tc>
          <w:tcPr>
            <w:tcW w:w="2434" w:type="dxa"/>
            <w:vMerge/>
          </w:tcPr>
          <w:p w:rsidR="00A93968" w:rsidRDefault="00A93968">
            <w:pPr>
              <w:jc w:val="center"/>
            </w:pPr>
          </w:p>
        </w:tc>
        <w:tc>
          <w:tcPr>
            <w:tcW w:w="2434" w:type="dxa"/>
          </w:tcPr>
          <w:p w:rsidR="00A93968" w:rsidRDefault="005140C5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9 February 2007</w:t>
            </w:r>
          </w:p>
        </w:tc>
      </w:tr>
    </w:tbl>
    <w:p w:rsidR="00A93968" w:rsidRDefault="005140C5">
      <w:pPr>
        <w:pStyle w:val="WA"/>
        <w:spacing w:before="120"/>
      </w:pPr>
      <w:r>
        <w:t>Western Australia</w:t>
      </w:r>
    </w:p>
    <w:p w:rsidR="00A93968" w:rsidRDefault="005140C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258A3">
        <w:rPr>
          <w:noProof/>
        </w:rPr>
        <w:t>Bunbury Harbour (East Perth-Bunbury) Railway Act 1970</w:t>
      </w:r>
      <w:r>
        <w:fldChar w:fldCharType="end"/>
      </w:r>
    </w:p>
    <w:p w:rsidR="00A93968" w:rsidRDefault="005140C5">
      <w:pPr>
        <w:pStyle w:val="Arrangement"/>
      </w:pPr>
      <w:r>
        <w:t>CONTENTS</w:t>
      </w:r>
    </w:p>
    <w:p w:rsidR="00A93968" w:rsidRDefault="005140C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_Toc159921397 \h </w:instrText>
      </w:r>
      <w:r>
        <w:fldChar w:fldCharType="separate"/>
      </w:r>
      <w:r w:rsidR="006258A3">
        <w:t>1</w:t>
      </w:r>
      <w:r>
        <w:fldChar w:fldCharType="end"/>
      </w:r>
    </w:p>
    <w:p w:rsidR="00A93968" w:rsidRDefault="005140C5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Authority to construct railways</w:t>
      </w:r>
      <w:r>
        <w:tab/>
      </w:r>
      <w:r>
        <w:fldChar w:fldCharType="begin"/>
      </w:r>
      <w:r>
        <w:instrText xml:space="preserve"> PAGEREF _Toc159921398 \h </w:instrText>
      </w:r>
      <w:r>
        <w:fldChar w:fldCharType="separate"/>
      </w:r>
      <w:r w:rsidR="006258A3">
        <w:t>1</w:t>
      </w:r>
      <w:r>
        <w:fldChar w:fldCharType="end"/>
      </w:r>
    </w:p>
    <w:p w:rsidR="00A93968" w:rsidRDefault="005140C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First Schedule</w:t>
      </w:r>
    </w:p>
    <w:p w:rsidR="00A93968" w:rsidRDefault="005140C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Bunbury Harbour Spur Railway</w:t>
      </w:r>
    </w:p>
    <w:p w:rsidR="00A93968" w:rsidRDefault="005140C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Second Schedule</w:t>
      </w:r>
    </w:p>
    <w:p w:rsidR="00A93968" w:rsidRDefault="005140C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Connecting railway to Bunbury station yard</w:t>
      </w:r>
    </w:p>
    <w:p w:rsidR="00A93968" w:rsidRDefault="005140C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A93968" w:rsidRDefault="005140C5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_Toc159921404 \h </w:instrText>
      </w:r>
      <w:r>
        <w:fldChar w:fldCharType="separate"/>
      </w:r>
      <w:r w:rsidR="006258A3">
        <w:t>4</w:t>
      </w:r>
      <w:r>
        <w:fldChar w:fldCharType="end"/>
      </w:r>
    </w:p>
    <w:p w:rsidR="00A93968" w:rsidRDefault="005140C5">
      <w:pPr>
        <w:pStyle w:val="TOC2"/>
      </w:pPr>
      <w:r>
        <w:fldChar w:fldCharType="end"/>
      </w:r>
    </w:p>
    <w:p w:rsidR="00A93968" w:rsidRDefault="005140C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A93968" w:rsidRDefault="00A93968">
      <w:pPr>
        <w:pStyle w:val="NoteHeading"/>
        <w:sectPr w:rsidR="00A9396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93968">
        <w:trPr>
          <w:cantSplit/>
        </w:trPr>
        <w:tc>
          <w:tcPr>
            <w:tcW w:w="2434" w:type="dxa"/>
            <w:vMerge w:val="restart"/>
          </w:tcPr>
          <w:p w:rsidR="00A93968" w:rsidRDefault="00A93968"/>
        </w:tc>
        <w:tc>
          <w:tcPr>
            <w:tcW w:w="2434" w:type="dxa"/>
            <w:vMerge w:val="restart"/>
          </w:tcPr>
          <w:p w:rsidR="00A93968" w:rsidRDefault="005140C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A93968" w:rsidRDefault="00A93968"/>
        </w:tc>
      </w:tr>
      <w:tr w:rsidR="00A93968">
        <w:trPr>
          <w:cantSplit/>
        </w:trPr>
        <w:tc>
          <w:tcPr>
            <w:tcW w:w="2434" w:type="dxa"/>
            <w:vMerge/>
          </w:tcPr>
          <w:p w:rsidR="00A93968" w:rsidRDefault="00A93968"/>
        </w:tc>
        <w:tc>
          <w:tcPr>
            <w:tcW w:w="2434" w:type="dxa"/>
            <w:vMerge/>
          </w:tcPr>
          <w:p w:rsidR="00A93968" w:rsidRDefault="00A93968">
            <w:pPr>
              <w:jc w:val="center"/>
            </w:pPr>
          </w:p>
        </w:tc>
        <w:tc>
          <w:tcPr>
            <w:tcW w:w="2434" w:type="dxa"/>
          </w:tcPr>
          <w:p w:rsidR="00A93968" w:rsidRDefault="005140C5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9</w:t>
            </w:r>
            <w:r>
              <w:rPr>
                <w:b/>
                <w:snapToGrid w:val="0"/>
                <w:sz w:val="22"/>
              </w:rPr>
              <w:t xml:space="preserve"> February 2007</w:t>
            </w:r>
          </w:p>
        </w:tc>
      </w:tr>
    </w:tbl>
    <w:p w:rsidR="00A93968" w:rsidRDefault="005140C5">
      <w:pPr>
        <w:pStyle w:val="WA"/>
        <w:spacing w:before="120"/>
      </w:pPr>
      <w:r>
        <w:t>Western Australia</w:t>
      </w:r>
    </w:p>
    <w:p w:rsidR="00A93968" w:rsidRDefault="005140C5">
      <w:pPr>
        <w:pStyle w:val="NameofActReg"/>
      </w:pPr>
      <w:r>
        <w:t>Bunbury Harbour (East Perth</w:t>
      </w:r>
      <w:r>
        <w:noBreakHyphen/>
        <w:t>Bunbury) Railway Act 1970</w:t>
      </w:r>
    </w:p>
    <w:p w:rsidR="00A93968" w:rsidRDefault="005140C5">
      <w:pPr>
        <w:pStyle w:val="LongTitle"/>
        <w:rPr>
          <w:snapToGrid w:val="0"/>
        </w:rPr>
      </w:pPr>
      <w:r>
        <w:rPr>
          <w:snapToGrid w:val="0"/>
        </w:rPr>
        <w:t>An Act to authorise the construction of a spur railway from the East Perth</w:t>
      </w:r>
      <w:r>
        <w:rPr>
          <w:snapToGrid w:val="0"/>
        </w:rPr>
        <w:noBreakHyphen/>
        <w:t>Bunbury Railway to the foreshore of the Bunbury Harbour and the construction of a further railway connecting that spur to the Bunbury station yard.</w:t>
      </w:r>
    </w:p>
    <w:p w:rsidR="00A93968" w:rsidRDefault="005140C5">
      <w:pPr>
        <w:pStyle w:val="Heading5"/>
        <w:rPr>
          <w:snapToGrid w:val="0"/>
        </w:rPr>
      </w:pPr>
      <w:bookmarkStart w:id="1" w:name="_Toc459107060"/>
      <w:bookmarkStart w:id="2" w:name="_Toc15992139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</w:p>
    <w:p w:rsidR="00A93968" w:rsidRDefault="005140C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Bunbury Harbour (East Perth</w:t>
      </w:r>
      <w:r>
        <w:rPr>
          <w:i/>
          <w:snapToGrid w:val="0"/>
        </w:rPr>
        <w:noBreakHyphen/>
        <w:t>Bunbury) Railway Act 1970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93968" w:rsidRDefault="005140C5">
      <w:pPr>
        <w:pStyle w:val="Heading5"/>
        <w:rPr>
          <w:snapToGrid w:val="0"/>
        </w:rPr>
      </w:pPr>
      <w:bookmarkStart w:id="3" w:name="_Toc459107061"/>
      <w:bookmarkStart w:id="4" w:name="_Toc1599213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railways</w:t>
      </w:r>
      <w:bookmarkEnd w:id="3"/>
      <w:bookmarkEnd w:id="4"/>
    </w:p>
    <w:p w:rsidR="00A93968" w:rsidRDefault="005140C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the 2 railways, with all necessary, proper and usual works and conveniences in connection therewith, along the lines described respectively in the First and Second Schedules.</w:t>
      </w:r>
    </w:p>
    <w:p w:rsidR="00A93968" w:rsidRDefault="00A93968">
      <w:pPr>
        <w:rPr>
          <w:rStyle w:val="CharDivText"/>
        </w:rPr>
        <w:sectPr w:rsidR="00A9396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93968" w:rsidRDefault="005140C5">
      <w:pPr>
        <w:pStyle w:val="yScheduleHeading"/>
      </w:pPr>
      <w:bookmarkStart w:id="5" w:name="_Toc155684038"/>
      <w:bookmarkStart w:id="6" w:name="_Toc155684276"/>
      <w:bookmarkStart w:id="7" w:name="_Toc156877738"/>
      <w:bookmarkStart w:id="8" w:name="_Toc156893434"/>
      <w:bookmarkStart w:id="9" w:name="_Toc159039573"/>
      <w:bookmarkStart w:id="10" w:name="_Toc159124636"/>
      <w:bookmarkStart w:id="11" w:name="_Toc159921399"/>
      <w:r>
        <w:rPr>
          <w:rStyle w:val="CharSchNo"/>
        </w:rPr>
        <w:t>First Schedule</w:t>
      </w:r>
      <w:bookmarkEnd w:id="5"/>
      <w:bookmarkEnd w:id="6"/>
      <w:bookmarkEnd w:id="7"/>
      <w:bookmarkEnd w:id="8"/>
      <w:bookmarkEnd w:id="9"/>
      <w:bookmarkEnd w:id="10"/>
      <w:bookmarkEnd w:id="11"/>
    </w:p>
    <w:p w:rsidR="00A93968" w:rsidRDefault="005140C5">
      <w:pPr>
        <w:pStyle w:val="yHeading2"/>
      </w:pPr>
      <w:bookmarkStart w:id="12" w:name="_Toc159124637"/>
      <w:bookmarkStart w:id="13" w:name="_Toc159921400"/>
      <w:r>
        <w:rPr>
          <w:rStyle w:val="CharSchText"/>
        </w:rPr>
        <w:t>Bunbury Harbour Spur Railway</w:t>
      </w:r>
      <w:bookmarkEnd w:id="12"/>
      <w:bookmarkEnd w:id="13"/>
    </w:p>
    <w:p w:rsidR="00A93968" w:rsidRDefault="005140C5">
      <w:pPr>
        <w:pStyle w:val="MiscellaneousHeading"/>
        <w:rPr>
          <w:b/>
          <w:snapToGrid w:val="0"/>
        </w:rPr>
      </w:pPr>
      <w:r>
        <w:rPr>
          <w:b/>
          <w:snapToGrid w:val="0"/>
        </w:rPr>
        <w:t>Description of line of railway</w:t>
      </w:r>
    </w:p>
    <w:p w:rsidR="00A93968" w:rsidRDefault="005140C5">
      <w:pPr>
        <w:pStyle w:val="yMiscellaneousBody"/>
        <w:rPr>
          <w:snapToGrid w:val="0"/>
        </w:rPr>
      </w:pPr>
      <w:r>
        <w:rPr>
          <w:snapToGrid w:val="0"/>
        </w:rPr>
        <w:t>Commencing at a point being 109 miles 52 chains or thereabouts from Perth on the East Perth</w:t>
      </w:r>
      <w:r>
        <w:rPr>
          <w:snapToGrid w:val="0"/>
        </w:rPr>
        <w:noBreakHyphen/>
        <w:t>Bunbury Railway and proceeding thence in a west south westerly direction for a distance of 4 chains 40 links or thereabouts, thence in a south westerly direction for a distance of 13 chains 60 links or thereabouts, thence in a westerly by north direction for a distance of 18 chains 40 links or thereabouts, thence in a north north westerly direction for a distance of 100 chains or thereabouts, thence in a north west by westerly direction for a distance of 20 chains or thereabouts, thence in a westerly direction for a distance of 25 chains or thereabouts, thence in a west north westerly direction for a distance of 12 chains or thereabouts, thence in a north west by westerly direction for a distance of 100 chains or thereabouts, and being a total length of 3 miles 54 chains or thereabouts.</w:t>
      </w:r>
    </w:p>
    <w:p w:rsidR="00A93968" w:rsidRDefault="005140C5">
      <w:pPr>
        <w:pStyle w:val="yScheduleHeading"/>
      </w:pPr>
      <w:bookmarkStart w:id="14" w:name="_Toc155684039"/>
      <w:bookmarkStart w:id="15" w:name="_Toc155684277"/>
      <w:bookmarkStart w:id="16" w:name="_Toc156877739"/>
      <w:bookmarkStart w:id="17" w:name="_Toc156893435"/>
      <w:bookmarkStart w:id="18" w:name="_Toc159039574"/>
      <w:bookmarkStart w:id="19" w:name="_Toc159124638"/>
      <w:bookmarkStart w:id="20" w:name="_Toc159921401"/>
      <w:r>
        <w:rPr>
          <w:rStyle w:val="CharSchNo"/>
        </w:rPr>
        <w:t>Second Schedule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A93968" w:rsidRDefault="005140C5">
      <w:pPr>
        <w:pStyle w:val="yHeading2"/>
      </w:pPr>
      <w:bookmarkStart w:id="21" w:name="_Toc159124639"/>
      <w:bookmarkStart w:id="22" w:name="_Toc159921402"/>
      <w:r>
        <w:rPr>
          <w:rStyle w:val="CharSchText"/>
        </w:rPr>
        <w:t>Connecting railway to Bunbury station yard</w:t>
      </w:r>
      <w:bookmarkEnd w:id="21"/>
      <w:bookmarkEnd w:id="22"/>
    </w:p>
    <w:p w:rsidR="00A93968" w:rsidRDefault="005140C5">
      <w:pPr>
        <w:pStyle w:val="MiscellaneousHeading"/>
        <w:rPr>
          <w:rFonts w:ascii="Courier New" w:hAnsi="Courier New"/>
          <w:snapToGrid w:val="0"/>
        </w:rPr>
      </w:pPr>
      <w:r>
        <w:rPr>
          <w:b/>
          <w:snapToGrid w:val="0"/>
        </w:rPr>
        <w:t>Description of line of railway</w:t>
      </w:r>
    </w:p>
    <w:p w:rsidR="00A93968" w:rsidRDefault="005140C5">
      <w:pPr>
        <w:pStyle w:val="yMiscellaneousBody"/>
        <w:rPr>
          <w:snapToGrid w:val="0"/>
          <w:sz w:val="24"/>
        </w:rPr>
      </w:pPr>
      <w:r>
        <w:rPr>
          <w:snapToGrid w:val="0"/>
        </w:rPr>
        <w:t>Commencing at a point being 2 miles 10 chains 50 links from the commencement on the line of railway as described in the First Schedule and thence proceeding in a south west by west direction for a distance of 17 chains or thereabouts, thence in a south west by south direction for a distance of 22 chains 50 links or thereabouts, thence in a south west by west direction for a distance of 16 chains 50 links or thereabouts, thence in a westerly direction for a distance of 22 chains or thereabouts, thence in a west by north direction for a distance of 23 chains or thereabouts, and thence in a north westerly direction for a distance of 1 mile 15 chains or thereabouts, thence in a west by south direction for a distance of 10 chains 50 links or thereabouts, thence in a westerly direction for a distance of 24 chains or thereabouts, thence in a north west by west direction for a distance of 17 chains 50 links or thereabouts, thence in a westerly direction for a distance of 12 chains or thereabouts, thence in a south westerly direction for a distance of 11 chains or thereabouts and thence in a south south easterly direction for a distance of 13 chains or thereabouts terminating in the Bunbury station yard at a point 114 miles 67 chains from Perth, on the East Perth</w:t>
      </w:r>
      <w:r>
        <w:rPr>
          <w:snapToGrid w:val="0"/>
        </w:rPr>
        <w:noBreakHyphen/>
        <w:t>Bunbury Railway and being a total distance of 3 miles 44 chains or thereabouts.</w:t>
      </w:r>
    </w:p>
    <w:p w:rsidR="00A93968" w:rsidRDefault="00A93968">
      <w:pPr>
        <w:sectPr w:rsidR="00A93968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A93968" w:rsidRDefault="005140C5">
      <w:pPr>
        <w:pStyle w:val="nHeading2"/>
      </w:pPr>
      <w:bookmarkStart w:id="23" w:name="_Toc155684040"/>
      <w:bookmarkStart w:id="24" w:name="_Toc155684278"/>
      <w:bookmarkStart w:id="25" w:name="_Toc156877740"/>
      <w:bookmarkStart w:id="26" w:name="_Toc156893436"/>
      <w:bookmarkStart w:id="27" w:name="_Toc159039575"/>
      <w:bookmarkStart w:id="28" w:name="_Toc159124640"/>
      <w:bookmarkStart w:id="29" w:name="_Toc159921403"/>
      <w:r>
        <w:t>Notes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A93968" w:rsidRDefault="005140C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9 February 2007 of the </w:t>
      </w:r>
      <w:r>
        <w:rPr>
          <w:i/>
          <w:noProof/>
          <w:snapToGrid w:val="0"/>
        </w:rPr>
        <w:t>Bunbury Harbour (East Perth-Bunbury) Railway Act 1970</w:t>
      </w:r>
      <w:r>
        <w:rPr>
          <w:snapToGrid w:val="0"/>
        </w:rPr>
        <w:t xml:space="preserve">.  The following table contains information about that Act and any reprint. </w:t>
      </w:r>
    </w:p>
    <w:p w:rsidR="00A93968" w:rsidRDefault="005140C5">
      <w:pPr>
        <w:pStyle w:val="nHeading3"/>
        <w:rPr>
          <w:snapToGrid w:val="0"/>
        </w:rPr>
      </w:pPr>
      <w:bookmarkStart w:id="30" w:name="_Toc159921404"/>
      <w:r>
        <w:rPr>
          <w:snapToGrid w:val="0"/>
        </w:rPr>
        <w:t>Compilation table</w:t>
      </w:r>
      <w:bookmarkEnd w:id="3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A93968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93968">
        <w:tc>
          <w:tcPr>
            <w:tcW w:w="2268" w:type="dxa"/>
            <w:tcBorders>
              <w:top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Bunbury Harbour (East Perth</w:t>
            </w:r>
            <w:r>
              <w:rPr>
                <w:i/>
                <w:sz w:val="19"/>
              </w:rPr>
              <w:noBreakHyphen/>
              <w:t>Bunbury) Railway Act 1970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 of 1970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May 1970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May 1970</w:t>
            </w:r>
          </w:p>
        </w:tc>
      </w:tr>
      <w:tr w:rsidR="00A93968">
        <w:trPr>
          <w:cantSplit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 w:rsidR="00A93968" w:rsidRDefault="005140C5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Bunbury Harbour (East Perth</w:t>
            </w:r>
            <w:r>
              <w:rPr>
                <w:b/>
                <w:bCs/>
                <w:i/>
                <w:sz w:val="19"/>
              </w:rPr>
              <w:noBreakHyphen/>
              <w:t>Bunbury) Railway Act 1970</w:t>
            </w:r>
            <w:r>
              <w:rPr>
                <w:b/>
                <w:bCs/>
                <w:sz w:val="19"/>
              </w:rPr>
              <w:t xml:space="preserve"> as at 9 Feb 2007</w:t>
            </w:r>
          </w:p>
        </w:tc>
      </w:tr>
    </w:tbl>
    <w:p w:rsidR="00A93968" w:rsidRDefault="00A93968"/>
    <w:p w:rsidR="00A93968" w:rsidRDefault="00A93968">
      <w:pPr>
        <w:sectPr w:rsidR="00A93968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A93968" w:rsidRDefault="00A93968">
      <w:bookmarkStart w:id="31" w:name="UpToHere"/>
      <w:bookmarkEnd w:id="31"/>
    </w:p>
    <w:sectPr w:rsidR="00A93968"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5" w:bottom="2981" w:left="2405" w:header="720" w:footer="338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68" w:rsidRDefault="005140C5">
      <w:r>
        <w:separator/>
      </w:r>
    </w:p>
  </w:endnote>
  <w:endnote w:type="continuationSeparator" w:id="0">
    <w:p w:rsidR="00A93968" w:rsidRDefault="0051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</w:p>
  <w:p w:rsidR="00A93968" w:rsidRDefault="005140C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93968" w:rsidRDefault="005140C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93968" w:rsidRDefault="005140C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</w:p>
  <w:p w:rsidR="00A93968" w:rsidRDefault="005140C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A93968" w:rsidRDefault="005140C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258A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93968" w:rsidRDefault="005140C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58A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93968" w:rsidRDefault="005140C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58A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93968" w:rsidRDefault="005140C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Footer"/>
      <w:tabs>
        <w:tab w:val="clear" w:pos="4153"/>
        <w:tab w:val="right" w:pos="7088"/>
      </w:tabs>
      <w:rPr>
        <w:rStyle w:val="PageNumber"/>
      </w:rPr>
    </w:pPr>
  </w:p>
  <w:p w:rsidR="00A93968" w:rsidRDefault="005140C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09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58A3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58A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93968" w:rsidRDefault="005140C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68" w:rsidRDefault="005140C5">
      <w:r>
        <w:separator/>
      </w:r>
    </w:p>
  </w:footnote>
  <w:footnote w:type="continuationSeparator" w:id="0">
    <w:p w:rsidR="00A93968" w:rsidRDefault="0051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317"/>
      <w:gridCol w:w="1946"/>
    </w:tblGrid>
    <w:tr w:rsidR="00A93968">
      <w:trPr>
        <w:cantSplit/>
      </w:trPr>
      <w:tc>
        <w:tcPr>
          <w:tcW w:w="7263" w:type="dxa"/>
          <w:gridSpan w:val="2"/>
        </w:tcPr>
        <w:p w:rsidR="00A93968" w:rsidRDefault="005140C5">
          <w:pPr>
            <w:pStyle w:val="HeaderActNameRight"/>
            <w:ind w:right="17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5317" w:type="dxa"/>
          <w:vAlign w:val="bottom"/>
        </w:tcPr>
        <w:p w:rsidR="00A93968" w:rsidRDefault="005140C5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946" w:type="dxa"/>
        </w:tcPr>
        <w:p w:rsidR="00A93968" w:rsidRDefault="005140C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A93968">
      <w:tc>
        <w:tcPr>
          <w:tcW w:w="5317" w:type="dxa"/>
        </w:tcPr>
        <w:p w:rsidR="00A93968" w:rsidRDefault="00A93968">
          <w:pPr>
            <w:pStyle w:val="HeaderTextRight"/>
          </w:pPr>
        </w:p>
      </w:tc>
      <w:tc>
        <w:tcPr>
          <w:tcW w:w="1946" w:type="dxa"/>
        </w:tcPr>
        <w:p w:rsidR="00A93968" w:rsidRDefault="00A93968">
          <w:pPr>
            <w:pStyle w:val="HeaderNumberRight"/>
            <w:ind w:right="17"/>
          </w:pPr>
        </w:p>
      </w:tc>
    </w:tr>
    <w:tr w:rsidR="00A93968">
      <w:tc>
        <w:tcPr>
          <w:tcW w:w="5317" w:type="dxa"/>
        </w:tcPr>
        <w:p w:rsidR="00A93968" w:rsidRDefault="00A93968">
          <w:pPr>
            <w:pStyle w:val="HeaderTextRight"/>
          </w:pPr>
        </w:p>
      </w:tc>
      <w:tc>
        <w:tcPr>
          <w:tcW w:w="1946" w:type="dxa"/>
        </w:tcPr>
        <w:p w:rsidR="00A93968" w:rsidRDefault="00A93968">
          <w:pPr>
            <w:pStyle w:val="HeaderNumberRight"/>
            <w:ind w:right="17"/>
            <w:rPr>
              <w:bCs/>
            </w:rPr>
          </w:pP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ActNameLeft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</w:pPr>
        </w:p>
      </w:tc>
      <w:tc>
        <w:tcPr>
          <w:tcW w:w="5764" w:type="dxa"/>
        </w:tcPr>
        <w:p w:rsidR="00A93968" w:rsidRDefault="00A93968">
          <w:pPr>
            <w:pStyle w:val="HeaderTextLeft"/>
          </w:pPr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</w:pPr>
        </w:p>
      </w:tc>
      <w:tc>
        <w:tcPr>
          <w:tcW w:w="5764" w:type="dxa"/>
        </w:tcPr>
        <w:p w:rsidR="00A93968" w:rsidRDefault="00A93968">
          <w:pPr>
            <w:pStyle w:val="HeaderTextLeft"/>
          </w:pPr>
        </w:p>
      </w:tc>
    </w:tr>
    <w:tr w:rsidR="00A93968">
      <w:trPr>
        <w:cantSplit/>
      </w:trPr>
      <w:tc>
        <w:tcPr>
          <w:tcW w:w="7312" w:type="dxa"/>
          <w:gridSpan w:val="2"/>
        </w:tcPr>
        <w:p w:rsidR="00A93968" w:rsidRDefault="00A93968">
          <w:pPr>
            <w:pStyle w:val="HeaderSectionLeft"/>
          </w:pP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ActNameRight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5760" w:type="dxa"/>
        </w:tcPr>
        <w:p w:rsidR="00A93968" w:rsidRDefault="00A93968">
          <w:pPr>
            <w:pStyle w:val="HeaderTextRight"/>
          </w:pPr>
        </w:p>
      </w:tc>
      <w:tc>
        <w:tcPr>
          <w:tcW w:w="1552" w:type="dxa"/>
        </w:tcPr>
        <w:p w:rsidR="00A93968" w:rsidRDefault="00A93968">
          <w:pPr>
            <w:pStyle w:val="HeaderNumberRight"/>
          </w:pPr>
        </w:p>
      </w:tc>
    </w:tr>
    <w:tr w:rsidR="00A93968">
      <w:tc>
        <w:tcPr>
          <w:tcW w:w="5760" w:type="dxa"/>
        </w:tcPr>
        <w:p w:rsidR="00A93968" w:rsidRDefault="00A93968">
          <w:pPr>
            <w:pStyle w:val="HeaderTextRight"/>
          </w:pPr>
        </w:p>
      </w:tc>
      <w:tc>
        <w:tcPr>
          <w:tcW w:w="1552" w:type="dxa"/>
        </w:tcPr>
        <w:p w:rsidR="00A93968" w:rsidRDefault="00A93968">
          <w:pPr>
            <w:pStyle w:val="HeaderNumberRight"/>
          </w:pPr>
        </w:p>
      </w:tc>
    </w:tr>
    <w:tr w:rsidR="00A93968">
      <w:trPr>
        <w:cantSplit/>
      </w:trPr>
      <w:tc>
        <w:tcPr>
          <w:tcW w:w="7312" w:type="dxa"/>
          <w:gridSpan w:val="2"/>
        </w:tcPr>
        <w:p w:rsidR="00A93968" w:rsidRDefault="00A93968">
          <w:pPr>
            <w:pStyle w:val="HeaderSectionRight"/>
          </w:pP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5140C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258A3">
      <w:rPr>
        <w:i/>
        <w:noProof/>
      </w:rPr>
      <w:t>Bunbury Harbour (East Perth-Bunbury) Railway Act 1970</w:t>
    </w:r>
    <w:r>
      <w:rPr>
        <w:i/>
      </w:rPr>
      <w:fldChar w:fldCharType="end"/>
    </w:r>
  </w:p>
  <w:p w:rsidR="00A93968" w:rsidRDefault="00A93968">
    <w:pPr>
      <w:pStyle w:val="headerpartodd"/>
      <w:ind w:left="0" w:firstLine="0"/>
      <w:rPr>
        <w:b w:val="0"/>
        <w:i/>
      </w:rPr>
    </w:pPr>
  </w:p>
  <w:p w:rsidR="00A93968" w:rsidRDefault="00A93968">
    <w:pPr>
      <w:pStyle w:val="headerpart"/>
    </w:pPr>
  </w:p>
  <w:p w:rsidR="00A93968" w:rsidRDefault="00A93968">
    <w:pPr>
      <w:pStyle w:val="headerpart"/>
    </w:pPr>
  </w:p>
  <w:p w:rsidR="00A93968" w:rsidRDefault="00A93968">
    <w:pPr>
      <w:pBdr>
        <w:bottom w:val="single" w:sz="6" w:space="1" w:color="auto"/>
      </w:pBdr>
      <w:rPr>
        <w:b/>
      </w:rPr>
    </w:pPr>
  </w:p>
  <w:p w:rsidR="00A93968" w:rsidRDefault="00A9396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5140C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258A3">
      <w:rPr>
        <w:i/>
        <w:noProof/>
      </w:rPr>
      <w:t>Bunbury Harbour (East Perth-Bunbury) Railway Act 1970</w:t>
    </w:r>
    <w:r>
      <w:rPr>
        <w:i/>
      </w:rPr>
      <w:fldChar w:fldCharType="end"/>
    </w:r>
  </w:p>
  <w:p w:rsidR="00A93968" w:rsidRDefault="00A93968">
    <w:pPr>
      <w:pStyle w:val="headerpartodd"/>
      <w:ind w:left="0" w:firstLine="0"/>
      <w:jc w:val="right"/>
      <w:rPr>
        <w:b w:val="0"/>
        <w:i/>
      </w:rPr>
    </w:pPr>
  </w:p>
  <w:p w:rsidR="00A93968" w:rsidRDefault="00A93968">
    <w:pPr>
      <w:pStyle w:val="headerpart"/>
      <w:jc w:val="right"/>
    </w:pPr>
  </w:p>
  <w:p w:rsidR="00A93968" w:rsidRDefault="00A93968">
    <w:pPr>
      <w:pStyle w:val="headerpart"/>
      <w:jc w:val="right"/>
    </w:pPr>
  </w:p>
  <w:p w:rsidR="00A93968" w:rsidRDefault="00A93968">
    <w:pPr>
      <w:pBdr>
        <w:bottom w:val="single" w:sz="6" w:space="1" w:color="auto"/>
      </w:pBdr>
      <w:jc w:val="right"/>
      <w:rPr>
        <w:b/>
      </w:rPr>
    </w:pPr>
  </w:p>
  <w:p w:rsidR="00A93968" w:rsidRDefault="00A93968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93968">
      <w:trPr>
        <w:cantSplit/>
      </w:trPr>
      <w:tc>
        <w:tcPr>
          <w:tcW w:w="7258" w:type="dxa"/>
          <w:gridSpan w:val="2"/>
        </w:tcPr>
        <w:p w:rsidR="00A93968" w:rsidRDefault="005140C5">
          <w:pPr>
            <w:pStyle w:val="HeaderActNameLeft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</w:pPr>
        </w:p>
      </w:tc>
      <w:tc>
        <w:tcPr>
          <w:tcW w:w="5715" w:type="dxa"/>
        </w:tcPr>
        <w:p w:rsidR="00A93968" w:rsidRDefault="00A93968">
          <w:pPr>
            <w:pStyle w:val="HeaderTextLeft"/>
          </w:pPr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</w:pPr>
        </w:p>
      </w:tc>
      <w:tc>
        <w:tcPr>
          <w:tcW w:w="5715" w:type="dxa"/>
        </w:tcPr>
        <w:p w:rsidR="00A93968" w:rsidRDefault="00A93968">
          <w:pPr>
            <w:pStyle w:val="HeaderTextLeft"/>
          </w:pPr>
        </w:p>
      </w:tc>
    </w:tr>
    <w:tr w:rsidR="00A93968">
      <w:trPr>
        <w:cantSplit/>
      </w:trPr>
      <w:tc>
        <w:tcPr>
          <w:tcW w:w="7258" w:type="dxa"/>
          <w:gridSpan w:val="2"/>
        </w:tcPr>
        <w:p w:rsidR="00A93968" w:rsidRDefault="005140C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93968">
      <w:trPr>
        <w:cantSplit/>
      </w:trPr>
      <w:tc>
        <w:tcPr>
          <w:tcW w:w="7258" w:type="dxa"/>
          <w:gridSpan w:val="2"/>
        </w:tcPr>
        <w:p w:rsidR="00A93968" w:rsidRDefault="005140C5">
          <w:pPr>
            <w:pStyle w:val="HeaderActNameRight"/>
            <w:ind w:right="17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5715" w:type="dxa"/>
        </w:tcPr>
        <w:p w:rsidR="00A93968" w:rsidRDefault="00A93968">
          <w:pPr>
            <w:pStyle w:val="HeaderTextRight"/>
          </w:pPr>
        </w:p>
      </w:tc>
      <w:tc>
        <w:tcPr>
          <w:tcW w:w="1548" w:type="dxa"/>
        </w:tcPr>
        <w:p w:rsidR="00A93968" w:rsidRDefault="00A93968">
          <w:pPr>
            <w:pStyle w:val="HeaderNumberRight"/>
            <w:ind w:right="17"/>
          </w:pPr>
        </w:p>
      </w:tc>
    </w:tr>
    <w:tr w:rsidR="00A93968">
      <w:tc>
        <w:tcPr>
          <w:tcW w:w="5715" w:type="dxa"/>
        </w:tcPr>
        <w:p w:rsidR="00A93968" w:rsidRDefault="00A93968">
          <w:pPr>
            <w:pStyle w:val="HeaderTextRight"/>
          </w:pPr>
        </w:p>
      </w:tc>
      <w:tc>
        <w:tcPr>
          <w:tcW w:w="1548" w:type="dxa"/>
        </w:tcPr>
        <w:p w:rsidR="00A93968" w:rsidRDefault="00A93968">
          <w:pPr>
            <w:pStyle w:val="HeaderNumberRight"/>
            <w:ind w:right="17"/>
          </w:pPr>
        </w:p>
      </w:tc>
    </w:tr>
    <w:tr w:rsidR="00A93968">
      <w:trPr>
        <w:cantSplit/>
      </w:trPr>
      <w:tc>
        <w:tcPr>
          <w:tcW w:w="7258" w:type="dxa"/>
          <w:gridSpan w:val="2"/>
        </w:tcPr>
        <w:p w:rsidR="00A93968" w:rsidRDefault="005140C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ActNameLeft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1305" w:type="dxa"/>
        </w:tcPr>
        <w:p w:rsidR="00A93968" w:rsidRDefault="005140C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93968" w:rsidRDefault="005140C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93968">
      <w:tc>
        <w:tcPr>
          <w:tcW w:w="1305" w:type="dxa"/>
        </w:tcPr>
        <w:p w:rsidR="00A93968" w:rsidRDefault="005140C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93968" w:rsidRDefault="005140C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SectionLeft"/>
          </w:pPr>
          <w:r>
            <w:t xml:space="preserve">s. </w:t>
          </w:r>
          <w:fldSimple w:instr=" styleref CharSectno ">
            <w:r w:rsidR="006258A3">
              <w:rPr>
                <w:noProof/>
              </w:rPr>
              <w:t>1</w:t>
            </w:r>
          </w:fldSimple>
        </w:p>
      </w:tc>
    </w:tr>
  </w:tbl>
  <w:p w:rsidR="00A93968" w:rsidRDefault="00A93968">
    <w:pPr>
      <w:pStyle w:val="HeaderNumberLeft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ActNameRight"/>
          </w:pPr>
          <w:fldSimple w:instr=" Styleref &quot;Name of Act/Reg&quot;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5985" w:type="dxa"/>
        </w:tcPr>
        <w:p w:rsidR="00A93968" w:rsidRDefault="005140C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93968" w:rsidRDefault="005140C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93968">
      <w:tc>
        <w:tcPr>
          <w:tcW w:w="5985" w:type="dxa"/>
        </w:tcPr>
        <w:p w:rsidR="00A93968" w:rsidRDefault="005140C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93968" w:rsidRDefault="005140C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93968">
      <w:trPr>
        <w:cantSplit/>
      </w:trPr>
      <w:tc>
        <w:tcPr>
          <w:tcW w:w="7312" w:type="dxa"/>
          <w:gridSpan w:val="2"/>
        </w:tcPr>
        <w:p w:rsidR="00A93968" w:rsidRDefault="005140C5">
          <w:pPr>
            <w:pStyle w:val="HeaderSectionRight"/>
          </w:pPr>
          <w:r>
            <w:t xml:space="preserve">s. </w:t>
          </w:r>
          <w:fldSimple w:instr=" styleref CharSectno ">
            <w:r w:rsidR="006258A3">
              <w:rPr>
                <w:noProof/>
              </w:rPr>
              <w:t>1</w:t>
            </w:r>
          </w:fldSimple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8" w:rsidRDefault="00A9396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93968">
      <w:trPr>
        <w:cantSplit/>
      </w:trPr>
      <w:tc>
        <w:tcPr>
          <w:tcW w:w="7258" w:type="dxa"/>
          <w:gridSpan w:val="2"/>
        </w:tcPr>
        <w:p w:rsidR="00A93968" w:rsidRDefault="005140C5">
          <w:pPr>
            <w:pStyle w:val="HeaderActNameLeft"/>
          </w:pPr>
          <w:fldSimple w:instr=" STYLEREF &quot;Name of Act/Reg&quot; \* MERGEFORMAT ">
            <w:r w:rsidR="006258A3">
              <w:rPr>
                <w:noProof/>
              </w:rPr>
              <w:t>Bunbury Harbour (East Perth-Bunbury) Railway Act 1970</w:t>
            </w:r>
          </w:fldSimple>
        </w:p>
      </w:tc>
    </w:tr>
    <w:tr w:rsidR="00A93968">
      <w:tc>
        <w:tcPr>
          <w:tcW w:w="1548" w:type="dxa"/>
        </w:tcPr>
        <w:p w:rsidR="00A93968" w:rsidRDefault="005140C5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A93968" w:rsidRDefault="005140C5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A93968" w:rsidRDefault="00A93968">
          <w:pPr>
            <w:pStyle w:val="HeaderTextLeft"/>
          </w:pPr>
        </w:p>
      </w:tc>
    </w:tr>
    <w:tr w:rsidR="00A93968">
      <w:tc>
        <w:tcPr>
          <w:tcW w:w="1548" w:type="dxa"/>
        </w:tcPr>
        <w:p w:rsidR="00A93968" w:rsidRDefault="00A93968">
          <w:pPr>
            <w:pStyle w:val="HeaderNumberLeft"/>
          </w:pPr>
        </w:p>
      </w:tc>
      <w:tc>
        <w:tcPr>
          <w:tcW w:w="5715" w:type="dxa"/>
        </w:tcPr>
        <w:p w:rsidR="00A93968" w:rsidRDefault="00A93968">
          <w:pPr>
            <w:pStyle w:val="HeaderTextLeft"/>
          </w:pPr>
        </w:p>
      </w:tc>
    </w:tr>
  </w:tbl>
  <w:p w:rsidR="00A93968" w:rsidRDefault="00A9396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AAFB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2E1D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9CB5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EEB8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3E2B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C8F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BC59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4E0B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47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3E54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55A28A6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C5"/>
    <w:rsid w:val="005140C5"/>
    <w:rsid w:val="006258A3"/>
    <w:rsid w:val="00A76520"/>
    <w:rsid w:val="00A7672B"/>
    <w:rsid w:val="00A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3689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4390</CharactersWithSpaces>
  <SharedDoc>false</SharedDoc>
  <HLinks>
    <vt:vector size="12" baseType="variant">
      <vt:variant>
        <vt:i4>65542</vt:i4>
      </vt:variant>
      <vt:variant>
        <vt:i4>1904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Bunbury Harbour (East Perth-Bunbury) Railway Act 1970 - 01-a0-05</dc:title>
  <dc:subject/>
  <dc:creator>Matthew Pether</dc:creator>
  <cp:keywords/>
  <cp:lastModifiedBy>svcMRProcess</cp:lastModifiedBy>
  <cp:revision>4</cp:revision>
  <cp:lastPrinted>2007-02-14T06:29:00Z</cp:lastPrinted>
  <dcterms:created xsi:type="dcterms:W3CDTF">2013-02-13T13:02:00Z</dcterms:created>
  <dcterms:modified xsi:type="dcterms:W3CDTF">2013-02-13T13:02:00Z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25 of 1970</vt:lpwstr>
  </property>
  <property fmtid="{D5CDD505-2E9C-101B-9397-08002B2CF9AE}" pid="3" name="CommencementDate">
    <vt:lpwstr>20070209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91</vt:i4>
  </property>
  <property fmtid="{D5CDD505-2E9C-101B-9397-08002B2CF9AE}" pid="7" name="AsAtDate">
    <vt:lpwstr>09 Feb 2007</vt:lpwstr>
  </property>
  <property fmtid="{D5CDD505-2E9C-101B-9397-08002B2CF9AE}" pid="8" name="Suffix">
    <vt:lpwstr>01-a0-05</vt:lpwstr>
  </property>
</Properties>
</file>