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 Acts (Request)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Australia Acts (Request)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_Toc412630707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_Toc412630708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Commonwealth requested to enact Act (Sch. 1)</w:t>
      </w:r>
      <w:r>
        <w:tab/>
      </w:r>
      <w:r>
        <w:fldChar w:fldCharType="begin"/>
      </w:r>
      <w:r>
        <w:instrText xml:space="preserve"> PAGEREF _Toc412630709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United Kingdom requested to enact Act (Sch. to Sch. 2)</w:t>
      </w:r>
      <w:r>
        <w:tab/>
      </w:r>
      <w:r>
        <w:fldChar w:fldCharType="begin"/>
      </w:r>
      <w:r>
        <w:instrText xml:space="preserve"> PAGEREF _Toc412630710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Commonwealth requested to enact Act (Sch. 2)</w:t>
      </w:r>
      <w:r>
        <w:tab/>
      </w:r>
      <w:r>
        <w:fldChar w:fldCharType="begin"/>
      </w:r>
      <w:r>
        <w:instrText xml:space="preserve"> PAGEREF _Toc412630711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First Schedule — Requested Commonwealth Act: </w:t>
      </w:r>
      <w:r>
        <w:rPr>
          <w:i/>
          <w:iCs/>
        </w:rPr>
        <w:t>Australia Act 1986</w:t>
      </w:r>
    </w:p>
    <w:p>
      <w:pPr>
        <w:pStyle w:val="TOC2"/>
        <w:tabs>
          <w:tab w:val="right" w:leader="dot" w:pos="7077"/>
        </w:tabs>
        <w:rPr>
          <w:rFonts w:asciiTheme="minorHAnsi" w:eastAsiaTheme="minorEastAsia" w:hAnsiTheme="minorHAnsi" w:cstheme="minorBidi"/>
          <w:b w:val="0"/>
          <w:sz w:val="22"/>
          <w:szCs w:val="22"/>
        </w:rPr>
      </w:pPr>
      <w:r>
        <w:t xml:space="preserve">Second Schedule — Requested Commonwealth Act: </w:t>
      </w:r>
      <w:r>
        <w:rPr>
          <w:i/>
          <w:iCs/>
        </w:rPr>
        <w:t>Australia (Request and Consent) Act 1985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_Toc412630715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 xml:space="preserve">Australia Acts (Request) Act 1985 </w:t>
      </w:r>
    </w:p>
    <w:p>
      <w:pPr>
        <w:pStyle w:val="LongTitle"/>
        <w:rPr>
          <w:snapToGrid w:val="0"/>
        </w:rPr>
      </w:pPr>
      <w:r>
        <w:rPr>
          <w:snapToGrid w:val="0"/>
        </w:rPr>
        <w:t xml:space="preserve">An Act to enable the constitutional arrangements affecting the Commonwealth and the States to be brought into conformity with the status of the Commonwealth of Australia as a sovereign, independent and federal nation. </w:t>
      </w:r>
    </w:p>
    <w:p>
      <w:pPr>
        <w:pStyle w:val="Preamble1"/>
        <w:spacing w:before="400"/>
        <w:rPr>
          <w:snapToGrid w:val="0"/>
        </w:rPr>
      </w:pPr>
      <w:r>
        <w:t>Preamble</w:t>
      </w:r>
    </w:p>
    <w:p>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pPr>
        <w:pStyle w:val="Preamble2"/>
        <w:rPr>
          <w:snapToGrid w:val="0"/>
        </w:rPr>
      </w:pPr>
      <w:r>
        <w:rPr>
          <w:snapToGrid w:val="0"/>
        </w:rPr>
        <w:t>and whereas it has been agreed that the Parliament of the Commonwealth with the concurrence of all the States should enact an Act requesting and consenting to the enactment by the Parliament of the United Kingdom of an Act in the terms of the Schedule to the Act contained in the Second Schedule:</w:t>
      </w:r>
    </w:p>
    <w:p>
      <w:pPr>
        <w:pStyle w:val="Footnotepreamble"/>
      </w:pPr>
      <w:r>
        <w:lastRenderedPageBreak/>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369709"/>
      <w:bookmarkStart w:id="4" w:name="_Toc41263070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pPr>
        <w:pStyle w:val="Heading5"/>
        <w:rPr>
          <w:snapToGrid w:val="0"/>
        </w:rPr>
      </w:pPr>
      <w:bookmarkStart w:id="5" w:name="_Toc377369710"/>
      <w:bookmarkStart w:id="6" w:name="_Toc41263070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pPr>
        <w:pStyle w:val="Heading5"/>
        <w:rPr>
          <w:snapToGrid w:val="0"/>
        </w:rPr>
      </w:pPr>
      <w:bookmarkStart w:id="7" w:name="_Toc377369711"/>
      <w:bookmarkStart w:id="8" w:name="_Toc412630709"/>
      <w:r>
        <w:rPr>
          <w:rStyle w:val="CharSectno"/>
        </w:rPr>
        <w:t>3</w:t>
      </w:r>
      <w:r>
        <w:rPr>
          <w:snapToGrid w:val="0"/>
        </w:rPr>
        <w:t>.</w:t>
      </w:r>
      <w:r>
        <w:rPr>
          <w:snapToGrid w:val="0"/>
        </w:rPr>
        <w:tab/>
        <w:t>Commonwealth requested to enact Act (Sch. 1)</w:t>
      </w:r>
      <w:bookmarkEnd w:id="7"/>
      <w:bookmarkEnd w:id="8"/>
      <w:r>
        <w:rPr>
          <w:snapToGrid w:val="0"/>
        </w:rPr>
        <w:t xml:space="preserve"> </w:t>
      </w:r>
    </w:p>
    <w:p>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pPr>
        <w:pStyle w:val="Heading5"/>
        <w:rPr>
          <w:snapToGrid w:val="0"/>
        </w:rPr>
      </w:pPr>
      <w:bookmarkStart w:id="9" w:name="_Toc377369712"/>
      <w:bookmarkStart w:id="10" w:name="_Toc412630710"/>
      <w:r>
        <w:rPr>
          <w:rStyle w:val="CharSectno"/>
        </w:rPr>
        <w:t>4</w:t>
      </w:r>
      <w:r>
        <w:rPr>
          <w:snapToGrid w:val="0"/>
        </w:rPr>
        <w:t>.</w:t>
      </w:r>
      <w:r>
        <w:rPr>
          <w:snapToGrid w:val="0"/>
        </w:rPr>
        <w:tab/>
        <w:t>United Kingdom requested to enact Act (Sch. to Sch. 2)</w:t>
      </w:r>
      <w:bookmarkEnd w:id="9"/>
      <w:bookmarkEnd w:id="10"/>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pPr>
        <w:pStyle w:val="Heading5"/>
        <w:rPr>
          <w:snapToGrid w:val="0"/>
        </w:rPr>
      </w:pPr>
      <w:bookmarkStart w:id="11" w:name="_Toc377369713"/>
      <w:bookmarkStart w:id="12" w:name="_Toc412630711"/>
      <w:r>
        <w:rPr>
          <w:rStyle w:val="CharSectno"/>
        </w:rPr>
        <w:t>5</w:t>
      </w:r>
      <w:r>
        <w:rPr>
          <w:snapToGrid w:val="0"/>
        </w:rPr>
        <w:t>.</w:t>
      </w:r>
      <w:r>
        <w:rPr>
          <w:snapToGrid w:val="0"/>
        </w:rPr>
        <w:tab/>
        <w:t>Commonwealth requested to enact Act (Sch. 2)</w:t>
      </w:r>
      <w:bookmarkEnd w:id="11"/>
      <w:bookmarkEnd w:id="12"/>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 w:name="_Toc377369714"/>
      <w:bookmarkStart w:id="14" w:name="_Toc412629422"/>
      <w:bookmarkStart w:id="15" w:name="_Toc412629460"/>
      <w:bookmarkStart w:id="16" w:name="_Toc412630659"/>
      <w:bookmarkStart w:id="17" w:name="_Toc412630712"/>
      <w:r>
        <w:rPr>
          <w:rStyle w:val="CharSchNo"/>
        </w:rPr>
        <w:lastRenderedPageBreak/>
        <w:t>First Schedule</w:t>
      </w:r>
      <w:r>
        <w:t xml:space="preserve"> — </w:t>
      </w:r>
      <w:r>
        <w:rPr>
          <w:rStyle w:val="CharSchText"/>
        </w:rPr>
        <w:t xml:space="preserve">Requested Commonwealth Act: </w:t>
      </w:r>
      <w:r>
        <w:rPr>
          <w:rStyle w:val="CharSchText"/>
          <w:i/>
          <w:iCs/>
        </w:rPr>
        <w:t>Australia Act 1986</w:t>
      </w:r>
      <w:bookmarkEnd w:id="13"/>
      <w:bookmarkEnd w:id="14"/>
      <w:bookmarkEnd w:id="15"/>
      <w:bookmarkEnd w:id="16"/>
      <w:bookmarkEnd w:id="17"/>
    </w:p>
    <w:p>
      <w:pPr>
        <w:pStyle w:val="yShoulderClause"/>
        <w:rPr>
          <w:snapToGrid w:val="0"/>
        </w:rPr>
      </w:pPr>
      <w:r>
        <w:rPr>
          <w:snapToGrid w:val="0"/>
        </w:rPr>
        <w:t>[s. 3]</w:t>
      </w:r>
    </w:p>
    <w:p>
      <w:pPr>
        <w:pStyle w:val="yFootnotesection"/>
      </w:pPr>
      <w:r>
        <w:tab/>
        <w:t>[Heading amended by No. 19 of 2010 s. 4.]</w:t>
      </w:r>
    </w:p>
    <w:p>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snapToGrid w:val="0"/>
        </w:rPr>
      </w:pPr>
      <w:r>
        <w:rPr>
          <w:b/>
          <w:snapToGrid w:val="0"/>
        </w:rPr>
        <w:t>Legislative</w:t>
      </w:r>
      <w:r>
        <w:rPr>
          <w:snapToGrid w:val="0"/>
        </w:rPr>
        <w:t xml:space="preserve"> </w:t>
      </w:r>
      <w:r>
        <w:rPr>
          <w:b/>
          <w:snapToGrid w:val="0"/>
        </w:rPr>
        <w:t>powers of Parliaments of States</w:t>
      </w:r>
    </w:p>
    <w:p>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s>
        <w:rPr>
          <w:snapToGrid w:val="0"/>
        </w:rPr>
      </w:pPr>
      <w:r>
        <w:rPr>
          <w:snapToGrid w:val="0"/>
        </w:rPr>
        <w:tab/>
        <w:t>(2)</w:t>
      </w:r>
      <w:r>
        <w:rPr>
          <w:snapToGrid w:val="0"/>
        </w:rPr>
        <w:tab/>
        <w:t xml:space="preserve">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w:t>
      </w:r>
      <w:r>
        <w:rPr>
          <w:snapToGrid w:val="0"/>
        </w:rPr>
        <w:lastRenderedPageBreak/>
        <w:t>immediately before the commencement of this Act to engage in relations with countries outside Australia.</w:t>
      </w:r>
    </w:p>
    <w:p>
      <w:pPr>
        <w:pStyle w:val="yMiscellaneousBody"/>
        <w:keepNext/>
        <w:tabs>
          <w:tab w:val="left" w:pos="426"/>
          <w:tab w:val="left" w:pos="851"/>
        </w:tabs>
        <w:rPr>
          <w:b/>
          <w:snapToGrid w:val="0"/>
        </w:rPr>
      </w:pPr>
      <w:r>
        <w:rPr>
          <w:b/>
          <w:snapToGrid w:val="0"/>
        </w:rPr>
        <w:t>Termination of restrictions on legislative powers of Parliaments of States</w:t>
      </w:r>
    </w:p>
    <w:p>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snapToGrid w:val="0"/>
        </w:rPr>
      </w:pPr>
      <w:r>
        <w:rPr>
          <w:b/>
          <w:snapToGrid w:val="0"/>
        </w:rPr>
        <w:t>Powers of State Parliaments in relation to merchant shipping</w:t>
      </w:r>
    </w:p>
    <w:p>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pPr>
        <w:pStyle w:val="yMiscellaneousBody"/>
        <w:keepNext/>
        <w:rPr>
          <w:b/>
          <w:snapToGrid w:val="0"/>
        </w:rPr>
      </w:pPr>
      <w:r>
        <w:rPr>
          <w:b/>
          <w:snapToGrid w:val="0"/>
        </w:rPr>
        <w:t>Commonwealth Constitution, Constitution Act and Statute of Westminster not affected</w:t>
      </w:r>
    </w:p>
    <w:p>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s>
        <w:rPr>
          <w:snapToGrid w:val="0"/>
        </w:rPr>
      </w:pPr>
      <w:r>
        <w:rPr>
          <w:snapToGrid w:val="0"/>
        </w:rPr>
        <w:tab/>
        <w:t>(2)</w:t>
      </w:r>
      <w:r>
        <w:rPr>
          <w:snapToGrid w:val="0"/>
        </w:rPr>
        <w:tab/>
        <w:t>Subject to subsection (4) below — </w:t>
      </w:r>
    </w:p>
    <w:p>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rPr>
          <w:snapToGrid w:val="0"/>
        </w:rPr>
      </w:pPr>
      <w:r>
        <w:rPr>
          <w:snapToGrid w:val="0"/>
        </w:rPr>
        <w:t>in so far as they are part of the law of the Commonwealth, of a State or of a Territory, are hereby repealed.</w:t>
      </w:r>
    </w:p>
    <w:p>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pPr>
        <w:pStyle w:val="yMiscellaneousBody"/>
        <w:tabs>
          <w:tab w:val="left" w:pos="426"/>
          <w:tab w:val="left" w:pos="851"/>
        </w:tabs>
        <w:rPr>
          <w:snapToGrid w:val="0"/>
        </w:rPr>
      </w:pPr>
      <w:r>
        <w:rPr>
          <w:snapToGrid w:val="0"/>
        </w:rPr>
        <w:tab/>
        <w:t>(4)</w:t>
      </w:r>
      <w:r>
        <w:rPr>
          <w:snapToGrid w:val="0"/>
        </w:rPr>
        <w:tab/>
        <w:t>Nothing in the foregoing provisions of this section — </w:t>
      </w:r>
    </w:p>
    <w:p>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s>
        <w:rPr>
          <w:snapToGrid w:val="0"/>
        </w:rPr>
      </w:pPr>
      <w:r>
        <w:rPr>
          <w:snapToGrid w:val="0"/>
        </w:rPr>
        <w:tab/>
        <w:t>(3)</w:t>
      </w:r>
      <w:r>
        <w:rPr>
          <w:snapToGrid w:val="0"/>
        </w:rPr>
        <w:tab/>
        <w:t>Section 11B of the Principal Act is amended — </w:t>
      </w:r>
    </w:p>
    <w:p>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s>
        <w:rPr>
          <w:snapToGrid w:val="0"/>
        </w:rPr>
      </w:pPr>
      <w:r>
        <w:rPr>
          <w:snapToGrid w:val="0"/>
        </w:rPr>
        <w:tab/>
        <w:t>(b)</w:t>
      </w:r>
      <w:r>
        <w:rPr>
          <w:snapToGrid w:val="0"/>
        </w:rPr>
        <w:tab/>
        <w:t>by omitting subsection (1); and</w:t>
      </w:r>
    </w:p>
    <w:p>
      <w:pPr>
        <w:pStyle w:val="yMiscellaneousBody"/>
        <w:tabs>
          <w:tab w:val="left" w:pos="426"/>
          <w:tab w:val="left" w:pos="851"/>
        </w:tabs>
        <w:rPr>
          <w:snapToGrid w:val="0"/>
        </w:rPr>
      </w:pPr>
      <w:r>
        <w:rPr>
          <w:snapToGrid w:val="0"/>
        </w:rPr>
        <w:tab/>
        <w:t>(c)</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subsection (1); and</w:t>
      </w:r>
    </w:p>
    <w:p>
      <w:pPr>
        <w:pStyle w:val="yMiscellaneousBody"/>
        <w:tabs>
          <w:tab w:val="left" w:pos="426"/>
          <w:tab w:val="left" w:pos="851"/>
          <w:tab w:val="left" w:pos="1276"/>
        </w:tabs>
        <w:rPr>
          <w:snapToGrid w:val="0"/>
        </w:rPr>
      </w:pPr>
      <w:r>
        <w:rPr>
          <w:snapToGrid w:val="0"/>
        </w:rPr>
        <w:tab/>
        <w:t>(b)</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Short title and commencement </w:t>
      </w:r>
      <w:r>
        <w:rPr>
          <w:b/>
          <w:snapToGrid w:val="0"/>
          <w:vertAlign w:val="superscript"/>
        </w:rPr>
        <w:t>2</w:t>
      </w:r>
    </w:p>
    <w:p>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pPr>
        <w:pStyle w:val="yScheduleHeading"/>
      </w:pPr>
      <w:bookmarkStart w:id="18" w:name="_Toc377369715"/>
      <w:bookmarkStart w:id="19" w:name="_Toc412629423"/>
      <w:bookmarkStart w:id="20" w:name="_Toc412629461"/>
      <w:bookmarkStart w:id="21" w:name="_Toc412630660"/>
      <w:bookmarkStart w:id="22" w:name="_Toc412630713"/>
      <w:r>
        <w:rPr>
          <w:rStyle w:val="CharSchNo"/>
        </w:rPr>
        <w:t>Second Schedule</w:t>
      </w:r>
      <w:r>
        <w:t xml:space="preserve"> — </w:t>
      </w:r>
      <w:r>
        <w:rPr>
          <w:rStyle w:val="CharSchText"/>
        </w:rPr>
        <w:t xml:space="preserve">Requested Commonwealth Act: </w:t>
      </w:r>
      <w:r>
        <w:rPr>
          <w:rStyle w:val="CharSchText"/>
          <w:i/>
          <w:iCs/>
        </w:rPr>
        <w:t>Australia (Request and Consent) Act 1985</w:t>
      </w:r>
      <w:bookmarkEnd w:id="18"/>
      <w:bookmarkEnd w:id="19"/>
      <w:bookmarkEnd w:id="20"/>
      <w:bookmarkEnd w:id="21"/>
      <w:bookmarkEnd w:id="22"/>
    </w:p>
    <w:p>
      <w:pPr>
        <w:pStyle w:val="yShoulderClause"/>
        <w:rPr>
          <w:snapToGrid w:val="0"/>
        </w:rPr>
      </w:pPr>
      <w:r>
        <w:rPr>
          <w:snapToGrid w:val="0"/>
        </w:rPr>
        <w:t>[s. 5]</w:t>
      </w:r>
    </w:p>
    <w:p>
      <w:pPr>
        <w:pStyle w:val="yFootnotesection"/>
      </w:pPr>
      <w:r>
        <w:tab/>
        <w:t>[Heading amended by No. 19 of 2010 s. 4.]</w:t>
      </w:r>
    </w:p>
    <w:p>
      <w:pPr>
        <w:pStyle w:val="yMiscellaneousHeading"/>
        <w:rPr>
          <w:b/>
          <w:snapToGrid w:val="0"/>
        </w:rPr>
      </w:pPr>
      <w:r>
        <w:rPr>
          <w:b/>
          <w:snapToGrid w:val="0"/>
        </w:rPr>
        <w:t>An Act to request, and consent to, the enactment by the Parliament of the United Kingdom of an Act in the terms set out in the Schedule to this Act</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snapToGrid w:val="0"/>
        </w:rPr>
      </w:pPr>
      <w:r>
        <w:rPr>
          <w:b/>
          <w:snapToGrid w:val="0"/>
        </w:rPr>
        <w:t>Short title</w:t>
      </w:r>
    </w:p>
    <w:p>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pPr>
        <w:pStyle w:val="yMiscellaneousBody"/>
        <w:keepNext/>
        <w:rPr>
          <w:b/>
          <w:snapToGrid w:val="0"/>
        </w:rPr>
      </w:pPr>
      <w:r>
        <w:rPr>
          <w:b/>
          <w:snapToGrid w:val="0"/>
        </w:rPr>
        <w:t>Commencement</w:t>
      </w:r>
    </w:p>
    <w:p>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pPr>
        <w:pStyle w:val="yMiscellaneousBody"/>
        <w:keepNext/>
        <w:rPr>
          <w:snapToGrid w:val="0"/>
        </w:rPr>
      </w:pPr>
      <w:r>
        <w:rPr>
          <w:b/>
          <w:snapToGrid w:val="0"/>
        </w:rPr>
        <w:t>Request and consent to United Kingdom legislation</w:t>
      </w:r>
    </w:p>
    <w:p>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pPr>
        <w:pStyle w:val="yMiscellaneousBody"/>
        <w:keepNext/>
        <w:spacing w:after="120"/>
        <w:jc w:val="center"/>
        <w:rPr>
          <w:b/>
        </w:rPr>
      </w:pPr>
      <w:r>
        <w:rPr>
          <w:b/>
        </w:rPr>
        <w:t>_________</w:t>
      </w:r>
    </w:p>
    <w:p>
      <w:pPr>
        <w:pStyle w:val="yMiscellaneousBody"/>
        <w:keepNext/>
        <w:jc w:val="center"/>
        <w:rPr>
          <w:b/>
        </w:rPr>
      </w:pPr>
      <w:r>
        <w:rPr>
          <w:b/>
        </w:rPr>
        <w:t>Schedule</w:t>
      </w:r>
    </w:p>
    <w:p>
      <w:pPr>
        <w:pStyle w:val="yMiscellaneousBody"/>
        <w:keepNext/>
        <w:jc w:val="right"/>
        <w:rPr>
          <w:snapToGrid w:val="0"/>
        </w:rPr>
      </w:pPr>
      <w:r>
        <w:rPr>
          <w:snapToGrid w:val="0"/>
        </w:rPr>
        <w:t>Section 3</w:t>
      </w:r>
    </w:p>
    <w:p>
      <w:pPr>
        <w:pStyle w:val="yMiscellaneousBody"/>
        <w:rPr>
          <w:snapToGrid w:val="0"/>
        </w:rPr>
      </w:pPr>
      <w:r>
        <w:rPr>
          <w:snapToGrid w:val="0"/>
        </w:rPr>
        <w:t>An Act to give effect to a request by the Parliament and Government of the Commonwealth of Australia.</w:t>
      </w:r>
    </w:p>
    <w:p>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b/>
          <w:snapToGrid w:val="0"/>
        </w:rPr>
      </w:pPr>
      <w:r>
        <w:rPr>
          <w:b/>
          <w:snapToGrid w:val="0"/>
        </w:rPr>
        <w:t>Legislative powers of Parliaments of States</w:t>
      </w:r>
    </w:p>
    <w:p>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rPr>
          <w:b/>
          <w:snapToGrid w:val="0"/>
        </w:rPr>
      </w:pPr>
      <w:r>
        <w:rPr>
          <w:b/>
          <w:snapToGrid w:val="0"/>
        </w:rPr>
        <w:t>Termination of restrictions on legislative powers of Parliaments of States</w:t>
      </w:r>
    </w:p>
    <w:p>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b/>
          <w:snapToGrid w:val="0"/>
        </w:rPr>
      </w:pPr>
      <w:r>
        <w:rPr>
          <w:b/>
          <w:snapToGrid w:val="0"/>
        </w:rPr>
        <w:t>Powers of State Parliaments in relation to merchant shipping</w:t>
      </w:r>
    </w:p>
    <w:p>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pPr>
        <w:pStyle w:val="yMiscellaneousBody"/>
        <w:keepNext/>
        <w:tabs>
          <w:tab w:val="left" w:pos="426"/>
          <w:tab w:val="left" w:pos="851"/>
          <w:tab w:val="left" w:pos="1276"/>
        </w:tabs>
        <w:rPr>
          <w:snapToGrid w:val="0"/>
        </w:rPr>
      </w:pPr>
      <w:r>
        <w:rPr>
          <w:b/>
          <w:snapToGrid w:val="0"/>
        </w:rPr>
        <w:t>Commonwealth Constitution, Constitution Act and Statute of Westminster not affected</w:t>
      </w:r>
    </w:p>
    <w:p>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 w:val="left" w:pos="1276"/>
        </w:tabs>
        <w:rPr>
          <w:snapToGrid w:val="0"/>
        </w:rPr>
      </w:pPr>
      <w:r>
        <w:rPr>
          <w:snapToGrid w:val="0"/>
        </w:rPr>
        <w:tab/>
        <w:t>(2)</w:t>
      </w:r>
      <w:r>
        <w:rPr>
          <w:snapToGrid w:val="0"/>
        </w:rPr>
        <w:tab/>
        <w:t>Subject to subsection (4) below — </w:t>
      </w:r>
    </w:p>
    <w:p>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 w:val="left" w:pos="851"/>
          <w:tab w:val="left" w:pos="1276"/>
        </w:tabs>
        <w:rPr>
          <w:snapToGrid w:val="0"/>
        </w:rPr>
      </w:pPr>
      <w:r>
        <w:rPr>
          <w:snapToGrid w:val="0"/>
        </w:rPr>
        <w:tab/>
        <w:t>The Australian Courts Act 1828, section 15</w:t>
      </w:r>
    </w:p>
    <w:p>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pPr>
        <w:pStyle w:val="yMiscellaneousBody"/>
        <w:tabs>
          <w:tab w:val="left" w:pos="426"/>
          <w:tab w:val="left" w:pos="851"/>
          <w:tab w:val="left" w:pos="1276"/>
        </w:tabs>
        <w:rPr>
          <w:snapToGrid w:val="0"/>
        </w:rPr>
      </w:pPr>
      <w:r>
        <w:rPr>
          <w:snapToGrid w:val="0"/>
        </w:rPr>
        <w:tab/>
        <w:t>The Australian Constitutions Act 1850, section 28</w:t>
      </w:r>
    </w:p>
    <w:p>
      <w:pPr>
        <w:pStyle w:val="yMiscellaneousBody"/>
        <w:tabs>
          <w:tab w:val="left" w:pos="426"/>
          <w:tab w:val="left" w:pos="851"/>
          <w:tab w:val="left" w:pos="1276"/>
        </w:tabs>
        <w:rPr>
          <w:snapToGrid w:val="0"/>
        </w:rPr>
      </w:pPr>
      <w:r>
        <w:rPr>
          <w:snapToGrid w:val="0"/>
        </w:rPr>
        <w:tab/>
        <w:t>The Colonial Courts of Admiralty Act 1890, section 6.</w:t>
      </w:r>
    </w:p>
    <w:p>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pPr>
        <w:pStyle w:val="yMiscellaneousBody"/>
        <w:tabs>
          <w:tab w:val="left" w:pos="426"/>
          <w:tab w:val="left" w:pos="851"/>
          <w:tab w:val="left" w:pos="1276"/>
        </w:tabs>
        <w:ind w:left="851" w:hanging="851"/>
      </w:pPr>
      <w:r>
        <w:rPr>
          <w:b/>
        </w:rPr>
        <w:tab/>
      </w:r>
      <w:r>
        <w:rPr>
          <w:rStyle w:val="CharDefText"/>
          <w:b w:val="0"/>
        </w:rPr>
        <w:t>Governor</w:t>
      </w:r>
      <w:r>
        <w:rPr>
          <w:b/>
        </w:rPr>
        <w:t>,</w:t>
      </w:r>
      <w:r>
        <w:t xml:space="preserve"> in relation to a State, includes any person for the time being administering the government of the State;</w:t>
      </w:r>
    </w:p>
    <w:p>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Citation and commencement </w:t>
      </w:r>
      <w:r>
        <w:rPr>
          <w:b/>
          <w:snapToGrid w:val="0"/>
          <w:vertAlign w:val="superscript"/>
        </w:rPr>
        <w:t>3</w:t>
      </w:r>
    </w:p>
    <w:p>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4" w:name="_Toc377369716"/>
      <w:bookmarkStart w:id="25" w:name="_Toc412629424"/>
      <w:bookmarkStart w:id="26" w:name="_Toc412629462"/>
      <w:bookmarkStart w:id="27" w:name="_Toc412630661"/>
      <w:bookmarkStart w:id="28" w:name="_Toc412630714"/>
      <w:r>
        <w:t>Notes</w:t>
      </w:r>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 Acts (Request) Act 1985</w:t>
      </w:r>
      <w:r>
        <w:rPr>
          <w:snapToGrid w:val="0"/>
        </w:rPr>
        <w:t xml:space="preserve"> and includes the amendments made by the other written laws referred to in the following table.  The table also contains information about any reprint.</w:t>
      </w:r>
    </w:p>
    <w:p>
      <w:pPr>
        <w:pStyle w:val="nHeading3"/>
      </w:pPr>
      <w:bookmarkStart w:id="29" w:name="_Toc377369717"/>
      <w:bookmarkStart w:id="30" w:name="_Toc412630715"/>
      <w:r>
        <w:t>Compilation table</w:t>
      </w:r>
      <w:bookmarkEnd w:id="29"/>
      <w:bookmarkEnd w:id="30"/>
    </w:p>
    <w:tbl>
      <w:tblPr>
        <w:tblW w:w="0" w:type="auto"/>
        <w:tblInd w:w="42" w:type="dxa"/>
        <w:tblLayout w:type="fixed"/>
        <w:tblCellMar>
          <w:left w:w="56" w:type="dxa"/>
          <w:right w:w="56" w:type="dxa"/>
        </w:tblCellMar>
        <w:tblLook w:val="0000" w:firstRow="0" w:lastRow="0" w:firstColumn="0" w:lastColumn="0" w:noHBand="0" w:noVBand="0"/>
      </w:tblPr>
      <w:tblGrid>
        <w:gridCol w:w="14"/>
        <w:gridCol w:w="2245"/>
        <w:gridCol w:w="23"/>
        <w:gridCol w:w="1115"/>
        <w:gridCol w:w="19"/>
        <w:gridCol w:w="1116"/>
        <w:gridCol w:w="18"/>
        <w:gridCol w:w="2552"/>
        <w:gridCol w:w="9"/>
      </w:tblGrid>
      <w:tr>
        <w:trPr>
          <w:gridBefore w:val="1"/>
          <w:gridAfter w:val="1"/>
          <w:wBefore w:w="14" w:type="dxa"/>
          <w:wAfter w:w="9" w:type="dxa"/>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gridBefore w:val="1"/>
          <w:gridAfter w:val="1"/>
          <w:wBefore w:w="14" w:type="dxa"/>
          <w:wAfter w:w="9" w:type="dxa"/>
          <w:cantSplit/>
        </w:trPr>
        <w:tc>
          <w:tcPr>
            <w:tcW w:w="2268" w:type="dxa"/>
            <w:gridSpan w:val="2"/>
          </w:tcPr>
          <w:p>
            <w:pPr>
              <w:pStyle w:val="nTable"/>
              <w:spacing w:before="120"/>
              <w:ind w:right="113"/>
            </w:pPr>
            <w:r>
              <w:rPr>
                <w:i/>
              </w:rPr>
              <w:t>Australia Acts (Request) Act 1985</w:t>
            </w:r>
          </w:p>
        </w:tc>
        <w:tc>
          <w:tcPr>
            <w:tcW w:w="1134" w:type="dxa"/>
            <w:gridSpan w:val="2"/>
          </w:tcPr>
          <w:p>
            <w:pPr>
              <w:pStyle w:val="nTable"/>
              <w:spacing w:before="120"/>
            </w:pPr>
            <w:r>
              <w:t>65 of 1985</w:t>
            </w:r>
          </w:p>
        </w:tc>
        <w:tc>
          <w:tcPr>
            <w:tcW w:w="1134" w:type="dxa"/>
            <w:gridSpan w:val="2"/>
          </w:tcPr>
          <w:p>
            <w:pPr>
              <w:pStyle w:val="nTable"/>
              <w:spacing w:before="120"/>
            </w:pPr>
            <w:r>
              <w:t>6 Nov 1985</w:t>
            </w:r>
          </w:p>
        </w:tc>
        <w:tc>
          <w:tcPr>
            <w:tcW w:w="2552" w:type="dxa"/>
          </w:tcPr>
          <w:p>
            <w:pPr>
              <w:pStyle w:val="nTable"/>
              <w:spacing w:before="120"/>
            </w:pPr>
            <w:r>
              <w:t>6 Nov 1985</w:t>
            </w:r>
            <w:r>
              <w:rPr>
                <w:i/>
                <w:snapToGrid w:val="0"/>
              </w:rPr>
              <w:t> </w:t>
            </w:r>
            <w:r>
              <w:rPr>
                <w:snapToGrid w:val="0"/>
                <w:vertAlign w:val="superscript"/>
              </w:rPr>
              <w:t>5</w:t>
            </w:r>
          </w:p>
        </w:tc>
      </w:tr>
      <w:tr>
        <w:trPr>
          <w:gridBefore w:val="1"/>
          <w:gridAfter w:val="1"/>
          <w:wBefore w:w="14" w:type="dxa"/>
          <w:wAfter w:w="9" w:type="dxa"/>
          <w:cantSplit/>
        </w:trPr>
        <w:tc>
          <w:tcPr>
            <w:tcW w:w="7088" w:type="dxa"/>
            <w:gridSpan w:val="7"/>
          </w:tcPr>
          <w:p>
            <w:pPr>
              <w:pStyle w:val="nTable"/>
              <w:spacing w:before="120"/>
            </w:pPr>
            <w:r>
              <w:rPr>
                <w:b/>
              </w:rPr>
              <w:t xml:space="preserve">Reprint of the </w:t>
            </w:r>
            <w:r>
              <w:rPr>
                <w:b/>
                <w:i/>
              </w:rPr>
              <w:t xml:space="preserve">Australia Acts (Request) Act 1985 </w:t>
            </w:r>
            <w:r>
              <w:rPr>
                <w:b/>
              </w:rPr>
              <w:t>as at 12 Jul 2002</w:t>
            </w:r>
          </w:p>
        </w:tc>
      </w:tr>
      <w:tr>
        <w:trPr>
          <w:cantSplit/>
        </w:trPr>
        <w:tc>
          <w:tcPr>
            <w:tcW w:w="2259"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79"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E847C"/>
    <w:lvl w:ilvl="0">
      <w:start w:val="1"/>
      <w:numFmt w:val="decimal"/>
      <w:lvlText w:val="%1."/>
      <w:lvlJc w:val="left"/>
      <w:pPr>
        <w:tabs>
          <w:tab w:val="num" w:pos="1800"/>
        </w:tabs>
        <w:ind w:left="1800" w:hanging="360"/>
      </w:pPr>
    </w:lvl>
  </w:abstractNum>
  <w:abstractNum w:abstractNumId="1">
    <w:nsid w:val="FFFFFF7D"/>
    <w:multiLevelType w:val="singleLevel"/>
    <w:tmpl w:val="22289D4C"/>
    <w:lvl w:ilvl="0">
      <w:start w:val="1"/>
      <w:numFmt w:val="decimal"/>
      <w:lvlText w:val="%1."/>
      <w:lvlJc w:val="left"/>
      <w:pPr>
        <w:tabs>
          <w:tab w:val="num" w:pos="1440"/>
        </w:tabs>
        <w:ind w:left="1440" w:hanging="360"/>
      </w:pPr>
    </w:lvl>
  </w:abstractNum>
  <w:abstractNum w:abstractNumId="2">
    <w:nsid w:val="FFFFFF7E"/>
    <w:multiLevelType w:val="singleLevel"/>
    <w:tmpl w:val="C27A63C6"/>
    <w:lvl w:ilvl="0">
      <w:start w:val="1"/>
      <w:numFmt w:val="decimal"/>
      <w:lvlText w:val="%1."/>
      <w:lvlJc w:val="left"/>
      <w:pPr>
        <w:tabs>
          <w:tab w:val="num" w:pos="1080"/>
        </w:tabs>
        <w:ind w:left="1080" w:hanging="360"/>
      </w:pPr>
    </w:lvl>
  </w:abstractNum>
  <w:abstractNum w:abstractNumId="3">
    <w:nsid w:val="FFFFFF7F"/>
    <w:multiLevelType w:val="singleLevel"/>
    <w:tmpl w:val="2DCA29C4"/>
    <w:lvl w:ilvl="0">
      <w:start w:val="1"/>
      <w:numFmt w:val="decimal"/>
      <w:lvlText w:val="%1."/>
      <w:lvlJc w:val="left"/>
      <w:pPr>
        <w:tabs>
          <w:tab w:val="num" w:pos="720"/>
        </w:tabs>
        <w:ind w:left="720" w:hanging="360"/>
      </w:pPr>
    </w:lvl>
  </w:abstractNum>
  <w:abstractNum w:abstractNumId="4">
    <w:nsid w:val="FFFFFF80"/>
    <w:multiLevelType w:val="singleLevel"/>
    <w:tmpl w:val="C8920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25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6E1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226D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AE3510"/>
    <w:lvl w:ilvl="0">
      <w:start w:val="1"/>
      <w:numFmt w:val="decimal"/>
      <w:lvlText w:val="%1."/>
      <w:lvlJc w:val="left"/>
      <w:pPr>
        <w:tabs>
          <w:tab w:val="num" w:pos="360"/>
        </w:tabs>
        <w:ind w:left="360" w:hanging="360"/>
      </w:pPr>
    </w:lvl>
  </w:abstractNum>
  <w:abstractNum w:abstractNumId="9">
    <w:nsid w:val="FFFFFF89"/>
    <w:multiLevelType w:val="singleLevel"/>
    <w:tmpl w:val="9EB40A9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E25E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618"/>
    <w:docVar w:name="WAFER_20140113093411" w:val="RemoveTocBookmarks,RemoveUnusedBookmarks,RemoveLanguageTags,UsedStyles,ResetPageSize,UpdateArrangement"/>
    <w:docVar w:name="WAFER_20140113093411_GUID" w:val="ef3457cb-63dd-43cb-9864-efd18def5bbe"/>
    <w:docVar w:name="WAFER_20140113094237" w:val="RemoveTocBookmarks,RunningHeaders"/>
    <w:docVar w:name="WAFER_20140113094237_GUID" w:val="ca1d8bb1-118c-4c7c-afbd-9e2c951083a7"/>
    <w:docVar w:name="WAFER_20150225115301" w:val="ResetPageSize,UpdateArrangement,UpdateNTable"/>
    <w:docVar w:name="WAFER_20150225115301_GUID" w:val="f6abbcd2-2f0e-46b6-9735-e9408ee063c4"/>
    <w:docVar w:name="WAFER_20151102120109" w:val="UpdateStyles,UsedStyles"/>
    <w:docVar w:name="WAFER_20151102120109_GUID" w:val="c060de0a-6b07-4b1b-ae5d-08c6ff2f3708"/>
    <w:docVar w:name="WAFER_20151130153618" w:val="RemoveTrackChanges"/>
    <w:docVar w:name="WAFER_20151130153618_GUID" w:val="31dd44eb-1cd6-405d-a29c-5a75cecb6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6049</Words>
  <Characters>28553</Characters>
  <Application>Microsoft Office Word</Application>
  <DocSecurity>0</DocSecurity>
  <Lines>648</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1985 - 01-c0-05</dc:title>
  <dc:subject/>
  <dc:creator/>
  <cp:keywords/>
  <dc:description/>
  <cp:lastModifiedBy>svcMRProcess</cp:lastModifiedBy>
  <cp:revision>4</cp:revision>
  <cp:lastPrinted>2002-08-08T05:54:00Z</cp:lastPrinted>
  <dcterms:created xsi:type="dcterms:W3CDTF">2015-11-30T07:50:00Z</dcterms:created>
  <dcterms:modified xsi:type="dcterms:W3CDTF">2015-11-30T07:50:00Z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