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(Burswood Island) Agreement Act 1985</w:t>
      </w:r>
      <w:r>
        <w:rPr>
          <w:sz w:val="48"/>
        </w:rP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7" w:h="16840"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_Toc128382169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_Toc128382170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_Toc128382171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_Toc128382172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_Toc128382173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_Toc128382174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_Toc128382175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_Toc128382176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_Toc128382177 \h </w:instrText>
      </w:r>
      <w:r>
        <w:fldChar w:fldCharType="separate"/>
      </w:r>
      <w:r>
        <w:t>4</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_Toc128382178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_Toc128382179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_Toc128382180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_Toc128382181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_Toc128382182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Entrenchment of clause 17A of, and Schedule B to, Agreement</w:t>
      </w:r>
      <w:r>
        <w:tab/>
      </w:r>
      <w:r>
        <w:fldChar w:fldCharType="begin"/>
      </w:r>
      <w:r>
        <w:instrText xml:space="preserve"> PAGEREF _Toc128382183 \h </w:instrText>
      </w:r>
      <w:r>
        <w:fldChar w:fldCharType="separate"/>
      </w:r>
      <w:r>
        <w:t>8</w:t>
      </w:r>
      <w:r>
        <w:fldChar w:fldCharType="end"/>
      </w:r>
    </w:p>
    <w:p>
      <w:pPr>
        <w:pStyle w:val="TOC8"/>
        <w:rPr>
          <w:rFonts w:asciiTheme="minorHAnsi" w:eastAsiaTheme="minorEastAsia" w:hAnsiTheme="minorHAnsi" w:cstheme="minorBidi"/>
          <w:szCs w:val="22"/>
        </w:rPr>
      </w:pPr>
      <w:r>
        <w:t>11.</w:t>
      </w:r>
      <w:r>
        <w:tab/>
        <w:t>Terms used in sections 12 to 17</w:t>
      </w:r>
      <w:r>
        <w:tab/>
      </w:r>
      <w:r>
        <w:fldChar w:fldCharType="begin"/>
      </w:r>
      <w:r>
        <w:instrText xml:space="preserve"> PAGEREF _Toc128382184 \h </w:instrText>
      </w:r>
      <w:r>
        <w:fldChar w:fldCharType="separate"/>
      </w:r>
      <w:r>
        <w:t>8</w:t>
      </w:r>
      <w:r>
        <w:fldChar w:fldCharType="end"/>
      </w:r>
    </w:p>
    <w:p>
      <w:pPr>
        <w:pStyle w:val="TOC8"/>
        <w:rPr>
          <w:rFonts w:asciiTheme="minorHAnsi" w:eastAsiaTheme="minorEastAsia" w:hAnsiTheme="minorHAnsi" w:cstheme="minorBidi"/>
          <w:szCs w:val="22"/>
        </w:rPr>
      </w:pPr>
      <w:r>
        <w:t>12.</w:t>
      </w:r>
      <w:r>
        <w:tab/>
        <w:t>Certain shareholdings to be notified to the Commission</w:t>
      </w:r>
      <w:r>
        <w:tab/>
      </w:r>
      <w:r>
        <w:fldChar w:fldCharType="begin"/>
      </w:r>
      <w:r>
        <w:instrText xml:space="preserve"> PAGEREF _Toc128382185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w:t>
      </w:r>
      <w:r>
        <w:tab/>
        <w:t>Certain shareholders to be approved by the Commission</w:t>
      </w:r>
      <w:r>
        <w:tab/>
      </w:r>
      <w:r>
        <w:fldChar w:fldCharType="begin"/>
      </w:r>
      <w:r>
        <w:instrText xml:space="preserve"> PAGEREF _Toc128382186 \h </w:instrText>
      </w:r>
      <w:r>
        <w:fldChar w:fldCharType="separate"/>
      </w:r>
      <w:r>
        <w:t>9</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_Toc128382187 \h </w:instrText>
      </w:r>
      <w:r>
        <w:fldChar w:fldCharType="separate"/>
      </w:r>
      <w:r>
        <w:t>10</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_Toc128382188 \h </w:instrText>
      </w:r>
      <w:r>
        <w:fldChar w:fldCharType="separate"/>
      </w:r>
      <w:r>
        <w:t>11</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_Toc128382189 \h </w:instrText>
      </w:r>
      <w:r>
        <w:fldChar w:fldCharType="separate"/>
      </w:r>
      <w:r>
        <w:t>11</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_Toc128382190 \h </w:instrText>
      </w:r>
      <w:r>
        <w:fldChar w:fldCharType="separate"/>
      </w:r>
      <w:r>
        <w:t>12</w:t>
      </w:r>
      <w:r>
        <w:fldChar w:fldCharType="end"/>
      </w:r>
    </w:p>
    <w:p>
      <w:pPr>
        <w:pStyle w:val="TOC2"/>
        <w:keepNext w:val="0"/>
        <w:tabs>
          <w:tab w:val="right" w:leader="dot" w:pos="7087"/>
        </w:tabs>
        <w:rPr>
          <w:rFonts w:asciiTheme="minorHAnsi" w:eastAsiaTheme="minorEastAsia" w:hAnsiTheme="minorHAnsi" w:cstheme="minorBidi"/>
          <w:b w:val="0"/>
          <w:sz w:val="22"/>
          <w:szCs w:val="22"/>
        </w:rPr>
      </w:pPr>
      <w:r>
        <w:t>Schedule 1 — Casino (Burswood Island) Agreement</w:t>
      </w:r>
    </w:p>
    <w:p>
      <w:pPr>
        <w:pStyle w:val="TOC2"/>
        <w:keepNext w:val="0"/>
        <w:tabs>
          <w:tab w:val="right" w:leader="dot" w:pos="7087"/>
        </w:tabs>
        <w:rPr>
          <w:rFonts w:asciiTheme="minorHAnsi" w:eastAsiaTheme="minorEastAsia" w:hAnsiTheme="minorHAnsi" w:cstheme="minorBidi"/>
          <w:b w:val="0"/>
          <w:sz w:val="22"/>
          <w:szCs w:val="22"/>
        </w:rPr>
      </w:pPr>
      <w:r>
        <w:t>Schedule 2 —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4 — Seventh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5 — Third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6 — Fourth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7 — Fifth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8 — Sixth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9 — Eighth Supplementary Agreement</w:t>
      </w:r>
    </w:p>
    <w:p>
      <w:pPr>
        <w:pStyle w:val="TOC2"/>
        <w:keepNext w:val="0"/>
        <w:tabs>
          <w:tab w:val="right" w:leader="dot" w:pos="7087"/>
        </w:tabs>
        <w:rPr>
          <w:rFonts w:asciiTheme="minorHAnsi" w:eastAsiaTheme="minorEastAsia" w:hAnsiTheme="minorHAnsi" w:cstheme="minorBidi"/>
          <w:b w:val="0"/>
          <w:sz w:val="22"/>
          <w:szCs w:val="22"/>
        </w:rPr>
      </w:pPr>
      <w:r>
        <w:t>Schedule 10 — Ninth Supplementary Agreement</w:t>
      </w:r>
    </w:p>
    <w:p>
      <w:pPr>
        <w:pStyle w:val="TOC2"/>
        <w:tabs>
          <w:tab w:val="right" w:leader="dot" w:pos="7087"/>
        </w:tabs>
        <w:rPr>
          <w:rFonts w:asciiTheme="minorHAnsi" w:eastAsiaTheme="minorEastAsia" w:hAnsiTheme="minorHAnsi" w:cstheme="minorBidi"/>
          <w:b w:val="0"/>
          <w:sz w:val="22"/>
          <w:szCs w:val="22"/>
        </w:rPr>
      </w:pPr>
      <w:r>
        <w:lastRenderedPageBreak/>
        <w:t>Schedule 11 — Tenth Supplementary Agreement</w:t>
      </w:r>
    </w:p>
    <w:p>
      <w:pPr>
        <w:pStyle w:val="TOC2"/>
        <w:tabs>
          <w:tab w:val="right" w:leader="dot" w:pos="7087"/>
        </w:tabs>
        <w:rPr>
          <w:rFonts w:asciiTheme="minorHAnsi" w:eastAsiaTheme="minorEastAsia" w:hAnsiTheme="minorHAnsi" w:cstheme="minorBidi"/>
          <w:b w:val="0"/>
          <w:sz w:val="22"/>
          <w:szCs w:val="22"/>
        </w:rPr>
      </w:pPr>
      <w:r>
        <w:t>Schedule 12 — Eleventh Supplementary Agreement</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_Toc128382204 \h </w:instrText>
      </w:r>
      <w:r>
        <w:fldChar w:fldCharType="separate"/>
      </w:r>
      <w:r>
        <w:t>142</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3"/>
          <w:headerReference w:type="default" r:id="rId14"/>
          <w:footerReference w:type="even" r:id="rId15"/>
          <w:footerReference w:type="default" r:id="rId16"/>
          <w:footerReference w:type="first" r:id="rId17"/>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 w:name="_Toc128382169"/>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2" w:name="_Toc12838217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3" w:name="_Toc128382171"/>
      <w:r>
        <w:rPr>
          <w:rStyle w:val="CharSectno"/>
        </w:rPr>
        <w:lastRenderedPageBreak/>
        <w:t>3</w:t>
      </w:r>
      <w:r>
        <w:rPr>
          <w:snapToGrid w:val="0"/>
        </w:rPr>
        <w:t>.</w:t>
      </w:r>
      <w:r>
        <w:rPr>
          <w:snapToGrid w:val="0"/>
        </w:rPr>
        <w:tab/>
        <w:t>Terms used in this Act</w:t>
      </w:r>
      <w:bookmarkEnd w:id="3"/>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w:t>
      </w:r>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p>
    <w:p>
      <w:pPr>
        <w:pStyle w:val="Footnotesection"/>
      </w:pPr>
      <w:r>
        <w:tab/>
        <w:t>[Section 3 amended by No. 44 of 1987 s. 4; No. 15 of 1990 s. 4; No. 14 of 1996 s. 4; No. 20 of 1997 s. 4; No. 51 of 2003 s. 4; No. 17 of 2008 s. 4.]</w:t>
      </w:r>
    </w:p>
    <w:p>
      <w:pPr>
        <w:pStyle w:val="Heading5"/>
        <w:rPr>
          <w:snapToGrid w:val="0"/>
        </w:rPr>
      </w:pPr>
      <w:bookmarkStart w:id="4" w:name="_Toc128382172"/>
      <w:r>
        <w:rPr>
          <w:rStyle w:val="CharSectno"/>
        </w:rPr>
        <w:lastRenderedPageBreak/>
        <w:t>3A</w:t>
      </w:r>
      <w:r>
        <w:rPr>
          <w:snapToGrid w:val="0"/>
        </w:rPr>
        <w:t xml:space="preserve">. </w:t>
      </w:r>
      <w:r>
        <w:rPr>
          <w:snapToGrid w:val="0"/>
        </w:rPr>
        <w:tab/>
        <w:t>Certain agreements altering Agreement capable of being scheduled to Act by order</w:t>
      </w:r>
      <w:bookmarkEnd w:id="4"/>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5" w:name="_Toc128382173"/>
      <w:r>
        <w:rPr>
          <w:rStyle w:val="CharSectno"/>
        </w:rPr>
        <w:t>4</w:t>
      </w:r>
      <w:r>
        <w:rPr>
          <w:snapToGrid w:val="0"/>
        </w:rPr>
        <w:t>.</w:t>
      </w:r>
      <w:r>
        <w:rPr>
          <w:snapToGrid w:val="0"/>
        </w:rPr>
        <w:tab/>
        <w:t>Agreement ratified and implementation authorised</w:t>
      </w:r>
      <w:bookmarkEnd w:id="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6" w:name="_Toc128382174"/>
      <w:r>
        <w:rPr>
          <w:rStyle w:val="CharSectno"/>
        </w:rPr>
        <w:t>4A</w:t>
      </w:r>
      <w:r>
        <w:rPr>
          <w:snapToGrid w:val="0"/>
        </w:rPr>
        <w:t xml:space="preserve">. </w:t>
      </w:r>
      <w:r>
        <w:rPr>
          <w:snapToGrid w:val="0"/>
        </w:rPr>
        <w:tab/>
        <w:t>Supplementary Agreement ratified and implementation authorised</w:t>
      </w:r>
      <w:bookmarkEnd w:id="6"/>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7" w:name="_Toc128382175"/>
      <w:r>
        <w:rPr>
          <w:rStyle w:val="CharSectno"/>
        </w:rPr>
        <w:lastRenderedPageBreak/>
        <w:t>4B</w:t>
      </w:r>
      <w:r>
        <w:rPr>
          <w:snapToGrid w:val="0"/>
        </w:rPr>
        <w:t xml:space="preserve">. </w:t>
      </w:r>
      <w:r>
        <w:rPr>
          <w:snapToGrid w:val="0"/>
        </w:rPr>
        <w:tab/>
        <w:t>Second Supplementary Agreement ratified and implementation authorised</w:t>
      </w:r>
      <w:bookmarkEnd w:id="7"/>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8" w:name="_Toc128382176"/>
      <w:r>
        <w:rPr>
          <w:rStyle w:val="CharSectno"/>
        </w:rPr>
        <w:t>4C</w:t>
      </w:r>
      <w:r>
        <w:rPr>
          <w:snapToGrid w:val="0"/>
        </w:rPr>
        <w:t xml:space="preserve">. </w:t>
      </w:r>
      <w:r>
        <w:rPr>
          <w:snapToGrid w:val="0"/>
        </w:rPr>
        <w:tab/>
        <w:t>Seventh 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9" w:name="_Toc128382177"/>
      <w:r>
        <w:rPr>
          <w:rStyle w:val="CharSectno"/>
        </w:rPr>
        <w:t>4D</w:t>
      </w:r>
      <w:r>
        <w:t>.</w:t>
      </w:r>
      <w:r>
        <w:tab/>
        <w:t>Eighth Supplementary Agreement ratified and implementation authorised</w:t>
      </w:r>
      <w:bookmarkEnd w:id="9"/>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10" w:name="_Toc128382178"/>
      <w:r>
        <w:rPr>
          <w:rStyle w:val="CharSectno"/>
        </w:rPr>
        <w:lastRenderedPageBreak/>
        <w:t>4E</w:t>
      </w:r>
      <w:r>
        <w:t>.</w:t>
      </w:r>
      <w:r>
        <w:tab/>
        <w:t>Eleventh Supplementary Agreement ratified and implementation authorised</w:t>
      </w:r>
      <w:bookmarkEnd w:id="10"/>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by No. 17 of 2008 s. 5.]</w:t>
      </w:r>
    </w:p>
    <w:p>
      <w:pPr>
        <w:pStyle w:val="Heading5"/>
        <w:rPr>
          <w:snapToGrid w:val="0"/>
        </w:rPr>
      </w:pPr>
      <w:bookmarkStart w:id="11" w:name="_Toc128382179"/>
      <w:r>
        <w:rPr>
          <w:rStyle w:val="CharSectno"/>
        </w:rPr>
        <w:t>5</w:t>
      </w:r>
      <w:r>
        <w:rPr>
          <w:snapToGrid w:val="0"/>
        </w:rPr>
        <w:t>.</w:t>
      </w:r>
      <w:r>
        <w:rPr>
          <w:snapToGrid w:val="0"/>
        </w:rPr>
        <w:tab/>
        <w:t>Reserves Nos. 23251 and 19631 at Burswood Island cancelled</w:t>
      </w:r>
      <w:bookmarkEnd w:id="11"/>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2" w:name="_Toc128382180"/>
      <w:r>
        <w:rPr>
          <w:rStyle w:val="CharSectno"/>
        </w:rPr>
        <w:t>6</w:t>
      </w:r>
      <w:r>
        <w:rPr>
          <w:snapToGrid w:val="0"/>
        </w:rPr>
        <w:t>.</w:t>
      </w:r>
      <w:r>
        <w:rPr>
          <w:snapToGrid w:val="0"/>
        </w:rPr>
        <w:tab/>
        <w:t>Reserve No. 27743 near Burswood Island amended</w:t>
      </w:r>
      <w:bookmarkEnd w:id="12"/>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3" w:name="_Toc128382181"/>
      <w:r>
        <w:rPr>
          <w:rStyle w:val="CharSectno"/>
        </w:rPr>
        <w:lastRenderedPageBreak/>
        <w:t>7</w:t>
      </w:r>
      <w:r>
        <w:rPr>
          <w:snapToGrid w:val="0"/>
        </w:rPr>
        <w:t>.</w:t>
      </w:r>
      <w:r>
        <w:rPr>
          <w:snapToGrid w:val="0"/>
        </w:rPr>
        <w:tab/>
        <w:t>Certain planning laws modified</w:t>
      </w:r>
      <w:bookmarkEnd w:id="13"/>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lastRenderedPageBreak/>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14" w:name="_Toc128382182"/>
      <w:r>
        <w:rPr>
          <w:rStyle w:val="CharSectno"/>
        </w:rPr>
        <w:t>8</w:t>
      </w:r>
      <w:r>
        <w:rPr>
          <w:snapToGrid w:val="0"/>
        </w:rPr>
        <w:t>.</w:t>
      </w:r>
      <w:r>
        <w:rPr>
          <w:snapToGrid w:val="0"/>
        </w:rPr>
        <w:tab/>
        <w:t>Survey, dedication, management etc. of certain streets</w:t>
      </w:r>
      <w:bookmarkEnd w:id="14"/>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lastRenderedPageBreak/>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15" w:name="_Toc128382183"/>
      <w:r>
        <w:rPr>
          <w:rStyle w:val="CharSectno"/>
        </w:rPr>
        <w:t>10</w:t>
      </w:r>
      <w:r>
        <w:rPr>
          <w:snapToGrid w:val="0"/>
        </w:rPr>
        <w:t>.</w:t>
      </w:r>
      <w:r>
        <w:rPr>
          <w:snapToGrid w:val="0"/>
        </w:rPr>
        <w:tab/>
        <w:t>Entrenchment of clause 17A of, and Schedule B to, Agreement</w:t>
      </w:r>
      <w:bookmarkEnd w:id="15"/>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16" w:name="_Toc128382184"/>
      <w:r>
        <w:rPr>
          <w:rStyle w:val="CharSectno"/>
        </w:rPr>
        <w:t>11</w:t>
      </w:r>
      <w:r>
        <w:t>.</w:t>
      </w:r>
      <w:r>
        <w:tab/>
        <w:t>Terms used in sections 12 to 17</w:t>
      </w:r>
      <w:bookmarkEnd w:id="16"/>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lastRenderedPageBreak/>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17" w:name="_Toc128382185"/>
      <w:r>
        <w:rPr>
          <w:rStyle w:val="CharSectno"/>
        </w:rPr>
        <w:t>12</w:t>
      </w:r>
      <w:r>
        <w:t>.</w:t>
      </w:r>
      <w:r>
        <w:tab/>
        <w:t>Certain shareholdings to be notified to the Commission</w:t>
      </w:r>
      <w:bookmarkEnd w:id="17"/>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18" w:name="_Toc128382186"/>
      <w:r>
        <w:rPr>
          <w:rStyle w:val="CharSectno"/>
        </w:rPr>
        <w:t>13</w:t>
      </w:r>
      <w:r>
        <w:t>.</w:t>
      </w:r>
      <w:r>
        <w:tab/>
        <w:t>Certain shareholders to be approved by the Commission</w:t>
      </w:r>
      <w:bookmarkEnd w:id="18"/>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lastRenderedPageBreak/>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19" w:name="_Toc128382187"/>
      <w:r>
        <w:rPr>
          <w:rStyle w:val="CharSectno"/>
        </w:rPr>
        <w:t>14</w:t>
      </w:r>
      <w:r>
        <w:t>.</w:t>
      </w:r>
      <w:r>
        <w:tab/>
        <w:t>Probity approval notices, application for etc.</w:t>
      </w:r>
      <w:bookmarkEnd w:id="19"/>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 xml:space="preserve">The Commission may refuse to issue a probity approval notice if the applicant has not provided information required under </w:t>
      </w:r>
      <w:r>
        <w:lastRenderedPageBreak/>
        <w:t>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20" w:name="_Toc128382188"/>
      <w:r>
        <w:rPr>
          <w:rStyle w:val="CharSectno"/>
        </w:rPr>
        <w:t>15</w:t>
      </w:r>
      <w:r>
        <w:t>.</w:t>
      </w:r>
      <w:r>
        <w:tab/>
        <w:t>Probity approval notice, cancellation of</w:t>
      </w:r>
      <w:bookmarkEnd w:id="20"/>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21" w:name="_Toc128382189"/>
      <w:r>
        <w:rPr>
          <w:rStyle w:val="CharSectno"/>
        </w:rPr>
        <w:t>16</w:t>
      </w:r>
      <w:r>
        <w:t>.</w:t>
      </w:r>
      <w:r>
        <w:tab/>
        <w:t>Intention to order disposal of shares, notice of</w:t>
      </w:r>
      <w:bookmarkEnd w:id="21"/>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lastRenderedPageBreak/>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22" w:name="_Toc128382190"/>
      <w:r>
        <w:rPr>
          <w:rStyle w:val="CharSectno"/>
        </w:rPr>
        <w:t>17</w:t>
      </w:r>
      <w:r>
        <w:t>.</w:t>
      </w:r>
      <w:r>
        <w:tab/>
        <w:t>Certain shareholders may be ordered to dispose of shares</w:t>
      </w:r>
      <w:bookmarkEnd w:id="22"/>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lastRenderedPageBreak/>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3" w:name="_Toc128382191"/>
      <w:r>
        <w:rPr>
          <w:rStyle w:val="CharSchNo"/>
        </w:rPr>
        <w:lastRenderedPageBreak/>
        <w:t>Schedule 1</w:t>
      </w:r>
      <w:r>
        <w:t> — </w:t>
      </w:r>
      <w:r>
        <w:rPr>
          <w:rStyle w:val="CharSchText"/>
        </w:rPr>
        <w:t>Casino (Burswood Island) Agreement</w:t>
      </w:r>
      <w:bookmarkEnd w:id="23"/>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lastRenderedPageBreak/>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lastRenderedPageBreak/>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 xml:space="preserve">The State acknowledges that the establishment of the Resort is a large scale development project requiring a very large capital </w:t>
      </w:r>
      <w:r>
        <w:lastRenderedPageBreak/>
        <w:t>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lastRenderedPageBreak/>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 xml:space="preserve">in a case in which the Committee consents to the extension of credit, the sum value of chips issued in any month on credit, whether by credit card transaction or otherwise howsoever, shall be deemed to be sums </w:t>
      </w:r>
      <w:r>
        <w:lastRenderedPageBreak/>
        <w:t>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lastRenderedPageBreak/>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lastRenderedPageBreak/>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lastRenderedPageBreak/>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lastRenderedPageBreak/>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lastRenderedPageBreak/>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lastRenderedPageBreak/>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w:t>
      </w:r>
      <w:r>
        <w:lastRenderedPageBreak/>
        <w:t xml:space="preserve">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w:t>
      </w:r>
      <w:r>
        <w:rPr>
          <w:spacing w:val="-4"/>
        </w:rPr>
        <w:lastRenderedPageBreak/>
        <w:t>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lastRenderedPageBreak/>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 xml:space="preserve">clause, the Minister </w:t>
      </w:r>
      <w:r>
        <w:lastRenderedPageBreak/>
        <w:t>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lastRenderedPageBreak/>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 xml:space="preserve">laws of all </w:t>
      </w:r>
      <w:r>
        <w:lastRenderedPageBreak/>
        <w:t>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lastRenderedPageBreak/>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 xml:space="preserve">The Committee, the Committee’s Nominated Representative and any person authorised by the Committee’s Nominated Representative shall at all times have free and unrestricted access to the Site and the Resort Site for the </w:t>
      </w:r>
      <w:r>
        <w:lastRenderedPageBreak/>
        <w:t>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lastRenderedPageBreak/>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lastRenderedPageBreak/>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 xml:space="preserve">issue at its discretion further Units to the public each at a selling price of Fifty Cents ($0.50) to a total value of $10,000,000 and payable in such instalments as are provided for in the Foundation Agreement and on the terms and conditions set out </w:t>
      </w:r>
      <w:r>
        <w:lastRenderedPageBreak/>
        <w:t>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lastRenderedPageBreak/>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lastRenderedPageBreak/>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lastRenderedPageBreak/>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 xml:space="preserve">the total number of Units to which a Foreign Person or Foreign Persons shall be entitled shall not exceed forty per centum </w:t>
      </w:r>
      <w:r>
        <w:lastRenderedPageBreak/>
        <w:t>(40%)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 xml:space="preserve">a corporation incorporated in Australia which is the registered holder or beneficial owner of not more than one quarter of one per centum (¼%) of all Units for the time being created and not cancelled shall not be, for the purposes of this </w:t>
      </w:r>
      <w:r>
        <w:lastRenderedPageBreak/>
        <w:t>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lastRenderedPageBreak/>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lastRenderedPageBreak/>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lastRenderedPageBreak/>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lastRenderedPageBreak/>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w:t>
      </w:r>
      <w:r>
        <w:lastRenderedPageBreak/>
        <w:t>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lastRenderedPageBreak/>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lastRenderedPageBreak/>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 xml:space="preserve">During the Period of Exclusivity the Minister shall on each second Anniversary Date, or if the Trustee establishes to the reasonable satisfaction of the Minister that circumstances have arisen which have or are likely to have an </w:t>
      </w:r>
      <w:r>
        <w:lastRenderedPageBreak/>
        <w:t>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 xml:space="preserve">If a dispute shall arise between the Minister and the Trustee as to whether the effect of a notice given by the Minister pursuant to sub-clause (6) would or is likely to have an adverse impact on the viability of the Burswood </w:t>
      </w:r>
      <w:r>
        <w:lastRenderedPageBreak/>
        <w:t>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lastRenderedPageBreak/>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 xml:space="preserve">there shall be any failure, which the State considers material, to comply with any provision of this </w:t>
      </w:r>
      <w:r>
        <w:lastRenderedPageBreak/>
        <w:t>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 xml:space="preserve">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w:t>
      </w:r>
      <w:r>
        <w:lastRenderedPageBreak/>
        <w:t>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 xml:space="preserve">the Trustee or any person claiming through or under it as the case may be may continue to erect, complete or use the Resort Complex, as the case may be without, if the Burswood Casino Licence has been granted and has not been surrendered or </w:t>
      </w:r>
      <w:r>
        <w:lastRenderedPageBreak/>
        <w:t>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 xml:space="preserve">This Agreement shall be deemed to be made subject to any delays in the performance of the obligations hereunder and to the temporary suspension of continuing obligations hereunder that may be caused by or arise from </w:t>
      </w:r>
      <w:r>
        <w:lastRenderedPageBreak/>
        <w:t>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w:t>
      </w:r>
      <w:r>
        <w:lastRenderedPageBreak/>
        <w:t xml:space="preserve">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lastRenderedPageBreak/>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lastRenderedPageBreak/>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rPr>
              <w:drawing>
                <wp:inline distT="0" distB="0" distL="0" distR="0">
                  <wp:extent cx="127635" cy="65913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lastRenderedPageBreak/>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7635" cy="65913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7635" cy="7867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78676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24" w:name="_Toc128382192"/>
      <w:r>
        <w:rPr>
          <w:rStyle w:val="CharSchNo"/>
        </w:rPr>
        <w:lastRenderedPageBreak/>
        <w:t>Schedule 2</w:t>
      </w:r>
      <w:r>
        <w:t> — </w:t>
      </w:r>
      <w:r>
        <w:rPr>
          <w:rStyle w:val="CharSchText"/>
        </w:rPr>
        <w:t>Supplementary Agreement</w:t>
      </w:r>
      <w:bookmarkEnd w:id="24"/>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lastRenderedPageBreak/>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lastRenderedPageBreak/>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lastRenderedPageBreak/>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7635" cy="65913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lastRenderedPageBreak/>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7635" cy="65913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lastRenderedPageBreak/>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7635" cy="77597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775970"/>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25" w:name="_Toc128382193"/>
      <w:r>
        <w:rPr>
          <w:rStyle w:val="CharSchNo"/>
        </w:rPr>
        <w:lastRenderedPageBreak/>
        <w:t>Schedule 3</w:t>
      </w:r>
      <w:r>
        <w:t> — </w:t>
      </w:r>
      <w:r>
        <w:rPr>
          <w:rStyle w:val="CharSchText"/>
        </w:rPr>
        <w:t>Second Supplementary Agreement</w:t>
      </w:r>
      <w:bookmarkEnd w:id="25"/>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lastRenderedPageBreak/>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 xml:space="preserve">the same proportion of ONE MILLION FOUR HUNDRED THOUSAND DOLLARS ($1 400 000.00) as the proportion which the number of days from and including the Completion Date to but excluding the Anniversary Date </w:t>
      </w:r>
      <w:r>
        <w:lastRenderedPageBreak/>
        <w:t>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 xml:space="preserve">“Effective Date” means the date on which the Act ratifying the agreement by which </w:t>
      </w:r>
      <w:r>
        <w:lastRenderedPageBreak/>
        <w:t>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7635" cy="65913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7635" cy="755015"/>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755015"/>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26" w:name="_Toc128382194"/>
      <w:r>
        <w:rPr>
          <w:rStyle w:val="CharSchNo"/>
        </w:rPr>
        <w:lastRenderedPageBreak/>
        <w:t>Schedule 4</w:t>
      </w:r>
      <w:r>
        <w:t> — </w:t>
      </w:r>
      <w:r>
        <w:rPr>
          <w:rStyle w:val="CharSchText"/>
        </w:rPr>
        <w:t>Seventh Supplementary Agreement</w:t>
      </w:r>
      <w:bookmarkEnd w:id="26"/>
    </w:p>
    <w:p>
      <w:pPr>
        <w:pStyle w:val="yShoulderClause"/>
      </w:pPr>
      <w:r>
        <w:t>[s. 3]</w:t>
      </w:r>
    </w:p>
    <w:p>
      <w:pPr>
        <w:pStyle w:val="yFootnoteheading"/>
      </w:pPr>
      <w:r>
        <w:tab/>
        <w:t>[Heading amended by No. 19 of 2010 s. 4.]</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lastRenderedPageBreak/>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lastRenderedPageBreak/>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lastRenderedPageBreak/>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lastRenderedPageBreak/>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lastRenderedPageBreak/>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lastRenderedPageBreak/>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lastRenderedPageBreak/>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lastRenderedPageBreak/>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lastRenderedPageBreak/>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lastRenderedPageBreak/>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lastRenderedPageBreak/>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lastRenderedPageBreak/>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lastRenderedPageBreak/>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lastRenderedPageBreak/>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lastRenderedPageBreak/>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lastRenderedPageBreak/>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lastRenderedPageBreak/>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27" w:name="_Toc128382195"/>
      <w:r>
        <w:rPr>
          <w:rStyle w:val="CharSchNo"/>
        </w:rPr>
        <w:lastRenderedPageBreak/>
        <w:t>Schedule 5</w:t>
      </w:r>
      <w:r>
        <w:t> — </w:t>
      </w:r>
      <w:r>
        <w:rPr>
          <w:rStyle w:val="CharSchText"/>
        </w:rPr>
        <w:t>Third Supplementary Agreement</w:t>
      </w:r>
      <w:bookmarkEnd w:id="27"/>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 xml:space="preserve">The parties have agreed subject as hereinafter provided to amend the Principal Agreement pursuant to clause 5 for the purpose of more </w:t>
      </w:r>
      <w:r>
        <w:lastRenderedPageBreak/>
        <w:t>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lastRenderedPageBreak/>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28" w:name="_Toc128382196"/>
      <w:r>
        <w:rPr>
          <w:rStyle w:val="CharSchNo"/>
        </w:rPr>
        <w:lastRenderedPageBreak/>
        <w:t>Schedule 6</w:t>
      </w:r>
      <w:r>
        <w:t> — </w:t>
      </w:r>
      <w:r>
        <w:rPr>
          <w:rStyle w:val="CharSchText"/>
        </w:rPr>
        <w:t>Fourth Supplementary Agreement</w:t>
      </w:r>
      <w:bookmarkEnd w:id="28"/>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 xml:space="preserve">By an agreement made on 13 November 1991 between the State, the Trustee and the Manager (“the Third Supplementary Agreement”) the </w:t>
      </w:r>
      <w:r>
        <w:lastRenderedPageBreak/>
        <w:t>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lastRenderedPageBreak/>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w:t>
            </w:r>
            <w:r>
              <w:lastRenderedPageBreak/>
              <w:t>5 February 1990 under which this Agreement is signed.</w:t>
            </w:r>
          </w:p>
        </w:tc>
        <w:tc>
          <w:tcPr>
            <w:tcW w:w="425" w:type="dxa"/>
          </w:tcPr>
          <w:p>
            <w:pPr>
              <w:pStyle w:val="yMiscellaneousBody"/>
            </w:pPr>
            <w:r>
              <w:lastRenderedPageBreak/>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lastRenderedPageBreak/>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29" w:name="_Toc128382197"/>
      <w:r>
        <w:rPr>
          <w:rStyle w:val="CharSchNo"/>
        </w:rPr>
        <w:lastRenderedPageBreak/>
        <w:t>Schedule 7</w:t>
      </w:r>
      <w:r>
        <w:t> — </w:t>
      </w:r>
      <w:r>
        <w:rPr>
          <w:rStyle w:val="CharSchText"/>
        </w:rPr>
        <w:t>Fifth Supplementary Agreement</w:t>
      </w:r>
      <w:bookmarkEnd w:id="29"/>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lastRenderedPageBreak/>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30" w:name="_Toc128382198"/>
      <w:r>
        <w:rPr>
          <w:rStyle w:val="CharSchNo"/>
        </w:rPr>
        <w:lastRenderedPageBreak/>
        <w:t>Schedule 8</w:t>
      </w:r>
      <w:r>
        <w:t> — </w:t>
      </w:r>
      <w:r>
        <w:rPr>
          <w:rStyle w:val="CharSchText"/>
        </w:rPr>
        <w:t>Sixth Supplementary Agreement</w:t>
      </w:r>
      <w:bookmarkEnd w:id="30"/>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lastRenderedPageBreak/>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31" w:name="_Toc128382199"/>
      <w:r>
        <w:rPr>
          <w:rStyle w:val="CharSchNo"/>
        </w:rPr>
        <w:lastRenderedPageBreak/>
        <w:t>Schedule 9</w:t>
      </w:r>
      <w:r>
        <w:t> — </w:t>
      </w:r>
      <w:r>
        <w:rPr>
          <w:rStyle w:val="CharSchText"/>
        </w:rPr>
        <w:t>Eighth Supplementary Agreement</w:t>
      </w:r>
      <w:bookmarkEnd w:id="31"/>
    </w:p>
    <w:p>
      <w:pPr>
        <w:pStyle w:val="yShoulderClause"/>
      </w:pPr>
      <w:r>
        <w:t>[s. 3]</w:t>
      </w:r>
    </w:p>
    <w:p>
      <w:pPr>
        <w:pStyle w:val="yFootnoteheading"/>
      </w:pPr>
      <w:r>
        <w:tab/>
        <w:t>[Heading amended by No. 19 of 2010 s. 4.]</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lastRenderedPageBreak/>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lastRenderedPageBreak/>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lastRenderedPageBreak/>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lastRenderedPageBreak/>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lastRenderedPageBreak/>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lastRenderedPageBreak/>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lastRenderedPageBreak/>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xml:space="preserve">”), then subject to clause 23(7)(c) and clause 23(8), as the case may be, the Casino Tax Rate for the relevant Casino Tax specified in the Review Notice will be the rate </w:t>
      </w:r>
      <w:r>
        <w:rPr>
          <w:i/>
          <w:snapToGrid w:val="0"/>
        </w:rPr>
        <w:lastRenderedPageBreak/>
        <w:t>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lastRenderedPageBreak/>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lastRenderedPageBreak/>
        <w:t>SCHEDULE C</w:t>
      </w:r>
    </w:p>
    <w:p>
      <w:pPr>
        <w:pStyle w:val="yMiscellaneousBody"/>
        <w:keepNext/>
        <w:rPr>
          <w:b/>
          <w:snapToGrid w:val="0"/>
        </w:rPr>
      </w:pPr>
      <w:r>
        <w:rPr>
          <w:b/>
          <w:snapToGrid w:val="0"/>
        </w:rPr>
        <w:t>ITEM 1 – CASINO TAX</w:t>
      </w:r>
    </w:p>
    <w:p>
      <w:pPr>
        <w:pStyle w:val="yMiscellaneousBody"/>
        <w:keepNext/>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keepNext/>
              <w:spacing w:after="60" w:line="240" w:lineRule="atLeast"/>
              <w:rPr>
                <w:b/>
                <w:snapToGrid w:val="0"/>
                <w:color w:val="000000"/>
                <w:sz w:val="22"/>
              </w:rPr>
            </w:pPr>
            <w:r>
              <w:rPr>
                <w:b/>
                <w:snapToGrid w:val="0"/>
                <w:color w:val="000000"/>
                <w:sz w:val="22"/>
              </w:rPr>
              <w:t>Period</w:t>
            </w:r>
          </w:p>
        </w:tc>
        <w:tc>
          <w:tcPr>
            <w:tcW w:w="3544" w:type="dxa"/>
            <w:shd w:val="clear" w:color="auto" w:fill="FFFFFF"/>
          </w:tcPr>
          <w:p>
            <w:pPr>
              <w:keepNext/>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lastRenderedPageBreak/>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lastRenderedPageBreak/>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lastRenderedPageBreak/>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 xml:space="preserve">The Company’s compliance with the Listing Rules and the granting of CHESS approval for its securities may limit the Company’s ability to restrict registration of transfer of Company Securities prior to the </w:t>
      </w:r>
      <w:r>
        <w:lastRenderedPageBreak/>
        <w:t>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lastRenderedPageBreak/>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lastRenderedPageBreak/>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lastRenderedPageBreak/>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 xml:space="preserve">The Directors have the right to effect the transfer or disposal of Company Securities held by a person to the extent considered necessary by the Directors to prevent a possible contravention or a possible continuation of </w:t>
      </w:r>
      <w:r>
        <w:rPr>
          <w:snapToGrid w:val="0"/>
        </w:rPr>
        <w:lastRenderedPageBreak/>
        <w:t>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w:t>
      </w:r>
      <w:r>
        <w:rPr>
          <w:snapToGrid w:val="0"/>
        </w:rPr>
        <w:lastRenderedPageBreak/>
        <w:t xml:space="preserve">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lastRenderedPageBreak/>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lastRenderedPageBreak/>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lastRenderedPageBreak/>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32" w:name="_Toc128382200"/>
      <w:r>
        <w:rPr>
          <w:rStyle w:val="CharSchNo"/>
        </w:rPr>
        <w:lastRenderedPageBreak/>
        <w:t>Schedule 10</w:t>
      </w:r>
      <w:r>
        <w:t> — </w:t>
      </w:r>
      <w:r>
        <w:rPr>
          <w:rStyle w:val="CharSchText"/>
        </w:rPr>
        <w:t>Ninth Supplementary Agreement</w:t>
      </w:r>
      <w:bookmarkEnd w:id="32"/>
    </w:p>
    <w:p>
      <w:pPr>
        <w:pStyle w:val="yShoulderClause"/>
      </w:pPr>
      <w:r>
        <w:t>[s. 3A]</w:t>
      </w:r>
    </w:p>
    <w:p>
      <w:pPr>
        <w:pStyle w:val="yFootnoteheading"/>
      </w:pPr>
      <w:r>
        <w:tab/>
        <w:t>[Heading amended by No. 19 of 2010 s. 4.]</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lastRenderedPageBreak/>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lastRenderedPageBreak/>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33" w:name="GeneralTerms"/>
      <w:bookmarkEnd w:id="33"/>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lastRenderedPageBreak/>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lastRenderedPageBreak/>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lastRenderedPageBreak/>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34" w:name="_Toc128382201"/>
      <w:r>
        <w:rPr>
          <w:rStyle w:val="CharSchNo"/>
        </w:rPr>
        <w:lastRenderedPageBreak/>
        <w:t>Schedule 11</w:t>
      </w:r>
      <w:r>
        <w:t> — </w:t>
      </w:r>
      <w:r>
        <w:rPr>
          <w:rStyle w:val="CharSchText"/>
        </w:rPr>
        <w:t>Tenth Supplementary Agreement</w:t>
      </w:r>
      <w:bookmarkEnd w:id="34"/>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lastRenderedPageBreak/>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lastRenderedPageBreak/>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lastRenderedPageBreak/>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lastRenderedPageBreak/>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35" w:name="_Toc128382202"/>
      <w:r>
        <w:rPr>
          <w:rStyle w:val="CharSchNo"/>
        </w:rPr>
        <w:lastRenderedPageBreak/>
        <w:t>Schedule 12</w:t>
      </w:r>
      <w:r>
        <w:t xml:space="preserve"> — </w:t>
      </w:r>
      <w:r>
        <w:rPr>
          <w:rStyle w:val="CharSchText"/>
        </w:rPr>
        <w:t>Eleventh Supplementary Agreement</w:t>
      </w:r>
      <w:bookmarkEnd w:id="35"/>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(Burswood Island)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lastRenderedPageBreak/>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lastRenderedPageBreak/>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““State” or “Western Australia””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 xml:space="preserve">provided that if at any time the Local Authority, the Manager or the Commission shall fail to nominate persons for membership of the Board </w:t>
      </w:r>
      <w:r>
        <w:rPr>
          <w:i/>
          <w:iCs/>
        </w:rPr>
        <w:lastRenderedPageBreak/>
        <w:t>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lastRenderedPageBreak/>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lastRenderedPageBreak/>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lastRenderedPageBreak/>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6" w:name="_Toc128382203"/>
      <w:r>
        <w:lastRenderedPageBreak/>
        <w:t>Notes</w:t>
      </w:r>
      <w:bookmarkEnd w:id="36"/>
    </w:p>
    <w:p>
      <w:pPr>
        <w:pStyle w:val="nNote"/>
        <w:rPr>
          <w:snapToGrid w:val="0"/>
        </w:rPr>
      </w:pPr>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UpToHere"/>
      <w:bookmarkStart w:id="38" w:name="_Toc128382204"/>
      <w:bookmarkEnd w:id="37"/>
      <w:r>
        <w:rPr>
          <w:snapToGrid w:val="0"/>
        </w:rPr>
        <w:t>Compilation table</w:t>
      </w:r>
      <w:bookmarkEnd w:id="38"/>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7"/>
      </w:tblGrid>
      <w:tr>
        <w:trPr>
          <w:cantSplit/>
          <w:tblHeader/>
        </w:trPr>
        <w:tc>
          <w:tcPr>
            <w:tcW w:w="2274" w:type="dxa"/>
            <w:gridSpan w:val="2"/>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Borders>
              <w:top w:val="single" w:sz="8" w:space="0" w:color="auto"/>
            </w:tcBorders>
          </w:tcPr>
          <w:p>
            <w:pPr>
              <w:pStyle w:val="nTable"/>
              <w:spacing w:after="40"/>
              <w:ind w:right="113"/>
            </w:pPr>
            <w:r>
              <w:rPr>
                <w:i/>
              </w:rPr>
              <w:t>Casino (Burswood Island) Agreement Act 1985</w:t>
            </w:r>
          </w:p>
        </w:tc>
        <w:tc>
          <w:tcPr>
            <w:tcW w:w="1139" w:type="dxa"/>
            <w:tcBorders>
              <w:top w:val="single" w:sz="8" w:space="0" w:color="auto"/>
            </w:tcBorders>
          </w:tcPr>
          <w:p>
            <w:pPr>
              <w:pStyle w:val="nTable"/>
              <w:spacing w:after="40"/>
            </w:pPr>
            <w:r>
              <w:t>9 of 1985</w:t>
            </w:r>
          </w:p>
        </w:tc>
        <w:tc>
          <w:tcPr>
            <w:tcW w:w="1136" w:type="dxa"/>
            <w:tcBorders>
              <w:top w:val="single" w:sz="8" w:space="0" w:color="auto"/>
            </w:tcBorders>
          </w:tcPr>
          <w:p>
            <w:pPr>
              <w:pStyle w:val="nTable"/>
              <w:spacing w:after="40"/>
            </w:pPr>
            <w:r>
              <w:t>25 Mar 1985</w:t>
            </w:r>
          </w:p>
        </w:tc>
        <w:tc>
          <w:tcPr>
            <w:tcW w:w="2571" w:type="dxa"/>
            <w:gridSpan w:val="2"/>
            <w:tcBorders>
              <w:top w:val="single" w:sz="8" w:space="0" w:color="auto"/>
            </w:tcBorders>
          </w:tcPr>
          <w:p>
            <w:pPr>
              <w:pStyle w:val="nTable"/>
              <w:spacing w:after="40"/>
            </w:pPr>
            <w:r>
              <w:t>25 Mar 1985 (see s. 2)</w:t>
            </w:r>
          </w:p>
        </w:tc>
      </w:tr>
      <w:tr>
        <w:trPr>
          <w:cantSplit/>
        </w:trPr>
        <w:tc>
          <w:tcPr>
            <w:tcW w:w="2274" w:type="dxa"/>
            <w:gridSpan w:val="2"/>
          </w:tcPr>
          <w:p>
            <w:pPr>
              <w:pStyle w:val="nTable"/>
              <w:spacing w:after="40"/>
              <w:ind w:right="113"/>
            </w:pPr>
            <w:r>
              <w:rPr>
                <w:i/>
              </w:rPr>
              <w:t xml:space="preserve">Acts Amendment (Casino Control) Act 1987 </w:t>
            </w:r>
            <w:r>
              <w:t>Pt. II</w:t>
            </w:r>
          </w:p>
        </w:tc>
        <w:tc>
          <w:tcPr>
            <w:tcW w:w="1139" w:type="dxa"/>
          </w:tcPr>
          <w:p>
            <w:pPr>
              <w:pStyle w:val="nTable"/>
              <w:spacing w:after="40"/>
            </w:pPr>
            <w:r>
              <w:t>44 of 1987</w:t>
            </w:r>
          </w:p>
        </w:tc>
        <w:tc>
          <w:tcPr>
            <w:tcW w:w="1136" w:type="dxa"/>
          </w:tcPr>
          <w:p>
            <w:pPr>
              <w:pStyle w:val="nTable"/>
              <w:spacing w:after="40"/>
            </w:pPr>
            <w:r>
              <w:t>22 Sep 1987</w:t>
            </w:r>
          </w:p>
        </w:tc>
        <w:tc>
          <w:tcPr>
            <w:tcW w:w="2571" w:type="dxa"/>
            <w:gridSpan w:val="2"/>
          </w:tcPr>
          <w:p>
            <w:pPr>
              <w:pStyle w:val="nTable"/>
              <w:spacing w:after="40"/>
            </w:pPr>
            <w:r>
              <w:t>13 Sep 1987 (see s. 2)</w:t>
            </w:r>
          </w:p>
        </w:tc>
      </w:tr>
      <w:tr>
        <w:trPr>
          <w:cantSplit/>
        </w:trPr>
        <w:tc>
          <w:tcPr>
            <w:tcW w:w="2274" w:type="dxa"/>
            <w:gridSpan w:val="2"/>
          </w:tcPr>
          <w:p>
            <w:pPr>
              <w:pStyle w:val="nTable"/>
              <w:spacing w:after="40"/>
              <w:ind w:right="113"/>
            </w:pPr>
            <w:r>
              <w:rPr>
                <w:i/>
              </w:rPr>
              <w:t>Casino (Burswood Island) Agreement Amendment Act 1990</w:t>
            </w:r>
          </w:p>
        </w:tc>
        <w:tc>
          <w:tcPr>
            <w:tcW w:w="1139" w:type="dxa"/>
          </w:tcPr>
          <w:p>
            <w:pPr>
              <w:pStyle w:val="nTable"/>
              <w:spacing w:after="40"/>
            </w:pPr>
            <w:r>
              <w:t>15 of 1990</w:t>
            </w:r>
          </w:p>
        </w:tc>
        <w:tc>
          <w:tcPr>
            <w:tcW w:w="1136" w:type="dxa"/>
          </w:tcPr>
          <w:p>
            <w:pPr>
              <w:pStyle w:val="nTable"/>
              <w:spacing w:after="40"/>
            </w:pPr>
            <w:r>
              <w:t>31 Jul 1990</w:t>
            </w:r>
          </w:p>
        </w:tc>
        <w:tc>
          <w:tcPr>
            <w:tcW w:w="2571" w:type="dxa"/>
            <w:gridSpan w:val="2"/>
          </w:tcPr>
          <w:p>
            <w:pPr>
              <w:pStyle w:val="nTable"/>
              <w:spacing w:after="40"/>
            </w:pPr>
            <w:r>
              <w:t>31 Jul 1990 (see s. 3)</w:t>
            </w:r>
          </w:p>
        </w:tc>
      </w:tr>
      <w:tr>
        <w:trPr>
          <w:cantSplit/>
        </w:trPr>
        <w:tc>
          <w:tcPr>
            <w:tcW w:w="2274" w:type="dxa"/>
            <w:gridSpan w:val="2"/>
          </w:tcPr>
          <w:p>
            <w:pPr>
              <w:pStyle w:val="nTable"/>
              <w:spacing w:after="40"/>
              <w:ind w:right="113"/>
            </w:pPr>
            <w:r>
              <w:rPr>
                <w:i/>
              </w:rPr>
              <w:t xml:space="preserve">Local Government (Consequential Amendments) Act 1996 </w:t>
            </w:r>
            <w:r>
              <w:t>s. 4</w:t>
            </w:r>
          </w:p>
        </w:tc>
        <w:tc>
          <w:tcPr>
            <w:tcW w:w="1139" w:type="dxa"/>
          </w:tcPr>
          <w:p>
            <w:pPr>
              <w:pStyle w:val="nTable"/>
              <w:spacing w:after="40"/>
            </w:pPr>
            <w:r>
              <w:t>14 of 1996</w:t>
            </w:r>
          </w:p>
        </w:tc>
        <w:tc>
          <w:tcPr>
            <w:tcW w:w="1136" w:type="dxa"/>
          </w:tcPr>
          <w:p>
            <w:pPr>
              <w:pStyle w:val="nTable"/>
              <w:spacing w:after="40"/>
            </w:pPr>
            <w:r>
              <w:t>28 Jun 1996</w:t>
            </w:r>
          </w:p>
        </w:tc>
        <w:tc>
          <w:tcPr>
            <w:tcW w:w="2571" w:type="dxa"/>
            <w:gridSpan w:val="2"/>
          </w:tcPr>
          <w:p>
            <w:pPr>
              <w:pStyle w:val="nTable"/>
              <w:spacing w:after="40"/>
            </w:pPr>
            <w:r>
              <w:t>1 Jul 1996 (see s. 2)</w:t>
            </w:r>
          </w:p>
        </w:tc>
      </w:tr>
      <w:tr>
        <w:trPr>
          <w:cantSplit/>
        </w:trPr>
        <w:tc>
          <w:tcPr>
            <w:tcW w:w="2274" w:type="dxa"/>
            <w:gridSpan w:val="2"/>
          </w:tcPr>
          <w:p>
            <w:pPr>
              <w:pStyle w:val="nTable"/>
              <w:spacing w:after="40"/>
              <w:ind w:right="113"/>
            </w:pPr>
            <w:r>
              <w:rPr>
                <w:i/>
              </w:rPr>
              <w:t>Casino (Burswood Island) Agreement Amendment Act 1997</w:t>
            </w:r>
          </w:p>
        </w:tc>
        <w:tc>
          <w:tcPr>
            <w:tcW w:w="1139" w:type="dxa"/>
          </w:tcPr>
          <w:p>
            <w:pPr>
              <w:pStyle w:val="nTable"/>
              <w:spacing w:after="40"/>
            </w:pPr>
            <w:r>
              <w:t>20 of 1997</w:t>
            </w:r>
          </w:p>
        </w:tc>
        <w:tc>
          <w:tcPr>
            <w:tcW w:w="1136" w:type="dxa"/>
          </w:tcPr>
          <w:p>
            <w:pPr>
              <w:pStyle w:val="nTable"/>
              <w:spacing w:after="40"/>
            </w:pPr>
            <w:r>
              <w:t>4 Sep 1997</w:t>
            </w:r>
          </w:p>
        </w:tc>
        <w:tc>
          <w:tcPr>
            <w:tcW w:w="2571" w:type="dxa"/>
            <w:gridSpan w:val="2"/>
          </w:tcPr>
          <w:p>
            <w:pPr>
              <w:pStyle w:val="nTable"/>
              <w:spacing w:after="40"/>
            </w:pPr>
            <w:r>
              <w:t>4 Sep 1997 (see s. 2)</w:t>
            </w:r>
          </w:p>
        </w:tc>
      </w:tr>
      <w:tr>
        <w:trPr>
          <w:cantSplit/>
        </w:trPr>
        <w:tc>
          <w:tcPr>
            <w:tcW w:w="4549" w:type="dxa"/>
            <w:gridSpan w:val="4"/>
          </w:tcPr>
          <w:p>
            <w:pPr>
              <w:pStyle w:val="nTable"/>
              <w:spacing w:after="40"/>
            </w:pPr>
            <w:r>
              <w:rPr>
                <w:i/>
              </w:rPr>
              <w:t xml:space="preserve">Casino (Burswood Island) Agreement Act 1985 Amendment Order 1998 </w:t>
            </w:r>
            <w:r>
              <w:t>(see</w:t>
            </w:r>
            <w:r>
              <w:rPr>
                <w:i/>
              </w:rPr>
              <w:t xml:space="preserve"> Gazette </w:t>
            </w:r>
            <w:r>
              <w:t>8 May 1998 p. 2390-6)</w:t>
            </w:r>
          </w:p>
        </w:tc>
        <w:tc>
          <w:tcPr>
            <w:tcW w:w="2571" w:type="dxa"/>
            <w:gridSpan w:val="2"/>
          </w:tcPr>
          <w:p>
            <w:pPr>
              <w:pStyle w:val="nTable"/>
              <w:spacing w:after="40"/>
            </w:pPr>
            <w:r>
              <w:t>8 May 1998</w:t>
            </w:r>
          </w:p>
        </w:tc>
      </w:tr>
      <w:tr>
        <w:trPr>
          <w:cantSplit/>
        </w:trPr>
        <w:tc>
          <w:tcPr>
            <w:tcW w:w="7120" w:type="dxa"/>
            <w:gridSpan w:val="6"/>
          </w:tcPr>
          <w:p>
            <w:pPr>
              <w:pStyle w:val="nTable"/>
              <w:spacing w:after="40"/>
            </w:pPr>
            <w:r>
              <w:rPr>
                <w:b/>
              </w:rPr>
              <w:t xml:space="preserve">Reprint of the </w:t>
            </w:r>
            <w:r>
              <w:rPr>
                <w:b/>
                <w:i/>
              </w:rPr>
              <w:t>Casino (Burswood Island) Agreement Act 1985</w:t>
            </w:r>
            <w:r>
              <w:rPr>
                <w:b/>
              </w:rPr>
              <w:t xml:space="preserve"> as at 5 Apr 2002</w:t>
            </w:r>
            <w:r>
              <w:br/>
              <w:t>(includes amendments listed above)</w:t>
            </w:r>
          </w:p>
        </w:tc>
      </w:tr>
      <w:tr>
        <w:trPr>
          <w:cantSplit/>
        </w:trPr>
        <w:tc>
          <w:tcPr>
            <w:tcW w:w="2274" w:type="dxa"/>
            <w:gridSpan w:val="2"/>
          </w:tcPr>
          <w:p>
            <w:pPr>
              <w:pStyle w:val="nTable"/>
              <w:spacing w:after="40"/>
              <w:ind w:right="113"/>
            </w:pPr>
            <w:r>
              <w:rPr>
                <w:i/>
              </w:rPr>
              <w:t>Casino (Burswood Island) Agreement Amendment Act 2003</w:t>
            </w:r>
          </w:p>
        </w:tc>
        <w:tc>
          <w:tcPr>
            <w:tcW w:w="1139" w:type="dxa"/>
          </w:tcPr>
          <w:p>
            <w:pPr>
              <w:pStyle w:val="nTable"/>
              <w:spacing w:after="40"/>
            </w:pPr>
            <w:r>
              <w:t>51 of 2003</w:t>
            </w:r>
          </w:p>
        </w:tc>
        <w:tc>
          <w:tcPr>
            <w:tcW w:w="1136" w:type="dxa"/>
          </w:tcPr>
          <w:p>
            <w:pPr>
              <w:pStyle w:val="nTable"/>
              <w:spacing w:after="40"/>
            </w:pPr>
            <w:r>
              <w:t>2 Sep 2003</w:t>
            </w:r>
          </w:p>
        </w:tc>
        <w:tc>
          <w:tcPr>
            <w:tcW w:w="2571" w:type="dxa"/>
            <w:gridSpan w:val="2"/>
          </w:tcPr>
          <w:p>
            <w:pPr>
              <w:pStyle w:val="nTable"/>
              <w:spacing w:after="40"/>
            </w:pPr>
            <w:r>
              <w:t>2 Sep 2003 (see s. 2)</w:t>
            </w:r>
          </w:p>
        </w:tc>
      </w:tr>
      <w:tr>
        <w:trPr>
          <w:cantSplit/>
        </w:trPr>
        <w:tc>
          <w:tcPr>
            <w:tcW w:w="2274"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71" w:type="dxa"/>
            <w:gridSpan w:val="2"/>
          </w:tcPr>
          <w:p>
            <w:pPr>
              <w:pStyle w:val="nTable"/>
              <w:spacing w:after="40"/>
            </w:pPr>
            <w:r>
              <w:t xml:space="preserve">9 Apr 2006 (see s. 2 and </w:t>
            </w:r>
            <w:r>
              <w:rPr>
                <w:i/>
              </w:rPr>
              <w:t>Gazette</w:t>
            </w:r>
            <w:r>
              <w:t xml:space="preserve"> 21 Mar 2006 p. 1078)</w:t>
            </w:r>
          </w:p>
        </w:tc>
      </w:tr>
      <w:tr>
        <w:trPr>
          <w:cantSplit/>
        </w:trPr>
        <w:tc>
          <w:tcPr>
            <w:tcW w:w="4549" w:type="dxa"/>
            <w:gridSpan w:val="4"/>
          </w:tcPr>
          <w:p>
            <w:pPr>
              <w:pStyle w:val="nTable"/>
              <w:spacing w:after="40"/>
            </w:pPr>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p>
        </w:tc>
        <w:tc>
          <w:tcPr>
            <w:tcW w:w="2571" w:type="dxa"/>
            <w:gridSpan w:val="2"/>
          </w:tcPr>
          <w:p>
            <w:pPr>
              <w:pStyle w:val="nTable"/>
              <w:spacing w:after="40"/>
            </w:pPr>
            <w:r>
              <w:t>4 Jul 2006</w:t>
            </w:r>
          </w:p>
        </w:tc>
      </w:tr>
      <w:tr>
        <w:trPr>
          <w:cantSplit/>
        </w:trPr>
        <w:tc>
          <w:tcPr>
            <w:tcW w:w="2274" w:type="dxa"/>
            <w:gridSpan w:val="2"/>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4549" w:type="dxa"/>
            <w:gridSpan w:val="4"/>
          </w:tcPr>
          <w:p>
            <w:pPr>
              <w:pStyle w:val="nTable"/>
              <w:spacing w:after="40"/>
              <w:rPr>
                <w:snapToGrid w:val="0"/>
              </w:rPr>
            </w:pPr>
            <w:r>
              <w:rPr>
                <w:i/>
                <w:snapToGrid w:val="0"/>
              </w:rPr>
              <w:lastRenderedPageBreak/>
              <w:t>Casino (Burswood Island) Agreement Amendment Order 2007</w:t>
            </w:r>
            <w:r>
              <w:rPr>
                <w:iCs/>
                <w:snapToGrid w:val="0"/>
              </w:rPr>
              <w:t xml:space="preserve"> (see </w:t>
            </w:r>
            <w:r>
              <w:rPr>
                <w:i/>
                <w:snapToGrid w:val="0"/>
              </w:rPr>
              <w:t xml:space="preserve">Gazette </w:t>
            </w:r>
            <w:r>
              <w:rPr>
                <w:iCs/>
                <w:snapToGrid w:val="0"/>
              </w:rPr>
              <w:t>12 Jun 2007 p. 2731-5)</w:t>
            </w:r>
          </w:p>
        </w:tc>
        <w:tc>
          <w:tcPr>
            <w:tcW w:w="2571" w:type="dxa"/>
            <w:gridSpan w:val="2"/>
          </w:tcPr>
          <w:p>
            <w:pPr>
              <w:pStyle w:val="nTable"/>
              <w:spacing w:after="40"/>
              <w:rPr>
                <w:snapToGrid w:val="0"/>
              </w:rPr>
            </w:pPr>
            <w:r>
              <w:rPr>
                <w:snapToGrid w:val="0"/>
              </w:rPr>
              <w:t>12 Jun 2007</w:t>
            </w:r>
          </w:p>
        </w:tc>
      </w:tr>
      <w:tr>
        <w:trPr>
          <w:cantSplit/>
        </w:trPr>
        <w:tc>
          <w:tcPr>
            <w:tcW w:w="7120" w:type="dxa"/>
            <w:gridSpan w:val="6"/>
          </w:tcPr>
          <w:p>
            <w:pPr>
              <w:pStyle w:val="nTable"/>
              <w:spacing w:after="40"/>
              <w:rPr>
                <w:snapToGrid w:val="0"/>
              </w:rPr>
            </w:pPr>
            <w:r>
              <w:rPr>
                <w:b/>
              </w:rPr>
              <w:t xml:space="preserve">Reprint 2: The </w:t>
            </w:r>
            <w:r>
              <w:rPr>
                <w:b/>
                <w:i/>
              </w:rPr>
              <w:t>Casino (Burswood Island) Agreement Act 1985</w:t>
            </w:r>
            <w:r>
              <w:rPr>
                <w:b/>
              </w:rPr>
              <w:t xml:space="preserve"> as at 1 Feb 2008</w:t>
            </w:r>
            <w:r>
              <w:br/>
              <w:t>(includes amendments listed above)</w:t>
            </w:r>
          </w:p>
        </w:tc>
      </w:tr>
      <w:tr>
        <w:trPr>
          <w:cantSplit/>
        </w:trPr>
        <w:tc>
          <w:tcPr>
            <w:tcW w:w="2274" w:type="dxa"/>
            <w:gridSpan w:val="2"/>
          </w:tcPr>
          <w:p>
            <w:pPr>
              <w:pStyle w:val="nTable"/>
              <w:spacing w:after="40"/>
              <w:ind w:right="113"/>
            </w:pPr>
            <w:r>
              <w:rPr>
                <w:i/>
              </w:rPr>
              <w:t>Casino (Burswood Island) Agreement Amendment Act 2008</w:t>
            </w:r>
          </w:p>
        </w:tc>
        <w:tc>
          <w:tcPr>
            <w:tcW w:w="1139" w:type="dxa"/>
          </w:tcPr>
          <w:p>
            <w:pPr>
              <w:pStyle w:val="nTable"/>
              <w:spacing w:after="40"/>
            </w:pPr>
            <w:r>
              <w:t>17 of 2008</w:t>
            </w:r>
          </w:p>
        </w:tc>
        <w:tc>
          <w:tcPr>
            <w:tcW w:w="1136" w:type="dxa"/>
          </w:tcPr>
          <w:p>
            <w:pPr>
              <w:pStyle w:val="nTable"/>
              <w:spacing w:after="40"/>
            </w:pPr>
            <w:r>
              <w:t>16 Apr 2008</w:t>
            </w:r>
          </w:p>
        </w:tc>
        <w:tc>
          <w:tcPr>
            <w:tcW w:w="2571" w:type="dxa"/>
            <w:gridSpan w:val="2"/>
          </w:tcPr>
          <w:p>
            <w:pPr>
              <w:pStyle w:val="nTable"/>
              <w:spacing w:after="40"/>
            </w:pPr>
            <w:r>
              <w:t>s. 1 and 2: 16 Apr 2008 (see s. 2(a));</w:t>
            </w:r>
            <w:r>
              <w:br/>
              <w:t>Act other than s. 1 and 2: 17 Apr 2008 (see s. 2(b))</w:t>
            </w:r>
          </w:p>
        </w:tc>
      </w:tr>
      <w:tr>
        <w:trPr>
          <w:gridBefore w:val="1"/>
          <w:gridAfter w:val="1"/>
          <w:wBefore w:w="9" w:type="dxa"/>
          <w:wAfter w:w="17" w:type="dxa"/>
          <w:cantSplit/>
        </w:trPr>
        <w:tc>
          <w:tcPr>
            <w:tcW w:w="226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Note"/>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9" w:name="_Toc128382205"/>
      <w:r>
        <w:rPr>
          <w:sz w:val="28"/>
        </w:rPr>
        <w:lastRenderedPageBreak/>
        <w:t>Defined Terms</w:t>
      </w:r>
      <w:bookmarkEnd w:id="3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0" w:name="DefinedTerms"/>
      <w:bookmarkEnd w:id="40"/>
      <w:r>
        <w:rPr>
          <w:snapToGrid w:val="0"/>
        </w:rPr>
        <w:t>approved company</w:t>
      </w:r>
      <w:r>
        <w:rPr>
          <w:snapToGrid w:val="0"/>
        </w:rPr>
        <w:tab/>
        <w:t>11(1)</w:t>
      </w:r>
    </w:p>
    <w:p>
      <w:pPr>
        <w:pStyle w:val="DefinedTerms"/>
        <w:rPr>
          <w:snapToGrid w:val="0"/>
        </w:rPr>
      </w:pPr>
      <w:r>
        <w:rPr>
          <w:snapToGrid w:val="0"/>
        </w:rPr>
        <w:t>Commission</w:t>
      </w:r>
      <w:r>
        <w:rPr>
          <w:snapToGrid w:val="0"/>
        </w:rPr>
        <w:tab/>
        <w:t>11(1)</w:t>
      </w:r>
    </w:p>
    <w:p>
      <w:pPr>
        <w:pStyle w:val="DefinedTerms"/>
        <w:rPr>
          <w:snapToGrid w:val="0"/>
        </w:rPr>
      </w:pPr>
      <w:r>
        <w:rPr>
          <w:snapToGrid w:val="0"/>
        </w:rPr>
        <w:t>entrenched provisions</w:t>
      </w:r>
      <w:r>
        <w:rPr>
          <w:snapToGrid w:val="0"/>
        </w:rPr>
        <w:tab/>
        <w:t>10(3)</w:t>
      </w:r>
    </w:p>
    <w:p>
      <w:pPr>
        <w:pStyle w:val="DefinedTerms"/>
        <w:rPr>
          <w:snapToGrid w:val="0"/>
        </w:rPr>
      </w:pPr>
      <w:r>
        <w:rPr>
          <w:snapToGrid w:val="0"/>
        </w:rPr>
        <w:t>Metropolitan Region Scheme</w:t>
      </w:r>
      <w:r>
        <w:rPr>
          <w:snapToGrid w:val="0"/>
        </w:rPr>
        <w:tab/>
        <w:t>7(4)</w:t>
      </w:r>
    </w:p>
    <w:p>
      <w:pPr>
        <w:pStyle w:val="DefinedTerms"/>
        <w:rPr>
          <w:snapToGrid w:val="0"/>
        </w:rPr>
      </w:pPr>
      <w:r>
        <w:rPr>
          <w:snapToGrid w:val="0"/>
        </w:rPr>
        <w:t>probity approval notice</w:t>
      </w:r>
      <w:r>
        <w:rPr>
          <w:snapToGrid w:val="0"/>
        </w:rPr>
        <w:tab/>
        <w:t>11(1)</w:t>
      </w:r>
    </w:p>
    <w:p>
      <w:pPr>
        <w:pStyle w:val="DefinedTerms"/>
        <w:rPr>
          <w:snapToGrid w:val="0"/>
        </w:rPr>
      </w:pPr>
      <w:r>
        <w:rPr>
          <w:snapToGrid w:val="0"/>
        </w:rPr>
        <w:t>street</w:t>
      </w:r>
      <w:r>
        <w:rPr>
          <w:snapToGrid w:val="0"/>
        </w:rPr>
        <w:tab/>
        <w:t>8(5)</w:t>
      </w:r>
    </w:p>
    <w:p>
      <w:pPr>
        <w:pStyle w:val="DefinedTerms"/>
        <w:rPr>
          <w:snapToGrid w:val="0"/>
        </w:rPr>
      </w:pPr>
      <w:r>
        <w:rPr>
          <w:snapToGrid w:val="0"/>
        </w:rPr>
        <w:t>the Agreement</w:t>
      </w:r>
      <w:r>
        <w:rPr>
          <w:snapToGrid w:val="0"/>
        </w:rPr>
        <w:tab/>
        <w:t>3</w:t>
      </w:r>
    </w:p>
    <w:p>
      <w:pPr>
        <w:pStyle w:val="DefinedTerms"/>
        <w:rPr>
          <w:snapToGrid w:val="0"/>
        </w:rPr>
      </w:pPr>
      <w:r>
        <w:rPr>
          <w:snapToGrid w:val="0"/>
        </w:rPr>
        <w:t>the Eighth Supplementary Agreement</w:t>
      </w:r>
      <w:r>
        <w:rPr>
          <w:snapToGrid w:val="0"/>
        </w:rPr>
        <w:tab/>
        <w:t>3</w:t>
      </w:r>
    </w:p>
    <w:p>
      <w:pPr>
        <w:pStyle w:val="DefinedTerms"/>
        <w:rPr>
          <w:snapToGrid w:val="0"/>
        </w:rPr>
      </w:pPr>
      <w:r>
        <w:rPr>
          <w:snapToGrid w:val="0"/>
        </w:rPr>
        <w:t>the Minister for Lands and Surveys</w:t>
      </w:r>
      <w:r>
        <w:rPr>
          <w:snapToGrid w:val="0"/>
        </w:rPr>
        <w:tab/>
        <w:t>8(5)</w:t>
      </w:r>
    </w:p>
    <w:p>
      <w:pPr>
        <w:pStyle w:val="DefinedTerms"/>
        <w:rPr>
          <w:snapToGrid w:val="0"/>
        </w:rPr>
      </w:pPr>
      <w:r>
        <w:rPr>
          <w:snapToGrid w:val="0"/>
        </w:rPr>
        <w:t>the Resort Lands</w:t>
      </w:r>
      <w:r>
        <w:rPr>
          <w:snapToGrid w:val="0"/>
        </w:rPr>
        <w:tab/>
        <w:t>3</w:t>
      </w:r>
    </w:p>
    <w:p>
      <w:pPr>
        <w:pStyle w:val="DefinedTerms"/>
        <w:rPr>
          <w:snapToGrid w:val="0"/>
        </w:rPr>
      </w:pPr>
      <w:r>
        <w:rPr>
          <w:snapToGrid w:val="0"/>
        </w:rPr>
        <w:t>the Resort Site</w:t>
      </w:r>
      <w:r>
        <w:rPr>
          <w:snapToGrid w:val="0"/>
        </w:rPr>
        <w:tab/>
        <w:t>7(4)</w:t>
      </w:r>
    </w:p>
    <w:p>
      <w:pPr>
        <w:pStyle w:val="DefinedTerms"/>
        <w:rPr>
          <w:snapToGrid w:val="0"/>
        </w:rPr>
      </w:pPr>
      <w:r>
        <w:rPr>
          <w:snapToGrid w:val="0"/>
        </w:rPr>
        <w:t>the Second Supplementary Agreement</w:t>
      </w:r>
      <w:r>
        <w:rPr>
          <w:snapToGrid w:val="0"/>
        </w:rPr>
        <w:tab/>
        <w:t>3</w:t>
      </w:r>
    </w:p>
    <w:p>
      <w:pPr>
        <w:pStyle w:val="DefinedTerms"/>
        <w:rPr>
          <w:snapToGrid w:val="0"/>
        </w:rPr>
      </w:pPr>
      <w:r>
        <w:rPr>
          <w:snapToGrid w:val="0"/>
        </w:rPr>
        <w:t>the Seventh Supplementary Agreement</w:t>
      </w:r>
      <w:r>
        <w:rPr>
          <w:snapToGrid w:val="0"/>
        </w:rPr>
        <w:tab/>
        <w:t>3</w:t>
      </w:r>
    </w:p>
    <w:p>
      <w:pPr>
        <w:pStyle w:val="DefinedTerms"/>
        <w:rPr>
          <w:snapToGrid w:val="0"/>
        </w:rPr>
      </w:pPr>
      <w:r>
        <w:rPr>
          <w:snapToGrid w:val="0"/>
        </w:rPr>
        <w:t>the Site</w:t>
      </w:r>
      <w:r>
        <w:rPr>
          <w:snapToGrid w:val="0"/>
        </w:rPr>
        <w:tab/>
        <w:t>7(4)</w:t>
      </w:r>
    </w:p>
    <w:p>
      <w:pPr>
        <w:pStyle w:val="DefinedTerms"/>
        <w:rPr>
          <w:snapToGrid w:val="0"/>
        </w:rPr>
      </w:pPr>
      <w:r>
        <w:rPr>
          <w:snapToGrid w:val="0"/>
        </w:rPr>
        <w:t>the Supplementary Agreement</w:t>
      </w:r>
      <w:r>
        <w:rPr>
          <w:snapToGrid w:val="0"/>
        </w:rPr>
        <w:tab/>
        <w:t>3</w:t>
      </w:r>
    </w:p>
    <w:p>
      <w:pPr>
        <w:pStyle w:val="DefinedTerms"/>
        <w:rPr>
          <w:snapToGrid w:val="0"/>
        </w:rPr>
      </w:pPr>
      <w:r>
        <w:rPr>
          <w:snapToGrid w:val="0"/>
        </w:rPr>
        <w:t>the Surveyor General</w:t>
      </w:r>
      <w:r>
        <w:rPr>
          <w:snapToGrid w:val="0"/>
        </w:rPr>
        <w:tab/>
        <w:t>8(5)</w:t>
      </w:r>
    </w:p>
    <w:p>
      <w:pPr>
        <w:rPr>
          <w:snapToGrid w:val="0"/>
        </w:rPr>
      </w:pPr>
    </w:p>
    <w:p>
      <w:pPr>
        <w:rPr>
          <w:snapToGrid w:val="0"/>
        </w:rPr>
        <w:sectPr>
          <w:headerReference w:type="even" r:id="rId31"/>
          <w:headerReference w:type="default" r:id="rId32"/>
          <w:pgSz w:w="11907" w:h="16840" w:code="9"/>
          <w:pgMar w:top="2376" w:right="2404" w:bottom="3544" w:left="2404" w:header="720" w:footer="3380" w:gutter="0"/>
          <w:cols w:space="720"/>
          <w:noEndnote/>
          <w:docGrid w:linePitch="326"/>
        </w:sectPr>
      </w:pPr>
    </w:p>
    <w:p>
      <w:pPr>
        <w:rPr>
          <w:snapToGrid w:val="0"/>
        </w:rPr>
      </w:pPr>
    </w:p>
    <w:sectPr>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iv</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iii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rPr>
              <w:sz w:val="19"/>
            </w:rPr>
            <w:fldChar w:fldCharType="begin"/>
          </w:r>
          <w:r>
            <w:rPr>
              <w:sz w:val="19"/>
            </w:rPr>
            <w:instrText xml:space="preserve"> styleref CharPartText </w:instrText>
          </w:r>
          <w:r>
            <w:rPr>
              <w:sz w:val="19"/>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rPr>
              <w:sz w:val="19"/>
            </w:rPr>
            <w:fldChar w:fldCharType="begin"/>
          </w:r>
          <w:r>
            <w:rPr>
              <w:sz w:val="19"/>
            </w:rPr>
            <w:instrText xml:space="preserve"> styleref CharPartText </w:instrText>
          </w:r>
          <w:r>
            <w:rPr>
              <w:sz w:val="19"/>
            </w:rP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6E5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7091906"/>
    <w:docVar w:name="WAFER_20151207140549" w:val="RemoveTrackChanges"/>
    <w:docVar w:name="WAFER_20151207140549_GUID" w:val="d538ac36-56a9-456e-b35c-e5be53909a02"/>
    <w:docVar w:name="WAFER_2020123109352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moveBadVanishTags.RemoveTags"/>
    <w:docVar w:name="WAFER_20201231093523_GUID" w:val="c51bdc82-bad0-4f37-bb6d-e113be2bb4f5"/>
    <w:docVar w:name="WAFER_20230227091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7091906_GUID" w:val="bd456ec3-4610-4384-a291-b47ee7f06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316B944C-EF14-4DEF-807B-087F5BB5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wmf"/><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36836</Words>
  <Characters>181975</Characters>
  <Application>Microsoft Office Word</Application>
  <DocSecurity>0</DocSecurity>
  <Lines>5054</Lines>
  <Paragraphs>2574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1985 - 02-d0-05</dc:title>
  <dc:subject/>
  <dc:creator/>
  <cp:keywords/>
  <dc:description/>
  <cp:lastModifiedBy>Master Repository Process</cp:lastModifiedBy>
  <cp:revision>4</cp:revision>
  <cp:lastPrinted>2010-09-10T06:21:00Z</cp:lastPrinted>
  <dcterms:created xsi:type="dcterms:W3CDTF">2023-02-27T01:29:00Z</dcterms:created>
  <dcterms:modified xsi:type="dcterms:W3CDTF">2023-02-27T01:29:00Z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02-d0-05</vt:lpwstr>
  </property>
</Properties>
</file>