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Disposal of Uncollected Goods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Disposal of Uncollected Goods Act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_Toc272058935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_Toc272058936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_Toc272058937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_Toc272058938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 not to apply to certain bailments, etc.</w:t>
      </w:r>
      <w:r>
        <w:tab/>
      </w:r>
      <w:r>
        <w:fldChar w:fldCharType="begin"/>
      </w:r>
      <w:r>
        <w:instrText xml:space="preserve"> PAGEREF _Toc272058939 \h </w:instrText>
      </w:r>
      <w:r>
        <w:fldChar w:fldCharType="separate"/>
      </w:r>
      <w:r>
        <w:t>3</w:t>
      </w:r>
      <w:r>
        <w:fldChar w:fldCharType="end"/>
      </w:r>
    </w:p>
    <w:p>
      <w:pPr>
        <w:pStyle w:val="TOC2"/>
        <w:tabs>
          <w:tab w:val="right" w:leader="dot" w:pos="7086"/>
        </w:tabs>
        <w:rPr>
          <w:b w:val="0"/>
          <w:sz w:val="24"/>
          <w:szCs w:val="24"/>
        </w:rPr>
      </w:pPr>
      <w:r>
        <w:rPr>
          <w:szCs w:val="30"/>
        </w:rPr>
        <w:t>Part II — Disposal of uncollected prescribed goods</w:t>
      </w:r>
    </w:p>
    <w:p>
      <w:pPr>
        <w:pStyle w:val="TOC8"/>
        <w:rPr>
          <w:sz w:val="24"/>
          <w:szCs w:val="24"/>
        </w:rPr>
      </w:pPr>
      <w:r>
        <w:rPr>
          <w:szCs w:val="24"/>
        </w:rPr>
        <w:t>7</w:t>
      </w:r>
      <w:r>
        <w:rPr>
          <w:snapToGrid w:val="0"/>
          <w:szCs w:val="24"/>
        </w:rPr>
        <w:t>.</w:t>
      </w:r>
      <w:r>
        <w:rPr>
          <w:snapToGrid w:val="0"/>
          <w:szCs w:val="24"/>
        </w:rPr>
        <w:tab/>
        <w:t>Application of Part II</w:t>
      </w:r>
      <w:r>
        <w:tab/>
      </w:r>
      <w:r>
        <w:fldChar w:fldCharType="begin"/>
      </w:r>
      <w:r>
        <w:instrText xml:space="preserve"> PAGEREF _Toc272058941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Rights of bailee to dispose of prescribed goods</w:t>
      </w:r>
      <w:r>
        <w:tab/>
      </w:r>
      <w:r>
        <w:fldChar w:fldCharType="begin"/>
      </w:r>
      <w:r>
        <w:instrText xml:space="preserve"> PAGEREF _Toc272058942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Conditions as to disposal of prescribed goods</w:t>
      </w:r>
      <w:r>
        <w:tab/>
      </w:r>
      <w:r>
        <w:fldChar w:fldCharType="begin"/>
      </w:r>
      <w:r>
        <w:instrText xml:space="preserve"> PAGEREF _Toc272058943 \h </w:instrText>
      </w:r>
      <w:r>
        <w:fldChar w:fldCharType="separate"/>
      </w:r>
      <w:r>
        <w:t>4</w:t>
      </w:r>
      <w:r>
        <w:fldChar w:fldCharType="end"/>
      </w:r>
    </w:p>
    <w:p>
      <w:pPr>
        <w:pStyle w:val="TOC2"/>
        <w:tabs>
          <w:tab w:val="right" w:leader="dot" w:pos="7086"/>
        </w:tabs>
        <w:rPr>
          <w:b w:val="0"/>
          <w:sz w:val="24"/>
          <w:szCs w:val="24"/>
        </w:rPr>
      </w:pPr>
      <w:r>
        <w:rPr>
          <w:szCs w:val="30"/>
        </w:rPr>
        <w:t>Part III — Disposal of uncollected goods assessed at a value not exceeding $300</w:t>
      </w:r>
    </w:p>
    <w:p>
      <w:pPr>
        <w:pStyle w:val="TOC8"/>
        <w:rPr>
          <w:sz w:val="24"/>
          <w:szCs w:val="24"/>
        </w:rPr>
      </w:pPr>
      <w:r>
        <w:rPr>
          <w:szCs w:val="24"/>
        </w:rPr>
        <w:t>10</w:t>
      </w:r>
      <w:r>
        <w:rPr>
          <w:snapToGrid w:val="0"/>
          <w:szCs w:val="24"/>
        </w:rPr>
        <w:t>.</w:t>
      </w:r>
      <w:r>
        <w:rPr>
          <w:snapToGrid w:val="0"/>
          <w:szCs w:val="24"/>
        </w:rPr>
        <w:tab/>
        <w:t>Application of Part III</w:t>
      </w:r>
      <w:r>
        <w:tab/>
      </w:r>
      <w:r>
        <w:fldChar w:fldCharType="begin"/>
      </w:r>
      <w:r>
        <w:instrText xml:space="preserve"> PAGEREF _Toc272058945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Rights of bailee to dispose of goods not exceeding $300 in value</w:t>
      </w:r>
      <w:r>
        <w:tab/>
      </w:r>
      <w:r>
        <w:fldChar w:fldCharType="begin"/>
      </w:r>
      <w:r>
        <w:instrText xml:space="preserve"> PAGEREF _Toc272058946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Conditions as to disposal of goods not exceeding $300 in value</w:t>
      </w:r>
      <w:r>
        <w:tab/>
      </w:r>
      <w:r>
        <w:fldChar w:fldCharType="begin"/>
      </w:r>
      <w:r>
        <w:instrText xml:space="preserve"> PAGEREF _Toc272058947 \h </w:instrText>
      </w:r>
      <w:r>
        <w:fldChar w:fldCharType="separate"/>
      </w:r>
      <w:r>
        <w:t>6</w:t>
      </w:r>
      <w:r>
        <w:fldChar w:fldCharType="end"/>
      </w:r>
    </w:p>
    <w:p>
      <w:pPr>
        <w:pStyle w:val="TOC2"/>
        <w:tabs>
          <w:tab w:val="right" w:leader="dot" w:pos="7086"/>
        </w:tabs>
        <w:rPr>
          <w:b w:val="0"/>
          <w:sz w:val="24"/>
          <w:szCs w:val="24"/>
        </w:rPr>
      </w:pPr>
      <w:r>
        <w:rPr>
          <w:szCs w:val="30"/>
        </w:rPr>
        <w:t>Part IV — Procedure after goods are sold or otherwise disposed of pursuant to Parts II and III</w:t>
      </w:r>
    </w:p>
    <w:p>
      <w:pPr>
        <w:pStyle w:val="TOC8"/>
        <w:rPr>
          <w:sz w:val="24"/>
          <w:szCs w:val="24"/>
        </w:rPr>
      </w:pPr>
      <w:r>
        <w:rPr>
          <w:szCs w:val="24"/>
        </w:rPr>
        <w:t>13</w:t>
      </w:r>
      <w:r>
        <w:rPr>
          <w:snapToGrid w:val="0"/>
          <w:szCs w:val="24"/>
        </w:rPr>
        <w:t>.</w:t>
      </w:r>
      <w:r>
        <w:rPr>
          <w:snapToGrid w:val="0"/>
          <w:szCs w:val="24"/>
        </w:rPr>
        <w:tab/>
        <w:t>Application of Part IV</w:t>
      </w:r>
      <w:r>
        <w:tab/>
      </w:r>
      <w:r>
        <w:fldChar w:fldCharType="begin"/>
      </w:r>
      <w:r>
        <w:instrText xml:space="preserve"> PAGEREF _Toc272058949 \h </w:instrText>
      </w:r>
      <w:r>
        <w:fldChar w:fldCharType="separate"/>
      </w:r>
      <w:r>
        <w:t>8</w:t>
      </w:r>
      <w:r>
        <w:fldChar w:fldCharType="end"/>
      </w:r>
    </w:p>
    <w:p>
      <w:pPr>
        <w:pStyle w:val="TOC8"/>
        <w:rPr>
          <w:sz w:val="24"/>
          <w:szCs w:val="24"/>
        </w:rPr>
      </w:pPr>
      <w:r>
        <w:rPr>
          <w:szCs w:val="24"/>
        </w:rPr>
        <w:lastRenderedPageBreak/>
        <w:t>14</w:t>
      </w:r>
      <w:r>
        <w:rPr>
          <w:snapToGrid w:val="0"/>
          <w:szCs w:val="24"/>
        </w:rPr>
        <w:t>.</w:t>
      </w:r>
      <w:r>
        <w:rPr>
          <w:snapToGrid w:val="0"/>
          <w:szCs w:val="24"/>
        </w:rPr>
        <w:tab/>
        <w:t>Procedure after disposal of goods pursuant to Parts II and III</w:t>
      </w:r>
      <w:r>
        <w:tab/>
      </w:r>
      <w:r>
        <w:fldChar w:fldCharType="begin"/>
      </w:r>
      <w:r>
        <w:instrText xml:space="preserve"> PAGEREF _Toc272058950 \h </w:instrText>
      </w:r>
      <w:r>
        <w:fldChar w:fldCharType="separate"/>
      </w:r>
      <w:r>
        <w:t>8</w:t>
      </w:r>
      <w:r>
        <w:fldChar w:fldCharType="end"/>
      </w:r>
    </w:p>
    <w:p>
      <w:pPr>
        <w:pStyle w:val="TOC2"/>
        <w:tabs>
          <w:tab w:val="right" w:leader="dot" w:pos="7086"/>
        </w:tabs>
        <w:rPr>
          <w:b w:val="0"/>
          <w:sz w:val="24"/>
          <w:szCs w:val="24"/>
        </w:rPr>
      </w:pPr>
      <w:r>
        <w:rPr>
          <w:szCs w:val="30"/>
        </w:rPr>
        <w:t>Part V — Provisions relating to disputes</w:t>
      </w:r>
    </w:p>
    <w:p>
      <w:pPr>
        <w:pStyle w:val="TOC8"/>
        <w:rPr>
          <w:sz w:val="24"/>
          <w:szCs w:val="24"/>
        </w:rPr>
      </w:pPr>
      <w:r>
        <w:rPr>
          <w:szCs w:val="24"/>
        </w:rPr>
        <w:t>15</w:t>
      </w:r>
      <w:r>
        <w:rPr>
          <w:snapToGrid w:val="0"/>
          <w:szCs w:val="24"/>
        </w:rPr>
        <w:t>.</w:t>
      </w:r>
      <w:r>
        <w:rPr>
          <w:snapToGrid w:val="0"/>
          <w:szCs w:val="24"/>
        </w:rPr>
        <w:tab/>
        <w:t>Disputes as to charges, etc.</w:t>
      </w:r>
      <w:r>
        <w:tab/>
      </w:r>
      <w:r>
        <w:fldChar w:fldCharType="begin"/>
      </w:r>
      <w:r>
        <w:instrText xml:space="preserve"> PAGEREF _Toc272058952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Disputes as to description of goods</w:t>
      </w:r>
      <w:r>
        <w:tab/>
      </w:r>
      <w:r>
        <w:fldChar w:fldCharType="begin"/>
      </w:r>
      <w:r>
        <w:instrText xml:space="preserve"> PAGEREF _Toc272058953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Determination of disputes</w:t>
      </w:r>
      <w:r>
        <w:tab/>
      </w:r>
      <w:r>
        <w:fldChar w:fldCharType="begin"/>
      </w:r>
      <w:r>
        <w:instrText xml:space="preserve"> PAGEREF _Toc272058954 \h </w:instrText>
      </w:r>
      <w:r>
        <w:fldChar w:fldCharType="separate"/>
      </w:r>
      <w:r>
        <w:t>12</w:t>
      </w:r>
      <w:r>
        <w:fldChar w:fldCharType="end"/>
      </w:r>
    </w:p>
    <w:p>
      <w:pPr>
        <w:pStyle w:val="TOC2"/>
        <w:tabs>
          <w:tab w:val="right" w:leader="dot" w:pos="7086"/>
        </w:tabs>
        <w:rPr>
          <w:b w:val="0"/>
          <w:sz w:val="24"/>
          <w:szCs w:val="24"/>
        </w:rPr>
      </w:pPr>
      <w:r>
        <w:rPr>
          <w:szCs w:val="30"/>
        </w:rPr>
        <w:t>Part VI — Disposal of goods valued in excess of $300</w:t>
      </w:r>
    </w:p>
    <w:p>
      <w:pPr>
        <w:pStyle w:val="TOC8"/>
        <w:rPr>
          <w:sz w:val="24"/>
          <w:szCs w:val="24"/>
        </w:rPr>
      </w:pPr>
      <w:r>
        <w:rPr>
          <w:szCs w:val="24"/>
        </w:rPr>
        <w:t>18</w:t>
      </w:r>
      <w:r>
        <w:rPr>
          <w:snapToGrid w:val="0"/>
          <w:szCs w:val="24"/>
        </w:rPr>
        <w:t>.</w:t>
      </w:r>
      <w:r>
        <w:rPr>
          <w:snapToGrid w:val="0"/>
          <w:szCs w:val="24"/>
        </w:rPr>
        <w:tab/>
        <w:t>Application of Part VI</w:t>
      </w:r>
      <w:r>
        <w:tab/>
      </w:r>
      <w:r>
        <w:fldChar w:fldCharType="begin"/>
      </w:r>
      <w:r>
        <w:instrText xml:space="preserve"> PAGEREF _Toc272058956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Application by bailee for order to dispose of goods exceeding $300 in value</w:t>
      </w:r>
      <w:r>
        <w:tab/>
      </w:r>
      <w:r>
        <w:fldChar w:fldCharType="begin"/>
      </w:r>
      <w:r>
        <w:instrText xml:space="preserve"> PAGEREF _Toc272058957 \h </w:instrText>
      </w:r>
      <w:r>
        <w:fldChar w:fldCharType="separate"/>
      </w:r>
      <w:r>
        <w:t>13</w:t>
      </w:r>
      <w:r>
        <w:fldChar w:fldCharType="end"/>
      </w:r>
    </w:p>
    <w:p>
      <w:pPr>
        <w:pStyle w:val="TOC2"/>
        <w:tabs>
          <w:tab w:val="right" w:leader="dot" w:pos="7086"/>
        </w:tabs>
        <w:rPr>
          <w:b w:val="0"/>
          <w:sz w:val="24"/>
          <w:szCs w:val="24"/>
        </w:rPr>
      </w:pPr>
      <w:r>
        <w:rPr>
          <w:szCs w:val="30"/>
        </w:rPr>
        <w:t>Part VII — Disposal of goods in possession otherwise than under a bailment in the course of business</w:t>
      </w:r>
    </w:p>
    <w:p>
      <w:pPr>
        <w:pStyle w:val="TOC8"/>
        <w:rPr>
          <w:sz w:val="24"/>
          <w:szCs w:val="24"/>
        </w:rPr>
      </w:pPr>
      <w:r>
        <w:rPr>
          <w:szCs w:val="24"/>
        </w:rPr>
        <w:t>20</w:t>
      </w:r>
      <w:r>
        <w:rPr>
          <w:snapToGrid w:val="0"/>
          <w:szCs w:val="24"/>
        </w:rPr>
        <w:t>.</w:t>
      </w:r>
      <w:r>
        <w:rPr>
          <w:snapToGrid w:val="0"/>
          <w:szCs w:val="24"/>
        </w:rPr>
        <w:tab/>
        <w:t>Disposal of goods held in any way other than by bailment in the course of business</w:t>
      </w:r>
      <w:r>
        <w:tab/>
      </w:r>
      <w:r>
        <w:fldChar w:fldCharType="begin"/>
      </w:r>
      <w:r>
        <w:instrText xml:space="preserve"> PAGEREF _Toc272058959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Conditions precedent to application to court</w:t>
      </w:r>
      <w:r>
        <w:tab/>
      </w:r>
      <w:r>
        <w:fldChar w:fldCharType="begin"/>
      </w:r>
      <w:r>
        <w:instrText xml:space="preserve"> PAGEREF _Toc272058960 \h </w:instrText>
      </w:r>
      <w:r>
        <w:fldChar w:fldCharType="separate"/>
      </w:r>
      <w:r>
        <w:t>15</w:t>
      </w:r>
      <w:r>
        <w:fldChar w:fldCharType="end"/>
      </w:r>
    </w:p>
    <w:p>
      <w:pPr>
        <w:pStyle w:val="TOC2"/>
        <w:tabs>
          <w:tab w:val="right" w:leader="dot" w:pos="7086"/>
        </w:tabs>
        <w:rPr>
          <w:b w:val="0"/>
          <w:sz w:val="24"/>
          <w:szCs w:val="24"/>
        </w:rPr>
      </w:pPr>
      <w:r>
        <w:rPr>
          <w:szCs w:val="30"/>
        </w:rPr>
        <w:t>Part VIII — Powers of the court</w:t>
      </w:r>
    </w:p>
    <w:p>
      <w:pPr>
        <w:pStyle w:val="TOC8"/>
        <w:rPr>
          <w:sz w:val="24"/>
          <w:szCs w:val="24"/>
        </w:rPr>
      </w:pPr>
      <w:r>
        <w:rPr>
          <w:szCs w:val="24"/>
        </w:rPr>
        <w:t>22</w:t>
      </w:r>
      <w:r>
        <w:rPr>
          <w:snapToGrid w:val="0"/>
          <w:szCs w:val="24"/>
        </w:rPr>
        <w:t>.</w:t>
      </w:r>
      <w:r>
        <w:rPr>
          <w:snapToGrid w:val="0"/>
          <w:szCs w:val="24"/>
        </w:rPr>
        <w:tab/>
        <w:t>Power of court to make order for disposal of goods</w:t>
      </w:r>
      <w:r>
        <w:tab/>
      </w:r>
      <w:r>
        <w:fldChar w:fldCharType="begin"/>
      </w:r>
      <w:r>
        <w:instrText xml:space="preserve"> PAGEREF _Toc272058962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Effect of order for disposal</w:t>
      </w:r>
      <w:r>
        <w:tab/>
      </w:r>
      <w:r>
        <w:fldChar w:fldCharType="begin"/>
      </w:r>
      <w:r>
        <w:instrText xml:space="preserve"> PAGEREF _Toc272058963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Subsidiary charges</w:t>
      </w:r>
      <w:r>
        <w:tab/>
      </w:r>
      <w:r>
        <w:fldChar w:fldCharType="begin"/>
      </w:r>
      <w:r>
        <w:instrText xml:space="preserve"> PAGEREF _Toc272058964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Procedure after disposal under this Part</w:t>
      </w:r>
      <w:r>
        <w:tab/>
      </w:r>
      <w:r>
        <w:fldChar w:fldCharType="begin"/>
      </w:r>
      <w:r>
        <w:instrText xml:space="preserve"> PAGEREF _Toc272058965 \h </w:instrText>
      </w:r>
      <w:r>
        <w:fldChar w:fldCharType="separate"/>
      </w:r>
      <w:r>
        <w:t>18</w:t>
      </w:r>
      <w:r>
        <w:fldChar w:fldCharType="end"/>
      </w:r>
    </w:p>
    <w:p>
      <w:pPr>
        <w:pStyle w:val="TOC2"/>
        <w:tabs>
          <w:tab w:val="right" w:leader="dot" w:pos="7086"/>
        </w:tabs>
        <w:rPr>
          <w:b w:val="0"/>
          <w:sz w:val="24"/>
          <w:szCs w:val="24"/>
        </w:rPr>
      </w:pPr>
      <w:r>
        <w:rPr>
          <w:szCs w:val="30"/>
        </w:rPr>
        <w:t>Part IX — Provisions as to notices</w:t>
      </w:r>
    </w:p>
    <w:p>
      <w:pPr>
        <w:pStyle w:val="TOC8"/>
        <w:rPr>
          <w:sz w:val="24"/>
          <w:szCs w:val="24"/>
        </w:rPr>
      </w:pPr>
      <w:r>
        <w:rPr>
          <w:szCs w:val="24"/>
        </w:rPr>
        <w:t>26</w:t>
      </w:r>
      <w:r>
        <w:rPr>
          <w:snapToGrid w:val="0"/>
          <w:szCs w:val="24"/>
        </w:rPr>
        <w:t>.</w:t>
      </w:r>
      <w:r>
        <w:rPr>
          <w:snapToGrid w:val="0"/>
          <w:szCs w:val="24"/>
        </w:rPr>
        <w:tab/>
        <w:t>Provisions as to notices</w:t>
      </w:r>
      <w:r>
        <w:tab/>
      </w:r>
      <w:r>
        <w:fldChar w:fldCharType="begin"/>
      </w:r>
      <w:r>
        <w:instrText xml:space="preserve"> PAGEREF _Toc272058967 \h </w:instrText>
      </w:r>
      <w:r>
        <w:fldChar w:fldCharType="separate"/>
      </w:r>
      <w:r>
        <w:t>21</w:t>
      </w:r>
      <w:r>
        <w:fldChar w:fldCharType="end"/>
      </w:r>
    </w:p>
    <w:p>
      <w:pPr>
        <w:pStyle w:val="TOC2"/>
        <w:tabs>
          <w:tab w:val="right" w:leader="dot" w:pos="7086"/>
        </w:tabs>
        <w:rPr>
          <w:b w:val="0"/>
          <w:sz w:val="24"/>
          <w:szCs w:val="24"/>
        </w:rPr>
      </w:pPr>
      <w:r>
        <w:rPr>
          <w:szCs w:val="30"/>
        </w:rPr>
        <w:t>Part X — General</w:t>
      </w:r>
    </w:p>
    <w:p>
      <w:pPr>
        <w:pStyle w:val="TOC8"/>
        <w:rPr>
          <w:sz w:val="24"/>
          <w:szCs w:val="24"/>
        </w:rPr>
      </w:pPr>
      <w:r>
        <w:rPr>
          <w:szCs w:val="24"/>
        </w:rPr>
        <w:t>27</w:t>
      </w:r>
      <w:r>
        <w:rPr>
          <w:snapToGrid w:val="0"/>
          <w:szCs w:val="24"/>
        </w:rPr>
        <w:t>.</w:t>
      </w:r>
      <w:r>
        <w:rPr>
          <w:snapToGrid w:val="0"/>
          <w:szCs w:val="24"/>
        </w:rPr>
        <w:tab/>
        <w:t>Certificate of court order</w:t>
      </w:r>
      <w:r>
        <w:tab/>
      </w:r>
      <w:r>
        <w:fldChar w:fldCharType="begin"/>
      </w:r>
      <w:r>
        <w:instrText xml:space="preserve"> PAGEREF _Toc272058969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Application of surplus proceeds of sale</w:t>
      </w:r>
      <w:r>
        <w:tab/>
      </w:r>
      <w:r>
        <w:fldChar w:fldCharType="begin"/>
      </w:r>
      <w:r>
        <w:instrText xml:space="preserve"> PAGEREF _Toc272058970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Provisions for payment before sale of goods</w:t>
      </w:r>
      <w:r>
        <w:tab/>
      </w:r>
      <w:r>
        <w:fldChar w:fldCharType="begin"/>
      </w:r>
      <w:r>
        <w:instrText xml:space="preserve"> PAGEREF _Toc272058971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Title of person acquiring goods</w:t>
      </w:r>
      <w:r>
        <w:tab/>
      </w:r>
      <w:r>
        <w:fldChar w:fldCharType="begin"/>
      </w:r>
      <w:r>
        <w:instrText xml:space="preserve"> PAGEREF _Toc272058972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Procedure for application to court</w:t>
      </w:r>
      <w:r>
        <w:tab/>
      </w:r>
      <w:r>
        <w:fldChar w:fldCharType="begin"/>
      </w:r>
      <w:r>
        <w:instrText xml:space="preserve"> PAGEREF _Toc272058973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Procedure</w:t>
      </w:r>
      <w:r>
        <w:tab/>
      </w:r>
      <w:r>
        <w:fldChar w:fldCharType="begin"/>
      </w:r>
      <w:r>
        <w:instrText xml:space="preserve"> PAGEREF _Toc272058974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_Toc272058975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_Toc272058976 \h </w:instrText>
      </w:r>
      <w:r>
        <w:fldChar w:fldCharType="separate"/>
      </w:r>
      <w:r>
        <w:t>26</w:t>
      </w:r>
      <w:r>
        <w:fldChar w:fldCharType="end"/>
      </w:r>
    </w:p>
    <w:p>
      <w:pPr>
        <w:pStyle w:val="TOC2"/>
        <w:tabs>
          <w:tab w:val="right" w:leader="dot" w:pos="7086"/>
        </w:tabs>
        <w:rPr>
          <w:b w:val="0"/>
          <w:sz w:val="24"/>
          <w:szCs w:val="24"/>
        </w:rPr>
      </w:pPr>
      <w:r>
        <w:rPr>
          <w:szCs w:val="28"/>
        </w:rPr>
        <w:t>Schedule — Acts custody of goods under which is not subject to this Act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_Toc272058979 \h </w:instrText>
      </w:r>
      <w:r>
        <w:fldChar w:fldCharType="separate"/>
      </w:r>
      <w:r>
        <w:t>28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Disposal of Uncollected Goods Act 1970 </w:t>
      </w:r>
    </w:p>
    <w:p>
      <w:pPr>
        <w:pStyle w:val="LongTitle"/>
        <w:rPr>
          <w:snapToGrid w:val="0"/>
        </w:rPr>
      </w:pPr>
      <w:r>
        <w:rPr>
          <w:snapToGrid w:val="0"/>
        </w:rPr>
        <w:t xml:space="preserve">An Act to authorize the disposal in specified circumstances of certain uncollected goods. </w:t>
      </w:r>
    </w:p>
    <w:p>
      <w:pPr>
        <w:pStyle w:val="Heading2"/>
      </w:pPr>
      <w:bookmarkStart w:id="1" w:name="_Toc89514924"/>
      <w:bookmarkStart w:id="2" w:name="_Toc102282355"/>
      <w:bookmarkStart w:id="3" w:name="_Toc102282408"/>
      <w:bookmarkStart w:id="4" w:name="_Toc151796684"/>
      <w:bookmarkStart w:id="5" w:name="_Toc170710827"/>
      <w:bookmarkStart w:id="6" w:name="_Toc170717849"/>
      <w:bookmarkStart w:id="7" w:name="_Toc171067530"/>
      <w:bookmarkStart w:id="8" w:name="_Toc268273331"/>
      <w:bookmarkStart w:id="9" w:name="_Toc27205893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59453820"/>
      <w:bookmarkStart w:id="11" w:name="_Toc44997318"/>
      <w:bookmarkStart w:id="12" w:name="_Toc170710828"/>
      <w:bookmarkStart w:id="13" w:name="_Toc272058935"/>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4" w:name="_Toc459453821"/>
      <w:bookmarkStart w:id="15" w:name="_Toc44997319"/>
      <w:bookmarkStart w:id="16" w:name="_Toc170710829"/>
      <w:bookmarkStart w:id="17" w:name="_Toc272058936"/>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s.76.]</w:t>
      </w:r>
    </w:p>
    <w:p>
      <w:pPr>
        <w:pStyle w:val="Heading5"/>
        <w:rPr>
          <w:snapToGrid w:val="0"/>
        </w:rPr>
      </w:pPr>
      <w:bookmarkStart w:id="18" w:name="_Toc459453822"/>
      <w:bookmarkStart w:id="19" w:name="_Toc44997320"/>
      <w:bookmarkStart w:id="20" w:name="_Toc170710830"/>
      <w:bookmarkStart w:id="21" w:name="_Toc272058937"/>
      <w:r>
        <w:rPr>
          <w:rStyle w:val="CharSectno"/>
        </w:rPr>
        <w:t>4</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Magistrates Court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22" w:name="_Toc459453823"/>
      <w:bookmarkStart w:id="23" w:name="_Toc44997321"/>
      <w:bookmarkStart w:id="24" w:name="_Toc170710831"/>
      <w:bookmarkStart w:id="25" w:name="_Toc272058938"/>
      <w:r>
        <w:rPr>
          <w:rStyle w:val="CharSectno"/>
        </w:rPr>
        <w:t>5</w:t>
      </w:r>
      <w:r>
        <w:rPr>
          <w:snapToGrid w:val="0"/>
        </w:rPr>
        <w:t>.</w:t>
      </w:r>
      <w:r>
        <w:rPr>
          <w:snapToGrid w:val="0"/>
        </w:rPr>
        <w:tab/>
        <w:t>Savings</w:t>
      </w:r>
      <w:bookmarkEnd w:id="22"/>
      <w:bookmarkEnd w:id="23"/>
      <w:bookmarkEnd w:id="24"/>
      <w:bookmarkEnd w:id="25"/>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26" w:name="_Toc459453824"/>
      <w:bookmarkStart w:id="27" w:name="_Toc44997322"/>
      <w:bookmarkStart w:id="28" w:name="_Toc170710832"/>
      <w:bookmarkStart w:id="29" w:name="_Toc272058939"/>
      <w:r>
        <w:rPr>
          <w:rStyle w:val="CharSectno"/>
        </w:rPr>
        <w:t>6</w:t>
      </w:r>
      <w:r>
        <w:rPr>
          <w:snapToGrid w:val="0"/>
        </w:rPr>
        <w:t>.</w:t>
      </w:r>
      <w:r>
        <w:rPr>
          <w:snapToGrid w:val="0"/>
        </w:rPr>
        <w:tab/>
        <w:t>Act not to apply to certain bailments, etc.</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30" w:name="_Toc89514930"/>
      <w:bookmarkStart w:id="31" w:name="_Toc102282361"/>
      <w:bookmarkStart w:id="32" w:name="_Toc102282414"/>
      <w:bookmarkStart w:id="33" w:name="_Toc151796690"/>
      <w:bookmarkStart w:id="34" w:name="_Toc170710833"/>
      <w:bookmarkStart w:id="35" w:name="_Toc170717855"/>
      <w:bookmarkStart w:id="36" w:name="_Toc171067536"/>
      <w:bookmarkStart w:id="37" w:name="_Toc268273337"/>
      <w:bookmarkStart w:id="38" w:name="_Toc272058940"/>
      <w:r>
        <w:rPr>
          <w:rStyle w:val="CharPartNo"/>
        </w:rPr>
        <w:t>Part II</w:t>
      </w:r>
      <w:r>
        <w:rPr>
          <w:rStyle w:val="CharDivNo"/>
        </w:rPr>
        <w:t> </w:t>
      </w:r>
      <w:r>
        <w:t>—</w:t>
      </w:r>
      <w:r>
        <w:rPr>
          <w:rStyle w:val="CharDivText"/>
        </w:rPr>
        <w:t> </w:t>
      </w:r>
      <w:r>
        <w:rPr>
          <w:rStyle w:val="CharPartText"/>
        </w:rPr>
        <w:t>Disposal of uncollected prescribed goods</w:t>
      </w:r>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59453825"/>
      <w:bookmarkStart w:id="40" w:name="_Toc44997323"/>
      <w:bookmarkStart w:id="41" w:name="_Toc170710834"/>
      <w:bookmarkStart w:id="42" w:name="_Toc272058941"/>
      <w:r>
        <w:rPr>
          <w:rStyle w:val="CharSectno"/>
        </w:rPr>
        <w:t>7</w:t>
      </w:r>
      <w:r>
        <w:rPr>
          <w:snapToGrid w:val="0"/>
        </w:rPr>
        <w:t>.</w:t>
      </w:r>
      <w:r>
        <w:rPr>
          <w:snapToGrid w:val="0"/>
        </w:rPr>
        <w:tab/>
        <w:t>Application of Part II</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43" w:name="_Toc459453826"/>
      <w:bookmarkStart w:id="44" w:name="_Toc44997324"/>
      <w:bookmarkStart w:id="45" w:name="_Toc170710835"/>
      <w:bookmarkStart w:id="46" w:name="_Toc272058942"/>
      <w:r>
        <w:rPr>
          <w:rStyle w:val="CharSectno"/>
        </w:rPr>
        <w:t>8</w:t>
      </w:r>
      <w:r>
        <w:rPr>
          <w:snapToGrid w:val="0"/>
        </w:rPr>
        <w:t>.</w:t>
      </w:r>
      <w:r>
        <w:rPr>
          <w:snapToGrid w:val="0"/>
        </w:rPr>
        <w:tab/>
        <w:t>Rights of bailee to dispose of prescribed goods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47" w:name="_Toc459453827"/>
      <w:bookmarkStart w:id="48" w:name="_Toc44997325"/>
      <w:bookmarkStart w:id="49" w:name="_Toc170710836"/>
      <w:bookmarkStart w:id="50" w:name="_Toc272058943"/>
      <w:r>
        <w:rPr>
          <w:rStyle w:val="CharSectno"/>
        </w:rPr>
        <w:t>9</w:t>
      </w:r>
      <w:r>
        <w:rPr>
          <w:snapToGrid w:val="0"/>
        </w:rPr>
        <w:t>.</w:t>
      </w:r>
      <w:r>
        <w:rPr>
          <w:snapToGrid w:val="0"/>
        </w:rPr>
        <w:tab/>
        <w:t>Conditions as to disposal of prescribed goods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51" w:name="_Toc89514934"/>
      <w:bookmarkStart w:id="52" w:name="_Toc102282365"/>
      <w:bookmarkStart w:id="53" w:name="_Toc102282418"/>
      <w:bookmarkStart w:id="54" w:name="_Toc151796694"/>
      <w:bookmarkStart w:id="55" w:name="_Toc170710837"/>
      <w:bookmarkStart w:id="56" w:name="_Toc170717859"/>
      <w:bookmarkStart w:id="57" w:name="_Toc171067540"/>
      <w:bookmarkStart w:id="58" w:name="_Toc268273341"/>
      <w:bookmarkStart w:id="59" w:name="_Toc272058944"/>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51"/>
      <w:bookmarkEnd w:id="52"/>
      <w:bookmarkEnd w:id="53"/>
      <w:bookmarkEnd w:id="54"/>
      <w:bookmarkEnd w:id="55"/>
      <w:bookmarkEnd w:id="56"/>
      <w:bookmarkEnd w:id="57"/>
      <w:bookmarkEnd w:id="58"/>
      <w:bookmarkEnd w:id="59"/>
    </w:p>
    <w:p>
      <w:pPr>
        <w:pStyle w:val="Heading5"/>
        <w:rPr>
          <w:snapToGrid w:val="0"/>
        </w:rPr>
      </w:pPr>
      <w:bookmarkStart w:id="60" w:name="_Toc459453828"/>
      <w:bookmarkStart w:id="61" w:name="_Toc44997326"/>
      <w:bookmarkStart w:id="62" w:name="_Toc170710838"/>
      <w:bookmarkStart w:id="63" w:name="_Toc272058945"/>
      <w:r>
        <w:rPr>
          <w:rStyle w:val="CharSectno"/>
        </w:rPr>
        <w:t>10</w:t>
      </w:r>
      <w:r>
        <w:rPr>
          <w:snapToGrid w:val="0"/>
        </w:rPr>
        <w:t>.</w:t>
      </w:r>
      <w:r>
        <w:rPr>
          <w:snapToGrid w:val="0"/>
        </w:rPr>
        <w:tab/>
        <w:t>Application of Part III</w:t>
      </w:r>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64" w:name="_Toc459453829"/>
      <w:bookmarkStart w:id="65" w:name="_Toc44997327"/>
      <w:bookmarkStart w:id="66" w:name="_Toc170710839"/>
      <w:bookmarkStart w:id="67" w:name="_Toc272058946"/>
      <w:r>
        <w:rPr>
          <w:rStyle w:val="CharSectno"/>
        </w:rPr>
        <w:t>11</w:t>
      </w:r>
      <w:r>
        <w:rPr>
          <w:snapToGrid w:val="0"/>
        </w:rPr>
        <w:t>.</w:t>
      </w:r>
      <w:r>
        <w:rPr>
          <w:snapToGrid w:val="0"/>
        </w:rPr>
        <w:tab/>
        <w:t>Rights of bailee to dispose of goods not exceeding $300 in value</w:t>
      </w:r>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68" w:name="_Toc459453830"/>
      <w:bookmarkStart w:id="69" w:name="_Toc44997328"/>
      <w:bookmarkStart w:id="70" w:name="_Toc170710840"/>
      <w:bookmarkStart w:id="71" w:name="_Toc272058947"/>
      <w:r>
        <w:rPr>
          <w:rStyle w:val="CharSectno"/>
        </w:rPr>
        <w:t>12</w:t>
      </w:r>
      <w:r>
        <w:rPr>
          <w:snapToGrid w:val="0"/>
        </w:rPr>
        <w:t>.</w:t>
      </w:r>
      <w:r>
        <w:rPr>
          <w:snapToGrid w:val="0"/>
        </w:rPr>
        <w:tab/>
        <w:t>Conditions as to disposal of goods not exceeding $300 in value</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72" w:name="_Toc89514938"/>
      <w:bookmarkStart w:id="73" w:name="_Toc102282369"/>
      <w:bookmarkStart w:id="74" w:name="_Toc102282422"/>
      <w:bookmarkStart w:id="75" w:name="_Toc151796698"/>
      <w:bookmarkStart w:id="76" w:name="_Toc170710841"/>
      <w:bookmarkStart w:id="77" w:name="_Toc170717863"/>
      <w:bookmarkStart w:id="78" w:name="_Toc171067544"/>
      <w:bookmarkStart w:id="79" w:name="_Toc268273345"/>
      <w:bookmarkStart w:id="80" w:name="_Toc272058948"/>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72"/>
      <w:bookmarkEnd w:id="73"/>
      <w:bookmarkEnd w:id="74"/>
      <w:bookmarkEnd w:id="75"/>
      <w:bookmarkEnd w:id="76"/>
      <w:bookmarkEnd w:id="77"/>
      <w:bookmarkEnd w:id="78"/>
      <w:bookmarkEnd w:id="79"/>
      <w:bookmarkEnd w:id="80"/>
    </w:p>
    <w:p>
      <w:pPr>
        <w:pStyle w:val="Heading5"/>
        <w:rPr>
          <w:snapToGrid w:val="0"/>
        </w:rPr>
      </w:pPr>
      <w:bookmarkStart w:id="81" w:name="_Toc459453831"/>
      <w:bookmarkStart w:id="82" w:name="_Toc44997329"/>
      <w:bookmarkStart w:id="83" w:name="_Toc170710842"/>
      <w:bookmarkStart w:id="84" w:name="_Toc272058949"/>
      <w:r>
        <w:rPr>
          <w:rStyle w:val="CharSectno"/>
        </w:rPr>
        <w:t>13</w:t>
      </w:r>
      <w:r>
        <w:rPr>
          <w:snapToGrid w:val="0"/>
        </w:rPr>
        <w:t>.</w:t>
      </w:r>
      <w:r>
        <w:rPr>
          <w:snapToGrid w:val="0"/>
        </w:rPr>
        <w:tab/>
        <w:t>Application of Part IV</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85" w:name="_Toc459453832"/>
      <w:bookmarkStart w:id="86" w:name="_Toc44997330"/>
      <w:bookmarkStart w:id="87" w:name="_Toc170710843"/>
      <w:bookmarkStart w:id="88" w:name="_Toc272058950"/>
      <w:r>
        <w:rPr>
          <w:rStyle w:val="CharSectno"/>
        </w:rPr>
        <w:t>14</w:t>
      </w:r>
      <w:r>
        <w:rPr>
          <w:snapToGrid w:val="0"/>
        </w:rPr>
        <w:t>.</w:t>
      </w:r>
      <w:r>
        <w:rPr>
          <w:snapToGrid w:val="0"/>
        </w:rPr>
        <w:tab/>
        <w:t>Procedure after disposal of goods pursuant to Parts II and III</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89" w:name="_Toc89514941"/>
      <w:bookmarkStart w:id="90" w:name="_Toc102282372"/>
      <w:bookmarkStart w:id="91" w:name="_Toc102282425"/>
      <w:bookmarkStart w:id="92" w:name="_Toc151796701"/>
      <w:bookmarkStart w:id="93" w:name="_Toc170710844"/>
      <w:bookmarkStart w:id="94" w:name="_Toc170717866"/>
      <w:bookmarkStart w:id="95" w:name="_Toc171067547"/>
      <w:bookmarkStart w:id="96" w:name="_Toc268273348"/>
      <w:bookmarkStart w:id="97" w:name="_Toc272058951"/>
      <w:r>
        <w:rPr>
          <w:rStyle w:val="CharPartNo"/>
        </w:rPr>
        <w:t>Part V</w:t>
      </w:r>
      <w:r>
        <w:rPr>
          <w:rStyle w:val="CharDivNo"/>
        </w:rPr>
        <w:t> </w:t>
      </w:r>
      <w:r>
        <w:t>—</w:t>
      </w:r>
      <w:r>
        <w:rPr>
          <w:rStyle w:val="CharDivText"/>
        </w:rPr>
        <w:t> </w:t>
      </w:r>
      <w:r>
        <w:rPr>
          <w:rStyle w:val="CharPartText"/>
        </w:rPr>
        <w:t>Provisions relating to disputes</w:t>
      </w:r>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59453833"/>
      <w:bookmarkStart w:id="99" w:name="_Toc44997331"/>
      <w:bookmarkStart w:id="100" w:name="_Toc170710845"/>
      <w:bookmarkStart w:id="101" w:name="_Toc272058952"/>
      <w:r>
        <w:rPr>
          <w:rStyle w:val="CharSectno"/>
        </w:rPr>
        <w:t>15</w:t>
      </w:r>
      <w:r>
        <w:rPr>
          <w:snapToGrid w:val="0"/>
        </w:rPr>
        <w:t>.</w:t>
      </w:r>
      <w:r>
        <w:rPr>
          <w:snapToGrid w:val="0"/>
        </w:rPr>
        <w:tab/>
        <w:t>Disputes as to charges, etc.</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02" w:name="_Toc459453834"/>
      <w:bookmarkStart w:id="103" w:name="_Toc44997332"/>
      <w:bookmarkStart w:id="104" w:name="_Toc170710846"/>
      <w:bookmarkStart w:id="105" w:name="_Toc272058953"/>
      <w:r>
        <w:rPr>
          <w:rStyle w:val="CharSectno"/>
        </w:rPr>
        <w:t>16</w:t>
      </w:r>
      <w:r>
        <w:rPr>
          <w:snapToGrid w:val="0"/>
        </w:rPr>
        <w:t>.</w:t>
      </w:r>
      <w:r>
        <w:rPr>
          <w:snapToGrid w:val="0"/>
        </w:rPr>
        <w:tab/>
        <w:t>Disputes as to description of goods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106" w:name="_Toc459453835"/>
      <w:bookmarkStart w:id="107" w:name="_Toc44997333"/>
      <w:bookmarkStart w:id="108" w:name="_Toc170710847"/>
      <w:bookmarkStart w:id="109" w:name="_Toc272058954"/>
      <w:r>
        <w:rPr>
          <w:rStyle w:val="CharSectno"/>
        </w:rPr>
        <w:t>17</w:t>
      </w:r>
      <w:r>
        <w:rPr>
          <w:snapToGrid w:val="0"/>
        </w:rPr>
        <w:t>.</w:t>
      </w:r>
      <w:r>
        <w:rPr>
          <w:snapToGrid w:val="0"/>
        </w:rPr>
        <w:tab/>
        <w:t>Determination of disputes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110" w:name="_Toc89514945"/>
      <w:bookmarkStart w:id="111" w:name="_Toc102282376"/>
      <w:bookmarkStart w:id="112" w:name="_Toc102282429"/>
      <w:bookmarkStart w:id="113" w:name="_Toc151796705"/>
      <w:bookmarkStart w:id="114" w:name="_Toc170710848"/>
      <w:bookmarkStart w:id="115" w:name="_Toc170717870"/>
      <w:bookmarkStart w:id="116" w:name="_Toc171067551"/>
      <w:bookmarkStart w:id="117" w:name="_Toc268273352"/>
      <w:bookmarkStart w:id="118" w:name="_Toc272058955"/>
      <w:r>
        <w:rPr>
          <w:rStyle w:val="CharPartNo"/>
        </w:rPr>
        <w:t>Part VI</w:t>
      </w:r>
      <w:r>
        <w:rPr>
          <w:rStyle w:val="CharDivNo"/>
        </w:rPr>
        <w:t> </w:t>
      </w:r>
      <w:r>
        <w:t>—</w:t>
      </w:r>
      <w:r>
        <w:rPr>
          <w:rStyle w:val="CharDivText"/>
        </w:rPr>
        <w:t> </w:t>
      </w:r>
      <w:r>
        <w:rPr>
          <w:rStyle w:val="CharPartText"/>
        </w:rPr>
        <w:t>Disposal of goods valued in excess of $300</w:t>
      </w:r>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59453836"/>
      <w:bookmarkStart w:id="120" w:name="_Toc44997334"/>
      <w:bookmarkStart w:id="121" w:name="_Toc170710849"/>
      <w:bookmarkStart w:id="122" w:name="_Toc272058956"/>
      <w:r>
        <w:rPr>
          <w:rStyle w:val="CharSectno"/>
        </w:rPr>
        <w:t>18</w:t>
      </w:r>
      <w:r>
        <w:rPr>
          <w:snapToGrid w:val="0"/>
        </w:rPr>
        <w:t>.</w:t>
      </w:r>
      <w:r>
        <w:rPr>
          <w:snapToGrid w:val="0"/>
        </w:rPr>
        <w:tab/>
        <w:t>Application of Part VI</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123" w:name="_Toc459453837"/>
      <w:bookmarkStart w:id="124" w:name="_Toc44997335"/>
      <w:bookmarkStart w:id="125" w:name="_Toc170710850"/>
      <w:bookmarkStart w:id="126" w:name="_Toc272058957"/>
      <w:r>
        <w:rPr>
          <w:rStyle w:val="CharSectno"/>
        </w:rPr>
        <w:t>19</w:t>
      </w:r>
      <w:r>
        <w:rPr>
          <w:snapToGrid w:val="0"/>
        </w:rPr>
        <w:t>.</w:t>
      </w:r>
      <w:r>
        <w:rPr>
          <w:snapToGrid w:val="0"/>
        </w:rPr>
        <w:tab/>
        <w:t>Application by bailee for order to dispose of goods exceeding $300 in value</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127" w:name="_Toc89514948"/>
      <w:bookmarkStart w:id="128" w:name="_Toc102282379"/>
      <w:bookmarkStart w:id="129" w:name="_Toc102282432"/>
      <w:bookmarkStart w:id="130" w:name="_Toc151796708"/>
      <w:bookmarkStart w:id="131" w:name="_Toc170710851"/>
      <w:bookmarkStart w:id="132" w:name="_Toc170717873"/>
      <w:bookmarkStart w:id="133" w:name="_Toc171067554"/>
      <w:bookmarkStart w:id="134" w:name="_Toc268273355"/>
      <w:bookmarkStart w:id="135" w:name="_Toc272058958"/>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59453838"/>
      <w:bookmarkStart w:id="137" w:name="_Toc44997336"/>
      <w:bookmarkStart w:id="138" w:name="_Toc170710852"/>
      <w:bookmarkStart w:id="139" w:name="_Toc272058959"/>
      <w:r>
        <w:rPr>
          <w:rStyle w:val="CharSectno"/>
        </w:rPr>
        <w:t>20</w:t>
      </w:r>
      <w:r>
        <w:rPr>
          <w:snapToGrid w:val="0"/>
        </w:rPr>
        <w:t>.</w:t>
      </w:r>
      <w:r>
        <w:rPr>
          <w:snapToGrid w:val="0"/>
        </w:rPr>
        <w:tab/>
        <w:t>Disposal of goods held in any way other than by bailment in the course of business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40" w:name="_Toc459453839"/>
      <w:bookmarkStart w:id="141" w:name="_Toc44997337"/>
      <w:bookmarkStart w:id="142" w:name="_Toc170710853"/>
      <w:bookmarkStart w:id="143" w:name="_Toc272058960"/>
      <w:r>
        <w:rPr>
          <w:rStyle w:val="CharSectno"/>
        </w:rPr>
        <w:t>21</w:t>
      </w:r>
      <w:r>
        <w:rPr>
          <w:snapToGrid w:val="0"/>
        </w:rPr>
        <w:t>.</w:t>
      </w:r>
      <w:r>
        <w:rPr>
          <w:snapToGrid w:val="0"/>
        </w:rPr>
        <w:tab/>
        <w:t>Conditions precedent to application to court</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44" w:name="_Toc89514951"/>
      <w:bookmarkStart w:id="145" w:name="_Toc102282382"/>
      <w:bookmarkStart w:id="146" w:name="_Toc102282435"/>
      <w:bookmarkStart w:id="147" w:name="_Toc151796711"/>
      <w:bookmarkStart w:id="148" w:name="_Toc170710854"/>
      <w:bookmarkStart w:id="149" w:name="_Toc170717876"/>
      <w:bookmarkStart w:id="150" w:name="_Toc171067557"/>
      <w:bookmarkStart w:id="151" w:name="_Toc268273358"/>
      <w:bookmarkStart w:id="152" w:name="_Toc272058961"/>
      <w:r>
        <w:rPr>
          <w:rStyle w:val="CharPartNo"/>
        </w:rPr>
        <w:t>Part VIII</w:t>
      </w:r>
      <w:r>
        <w:rPr>
          <w:rStyle w:val="CharDivNo"/>
        </w:rPr>
        <w:t> </w:t>
      </w:r>
      <w:r>
        <w:t>—</w:t>
      </w:r>
      <w:r>
        <w:rPr>
          <w:rStyle w:val="CharDivText"/>
        </w:rPr>
        <w:t> </w:t>
      </w:r>
      <w:r>
        <w:rPr>
          <w:rStyle w:val="CharPartText"/>
        </w:rPr>
        <w:t>Powers of the court</w:t>
      </w:r>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59453840"/>
      <w:bookmarkStart w:id="154" w:name="_Toc44997338"/>
      <w:bookmarkStart w:id="155" w:name="_Toc170710855"/>
      <w:bookmarkStart w:id="156" w:name="_Toc272058962"/>
      <w:r>
        <w:rPr>
          <w:rStyle w:val="CharSectno"/>
        </w:rPr>
        <w:t>22</w:t>
      </w:r>
      <w:r>
        <w:rPr>
          <w:snapToGrid w:val="0"/>
        </w:rPr>
        <w:t>.</w:t>
      </w:r>
      <w:r>
        <w:rPr>
          <w:snapToGrid w:val="0"/>
        </w:rPr>
        <w:tab/>
        <w:t>Power of court to make order for disposal of goods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57" w:name="_Toc459453841"/>
      <w:bookmarkStart w:id="158" w:name="_Toc44997339"/>
      <w:bookmarkStart w:id="159" w:name="_Toc170710856"/>
      <w:bookmarkStart w:id="160" w:name="_Toc272058963"/>
      <w:r>
        <w:rPr>
          <w:rStyle w:val="CharSectno"/>
        </w:rPr>
        <w:t>23</w:t>
      </w:r>
      <w:r>
        <w:rPr>
          <w:snapToGrid w:val="0"/>
        </w:rPr>
        <w:t>.</w:t>
      </w:r>
      <w:r>
        <w:rPr>
          <w:snapToGrid w:val="0"/>
        </w:rPr>
        <w:tab/>
        <w:t>Effect of order for disposal</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61" w:name="_Toc459453842"/>
      <w:bookmarkStart w:id="162" w:name="_Toc44997340"/>
      <w:bookmarkStart w:id="163" w:name="_Toc170710857"/>
      <w:bookmarkStart w:id="164" w:name="_Toc272058964"/>
      <w:r>
        <w:rPr>
          <w:rStyle w:val="CharSectno"/>
        </w:rPr>
        <w:t>24</w:t>
      </w:r>
      <w:r>
        <w:rPr>
          <w:snapToGrid w:val="0"/>
        </w:rPr>
        <w:t>.</w:t>
      </w:r>
      <w:r>
        <w:rPr>
          <w:snapToGrid w:val="0"/>
        </w:rPr>
        <w:tab/>
        <w:t>Subsidiary charges</w:t>
      </w:r>
      <w:bookmarkEnd w:id="161"/>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65" w:name="_Toc459453843"/>
      <w:bookmarkStart w:id="166" w:name="_Toc44997341"/>
      <w:bookmarkStart w:id="167" w:name="_Toc170710858"/>
      <w:bookmarkStart w:id="168" w:name="_Toc272058965"/>
      <w:r>
        <w:rPr>
          <w:rStyle w:val="CharSectno"/>
        </w:rPr>
        <w:t>25</w:t>
      </w:r>
      <w:r>
        <w:rPr>
          <w:snapToGrid w:val="0"/>
        </w:rPr>
        <w:t>.</w:t>
      </w:r>
      <w:r>
        <w:rPr>
          <w:snapToGrid w:val="0"/>
        </w:rPr>
        <w:tab/>
        <w:t>Procedure after disposal under this Part</w:t>
      </w:r>
      <w:bookmarkEnd w:id="165"/>
      <w:bookmarkEnd w:id="166"/>
      <w:bookmarkEnd w:id="167"/>
      <w:bookmarkEnd w:id="168"/>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69" w:name="_Toc89514956"/>
      <w:bookmarkStart w:id="170" w:name="_Toc102282387"/>
      <w:bookmarkStart w:id="171" w:name="_Toc102282440"/>
      <w:bookmarkStart w:id="172" w:name="_Toc151796716"/>
      <w:bookmarkStart w:id="173" w:name="_Toc170710859"/>
      <w:bookmarkStart w:id="174" w:name="_Toc170717881"/>
      <w:bookmarkStart w:id="175" w:name="_Toc171067562"/>
      <w:bookmarkStart w:id="176" w:name="_Toc268273363"/>
      <w:bookmarkStart w:id="177" w:name="_Toc272058966"/>
      <w:r>
        <w:rPr>
          <w:rStyle w:val="CharPartNo"/>
        </w:rPr>
        <w:t>Part IX</w:t>
      </w:r>
      <w:r>
        <w:rPr>
          <w:rStyle w:val="CharDivNo"/>
        </w:rPr>
        <w:t> </w:t>
      </w:r>
      <w:r>
        <w:t>—</w:t>
      </w:r>
      <w:r>
        <w:rPr>
          <w:rStyle w:val="CharDivText"/>
        </w:rPr>
        <w:t> </w:t>
      </w:r>
      <w:r>
        <w:rPr>
          <w:rStyle w:val="CharPartText"/>
        </w:rPr>
        <w:t>Provisions as to notices</w:t>
      </w:r>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59453844"/>
      <w:bookmarkStart w:id="179" w:name="_Toc44997342"/>
      <w:bookmarkStart w:id="180" w:name="_Toc170710860"/>
      <w:bookmarkStart w:id="181" w:name="_Toc272058967"/>
      <w:r>
        <w:rPr>
          <w:rStyle w:val="CharSectno"/>
        </w:rPr>
        <w:t>26</w:t>
      </w:r>
      <w:r>
        <w:rPr>
          <w:snapToGrid w:val="0"/>
        </w:rPr>
        <w:t>.</w:t>
      </w:r>
      <w:r>
        <w:rPr>
          <w:snapToGrid w:val="0"/>
        </w:rPr>
        <w:tab/>
        <w:t>Provisions as to notices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82" w:name="_Toc89514958"/>
      <w:bookmarkStart w:id="183" w:name="_Toc102282389"/>
      <w:bookmarkStart w:id="184" w:name="_Toc102282442"/>
      <w:bookmarkStart w:id="185" w:name="_Toc151796718"/>
      <w:bookmarkStart w:id="186" w:name="_Toc170710861"/>
      <w:bookmarkStart w:id="187" w:name="_Toc170717883"/>
      <w:bookmarkStart w:id="188" w:name="_Toc171067564"/>
      <w:bookmarkStart w:id="189" w:name="_Toc268273365"/>
      <w:bookmarkStart w:id="190" w:name="_Toc272058968"/>
      <w:r>
        <w:rPr>
          <w:rStyle w:val="CharPartNo"/>
        </w:rPr>
        <w:t>Part X</w:t>
      </w:r>
      <w:r>
        <w:rPr>
          <w:rStyle w:val="CharDivNo"/>
        </w:rPr>
        <w:t> </w:t>
      </w:r>
      <w:r>
        <w:t>—</w:t>
      </w:r>
      <w:r>
        <w:rPr>
          <w:rStyle w:val="CharDivText"/>
        </w:rPr>
        <w:t> </w:t>
      </w:r>
      <w:r>
        <w:rPr>
          <w:rStyle w:val="CharPartText"/>
        </w:rPr>
        <w:t>General</w:t>
      </w:r>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459453845"/>
      <w:bookmarkStart w:id="192" w:name="_Toc44997343"/>
      <w:bookmarkStart w:id="193" w:name="_Toc170710862"/>
      <w:bookmarkStart w:id="194" w:name="_Toc272058969"/>
      <w:r>
        <w:rPr>
          <w:rStyle w:val="CharSectno"/>
        </w:rPr>
        <w:t>27</w:t>
      </w:r>
      <w:r>
        <w:rPr>
          <w:snapToGrid w:val="0"/>
        </w:rPr>
        <w:t>.</w:t>
      </w:r>
      <w:r>
        <w:rPr>
          <w:snapToGrid w:val="0"/>
        </w:rPr>
        <w:tab/>
        <w:t>Certificate of court order</w:t>
      </w:r>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95" w:name="_Toc459453846"/>
      <w:bookmarkStart w:id="196" w:name="_Toc44997344"/>
      <w:bookmarkStart w:id="197" w:name="_Toc170710863"/>
      <w:bookmarkStart w:id="198" w:name="_Toc272058970"/>
      <w:r>
        <w:rPr>
          <w:rStyle w:val="CharSectno"/>
        </w:rPr>
        <w:t>28</w:t>
      </w:r>
      <w:r>
        <w:rPr>
          <w:snapToGrid w:val="0"/>
        </w:rPr>
        <w:t>.</w:t>
      </w:r>
      <w:r>
        <w:rPr>
          <w:snapToGrid w:val="0"/>
        </w:rPr>
        <w:tab/>
        <w:t>Application of surplus proceeds of sale</w:t>
      </w:r>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bookmarkStart w:id="199" w:name="endcomma"/>
      <w:bookmarkEnd w:id="199"/>
      <w:r>
        <w:rPr>
          <w:rStyle w:val="CharDefText"/>
        </w:rPr>
        <w:t>Treasurer</w:t>
      </w:r>
      <w:r>
        <w:rPr>
          <w:snapToGrid w:val="0"/>
        </w:rPr>
        <w:t xml:space="preserve"> </w:t>
      </w:r>
      <w:bookmarkStart w:id="200" w:name="comma"/>
      <w:bookmarkEnd w:id="200"/>
      <w:r>
        <w:rPr>
          <w:snapToGrid w:val="0"/>
        </w:rPr>
        <w:t>means Treasurer of the State for the time being.</w:t>
      </w:r>
    </w:p>
    <w:p>
      <w:pPr>
        <w:pStyle w:val="Heading5"/>
        <w:rPr>
          <w:snapToGrid w:val="0"/>
        </w:rPr>
      </w:pPr>
      <w:bookmarkStart w:id="201" w:name="_Toc459453847"/>
      <w:bookmarkStart w:id="202" w:name="_Toc44997345"/>
      <w:bookmarkStart w:id="203" w:name="_Toc170710864"/>
      <w:bookmarkStart w:id="204" w:name="_Toc272058971"/>
      <w:r>
        <w:rPr>
          <w:rStyle w:val="CharSectno"/>
        </w:rPr>
        <w:t>29</w:t>
      </w:r>
      <w:r>
        <w:rPr>
          <w:snapToGrid w:val="0"/>
        </w:rPr>
        <w:t>.</w:t>
      </w:r>
      <w:r>
        <w:rPr>
          <w:snapToGrid w:val="0"/>
        </w:rPr>
        <w:tab/>
        <w:t>Provisions for payment before sale of goods</w:t>
      </w:r>
      <w:bookmarkEnd w:id="201"/>
      <w:bookmarkEnd w:id="202"/>
      <w:bookmarkEnd w:id="203"/>
      <w:bookmarkEnd w:id="204"/>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205" w:name="_Toc459453848"/>
      <w:bookmarkStart w:id="206" w:name="_Toc44997346"/>
      <w:bookmarkStart w:id="207" w:name="_Toc170710865"/>
      <w:bookmarkStart w:id="208" w:name="_Toc272058972"/>
      <w:r>
        <w:rPr>
          <w:rStyle w:val="CharSectno"/>
        </w:rPr>
        <w:t>30</w:t>
      </w:r>
      <w:r>
        <w:rPr>
          <w:snapToGrid w:val="0"/>
        </w:rPr>
        <w:t>.</w:t>
      </w:r>
      <w:r>
        <w:rPr>
          <w:snapToGrid w:val="0"/>
        </w:rPr>
        <w:tab/>
        <w:t>Title of person acquiring goods</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209" w:name="_Toc459453849"/>
      <w:bookmarkStart w:id="210" w:name="_Toc44997347"/>
      <w:bookmarkStart w:id="211" w:name="_Toc170710866"/>
      <w:bookmarkStart w:id="212" w:name="_Toc272058973"/>
      <w:r>
        <w:rPr>
          <w:rStyle w:val="CharSectno"/>
        </w:rPr>
        <w:t>31</w:t>
      </w:r>
      <w:r>
        <w:rPr>
          <w:snapToGrid w:val="0"/>
        </w:rPr>
        <w:t>.</w:t>
      </w:r>
      <w:r>
        <w:rPr>
          <w:snapToGrid w:val="0"/>
        </w:rPr>
        <w:tab/>
        <w:t>Procedure for application to court</w:t>
      </w:r>
      <w:bookmarkEnd w:id="209"/>
      <w:bookmarkEnd w:id="210"/>
      <w:bookmarkEnd w:id="211"/>
      <w:bookmarkEnd w:id="21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213" w:name="_Toc170710867"/>
      <w:bookmarkStart w:id="214" w:name="_Toc272058974"/>
      <w:bookmarkStart w:id="215" w:name="_Toc459453851"/>
      <w:bookmarkStart w:id="216" w:name="_Toc44997349"/>
      <w:r>
        <w:rPr>
          <w:rStyle w:val="CharSectno"/>
        </w:rPr>
        <w:t>32</w:t>
      </w:r>
      <w:r>
        <w:rPr>
          <w:snapToGrid w:val="0"/>
        </w:rPr>
        <w:t>.</w:t>
      </w:r>
      <w:r>
        <w:rPr>
          <w:snapToGrid w:val="0"/>
        </w:rPr>
        <w:tab/>
        <w:t>Procedure</w:t>
      </w:r>
      <w:bookmarkEnd w:id="213"/>
      <w:bookmarkEnd w:id="214"/>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215"/>
    <w:bookmarkEnd w:id="216"/>
    <w:p>
      <w:pPr>
        <w:pStyle w:val="Ednotesection"/>
      </w:pPr>
      <w:r>
        <w:t>[</w:t>
      </w:r>
      <w:r>
        <w:rPr>
          <w:b/>
        </w:rPr>
        <w:t>33.</w:t>
      </w:r>
      <w:r>
        <w:tab/>
        <w:t>Deleted by No. 59 of 2004 s. 141.]</w:t>
      </w:r>
    </w:p>
    <w:p>
      <w:pPr>
        <w:pStyle w:val="Heading5"/>
        <w:rPr>
          <w:snapToGrid w:val="0"/>
        </w:rPr>
      </w:pPr>
      <w:bookmarkStart w:id="217" w:name="_Toc459453852"/>
      <w:bookmarkStart w:id="218" w:name="_Toc44997350"/>
      <w:bookmarkStart w:id="219" w:name="_Toc170710868"/>
      <w:bookmarkStart w:id="220" w:name="_Toc272058975"/>
      <w:r>
        <w:rPr>
          <w:rStyle w:val="CharSectno"/>
        </w:rPr>
        <w:t>34</w:t>
      </w:r>
      <w:r>
        <w:rPr>
          <w:snapToGrid w:val="0"/>
        </w:rPr>
        <w:t>.</w:t>
      </w:r>
      <w:r>
        <w:rPr>
          <w:snapToGrid w:val="0"/>
        </w:rPr>
        <w:tab/>
        <w:t>Penalties</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221" w:name="_Toc459453853"/>
      <w:bookmarkStart w:id="222" w:name="_Toc44997351"/>
      <w:bookmarkStart w:id="223" w:name="_Toc170710869"/>
      <w:bookmarkStart w:id="224" w:name="_Toc272058976"/>
      <w:r>
        <w:rPr>
          <w:rStyle w:val="CharSectno"/>
        </w:rPr>
        <w:t>35</w:t>
      </w:r>
      <w:r>
        <w:rPr>
          <w:snapToGrid w:val="0"/>
        </w:rPr>
        <w:t>.</w:t>
      </w:r>
      <w:r>
        <w:rPr>
          <w:snapToGrid w:val="0"/>
        </w:rPr>
        <w:tab/>
        <w:t>Regulations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25" w:name="_Toc170710870"/>
      <w:bookmarkStart w:id="226" w:name="_Toc170717892"/>
      <w:bookmarkStart w:id="227" w:name="_Toc171067573"/>
      <w:bookmarkStart w:id="228" w:name="_Toc268273374"/>
      <w:bookmarkStart w:id="229" w:name="_Toc272058977"/>
      <w:r>
        <w:rPr>
          <w:rStyle w:val="CharSchNo"/>
        </w:rPr>
        <w:t>Schedule</w:t>
      </w:r>
      <w:bookmarkEnd w:id="225"/>
      <w:bookmarkEnd w:id="226"/>
      <w:bookmarkEnd w:id="227"/>
      <w:r>
        <w:t> — </w:t>
      </w:r>
      <w:r>
        <w:rPr>
          <w:rStyle w:val="CharSchText"/>
        </w:rPr>
        <w:t>Acts custody of goods under which is not subject to this Act</w:t>
      </w:r>
      <w:bookmarkEnd w:id="228"/>
      <w:bookmarkEnd w:id="229"/>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rPr>
                <w:b/>
                <w:snapToGrid w:val="0"/>
                <w:sz w:val="20"/>
              </w:rPr>
            </w:pPr>
            <w:r>
              <w:rPr>
                <w:b/>
                <w:snapToGrid w:val="0"/>
                <w:sz w:val="20"/>
              </w:rPr>
              <w:tab/>
              <w:t>Title of Act.</w:t>
            </w:r>
          </w:p>
        </w:tc>
      </w:tr>
      <w:tr>
        <w:trPr>
          <w:trHeight w:val="325"/>
        </w:trPr>
        <w:tc>
          <w:tcPr>
            <w:tcW w:w="5070" w:type="dxa"/>
          </w:tcPr>
          <w:p>
            <w:pPr>
              <w:pStyle w:val="yTable"/>
              <w:rPr>
                <w:i/>
                <w:snapToGrid w:val="0"/>
                <w:sz w:val="20"/>
              </w:rPr>
            </w:pPr>
            <w:r>
              <w:rPr>
                <w:i/>
                <w:snapToGrid w:val="0"/>
                <w:sz w:val="20"/>
              </w:rPr>
              <w:t>Criminal and Found Property Disposal Act 2006.</w:t>
            </w:r>
          </w:p>
        </w:tc>
      </w:tr>
      <w:tr>
        <w:trPr>
          <w:trHeight w:val="325"/>
        </w:trPr>
        <w:tc>
          <w:tcPr>
            <w:tcW w:w="5070" w:type="dxa"/>
          </w:tcPr>
          <w:p>
            <w:pPr>
              <w:pStyle w:val="yTable"/>
              <w:rPr>
                <w:i/>
                <w:snapToGrid w:val="0"/>
                <w:sz w:val="20"/>
              </w:rPr>
            </w:pPr>
            <w:r>
              <w:rPr>
                <w:i/>
                <w:snapToGrid w:val="0"/>
                <w:sz w:val="20"/>
              </w:rPr>
              <w:t>Criminal Investigation Act 2006.</w:t>
            </w:r>
          </w:p>
        </w:tc>
      </w:tr>
      <w:tr>
        <w:trPr>
          <w:trHeight w:val="325"/>
        </w:trPr>
        <w:tc>
          <w:tcPr>
            <w:tcW w:w="5070" w:type="dxa"/>
          </w:tcPr>
          <w:p>
            <w:pPr>
              <w:pStyle w:val="yTable"/>
              <w:rPr>
                <w:i/>
                <w:snapToGrid w:val="0"/>
                <w:sz w:val="20"/>
              </w:rPr>
            </w:pPr>
            <w:r>
              <w:rPr>
                <w:i/>
                <w:snapToGrid w:val="0"/>
                <w:sz w:val="20"/>
              </w:rPr>
              <w:t>Firearms Act 1973.</w:t>
            </w:r>
          </w:p>
        </w:tc>
      </w:tr>
      <w:tr>
        <w:trPr>
          <w:trHeight w:val="325"/>
        </w:trPr>
        <w:tc>
          <w:tcPr>
            <w:tcW w:w="507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5070" w:type="dxa"/>
          </w:tcPr>
          <w:p>
            <w:pPr>
              <w:pStyle w:val="yTable"/>
              <w:rPr>
                <w:snapToGrid w:val="0"/>
                <w:sz w:val="20"/>
              </w:rPr>
            </w:pPr>
            <w:r>
              <w:rPr>
                <w:i/>
                <w:snapToGrid w:val="0"/>
                <w:sz w:val="20"/>
              </w:rPr>
              <w:t>Jetties Act 1926</w:t>
            </w:r>
            <w:r>
              <w:rPr>
                <w:snapToGrid w:val="0"/>
                <w:sz w:val="20"/>
              </w:rPr>
              <w:t>.</w:t>
            </w:r>
          </w:p>
        </w:tc>
      </w:tr>
      <w:tr>
        <w:trPr>
          <w:trHeight w:val="325"/>
        </w:trPr>
        <w:tc>
          <w:tcPr>
            <w:tcW w:w="5070" w:type="dxa"/>
          </w:tcPr>
          <w:p>
            <w:pPr>
              <w:pStyle w:val="yTable"/>
              <w:rPr>
                <w:i/>
                <w:snapToGrid w:val="0"/>
                <w:sz w:val="20"/>
                <w:highlight w:val="lightGray"/>
              </w:rPr>
            </w:pPr>
            <w:r>
              <w:rPr>
                <w:i/>
                <w:snapToGrid w:val="0"/>
                <w:sz w:val="20"/>
              </w:rPr>
              <w:t>Pawnbrokers and Second-hand Dealers Act 1994.</w:t>
            </w:r>
          </w:p>
        </w:tc>
      </w:tr>
      <w:tr>
        <w:trPr>
          <w:trHeight w:val="325"/>
        </w:trPr>
        <w:tc>
          <w:tcPr>
            <w:tcW w:w="5070" w:type="dxa"/>
          </w:tcPr>
          <w:p>
            <w:pPr>
              <w:pStyle w:val="yTable"/>
              <w:rPr>
                <w:i/>
                <w:snapToGrid w:val="0"/>
                <w:sz w:val="20"/>
              </w:rPr>
            </w:pPr>
            <w:r>
              <w:rPr>
                <w:i/>
                <w:snapToGrid w:val="0"/>
                <w:sz w:val="20"/>
              </w:rPr>
              <w:t>Public Transport Authority Act 2003.</w:t>
            </w:r>
          </w:p>
        </w:tc>
      </w:tr>
      <w:tr>
        <w:trPr>
          <w:trHeight w:val="325"/>
        </w:trPr>
        <w:tc>
          <w:tcPr>
            <w:tcW w:w="5070" w:type="dxa"/>
          </w:tcPr>
          <w:p>
            <w:pPr>
              <w:pStyle w:val="yTable"/>
              <w:rPr>
                <w:i/>
                <w:snapToGrid w:val="0"/>
                <w:sz w:val="20"/>
              </w:rPr>
            </w:pPr>
            <w:r>
              <w:rPr>
                <w:i/>
                <w:snapToGrid w:val="0"/>
                <w:sz w:val="20"/>
              </w:rPr>
              <w:t>Shipping and Pilotage Act 1967.</w:t>
            </w:r>
          </w:p>
        </w:tc>
      </w:tr>
      <w:tr>
        <w:trPr>
          <w:trHeight w:val="325"/>
        </w:trPr>
        <w:tc>
          <w:tcPr>
            <w:tcW w:w="5070" w:type="dxa"/>
          </w:tcPr>
          <w:p>
            <w:pPr>
              <w:pStyle w:val="yTable"/>
              <w:rPr>
                <w:i/>
                <w:snapToGrid w:val="0"/>
                <w:sz w:val="20"/>
              </w:rPr>
            </w:pPr>
            <w:r>
              <w:rPr>
                <w:i/>
                <w:snapToGrid w:val="0"/>
                <w:sz w:val="20"/>
              </w:rPr>
              <w:t>Warehousemen’s Liens Act 1952.</w:t>
            </w:r>
          </w:p>
        </w:tc>
      </w:tr>
      <w:tr>
        <w:trPr>
          <w:trHeight w:val="325"/>
        </w:trPr>
        <w:tc>
          <w:tcPr>
            <w:tcW w:w="507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No. 59 of 2006 s. 73.]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30" w:name="_Toc89514969"/>
      <w:bookmarkStart w:id="231" w:name="_Toc102282401"/>
      <w:bookmarkStart w:id="232" w:name="_Toc102282454"/>
      <w:bookmarkStart w:id="233" w:name="_Toc151796728"/>
      <w:bookmarkStart w:id="234" w:name="_Toc170710871"/>
      <w:bookmarkStart w:id="235" w:name="_Toc170717893"/>
      <w:bookmarkStart w:id="236" w:name="_Toc171067574"/>
      <w:bookmarkStart w:id="237" w:name="_Toc268273375"/>
      <w:bookmarkStart w:id="238" w:name="_Toc272058978"/>
      <w:r>
        <w:t>Notes</w:t>
      </w:r>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p>
    <w:p>
      <w:pPr>
        <w:pStyle w:val="nHeading3"/>
        <w:rPr>
          <w:snapToGrid w:val="0"/>
        </w:rPr>
      </w:pPr>
      <w:bookmarkStart w:id="239" w:name="_Toc170710872"/>
      <w:bookmarkStart w:id="240" w:name="_Toc272058979"/>
      <w:r>
        <w:rPr>
          <w:snapToGrid w:val="0"/>
        </w:rPr>
        <w:t>Compilation table</w:t>
      </w:r>
      <w:bookmarkEnd w:id="239"/>
      <w:bookmarkEnd w:id="240"/>
    </w:p>
    <w:tbl>
      <w:tblPr>
        <w:tblW w:w="0" w:type="auto"/>
        <w:tblInd w:w="56" w:type="dxa"/>
        <w:tblLayout w:type="fixed"/>
        <w:tblCellMar>
          <w:left w:w="56" w:type="dxa"/>
          <w:right w:w="56" w:type="dxa"/>
        </w:tblCellMar>
        <w:tblLook w:val="0000" w:firstRow="0" w:lastRow="0" w:firstColumn="0" w:lastColumn="0" w:noHBand="0" w:noVBand="0"/>
      </w:tblPr>
      <w:tblGrid>
        <w:gridCol w:w="14"/>
        <w:gridCol w:w="2231"/>
        <w:gridCol w:w="24"/>
        <w:gridCol w:w="1114"/>
        <w:gridCol w:w="20"/>
        <w:gridCol w:w="1115"/>
        <w:gridCol w:w="19"/>
        <w:gridCol w:w="2546"/>
        <w:gridCol w:w="6"/>
      </w:tblGrid>
      <w:tr>
        <w:trPr>
          <w:cantSplit/>
          <w:tblHeader/>
        </w:trPr>
        <w:tc>
          <w:tcPr>
            <w:tcW w:w="2269"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gridSpan w:val="3"/>
          </w:tcPr>
          <w:p>
            <w:pPr>
              <w:pStyle w:val="nTable"/>
              <w:spacing w:after="40"/>
              <w:ind w:right="170"/>
              <w:rPr>
                <w:sz w:val="19"/>
              </w:rPr>
            </w:pPr>
            <w:r>
              <w:rPr>
                <w:i/>
                <w:sz w:val="19"/>
              </w:rPr>
              <w:t>Disposal of Uncollected Goods Act 1970</w:t>
            </w:r>
          </w:p>
        </w:tc>
        <w:tc>
          <w:tcPr>
            <w:tcW w:w="1134" w:type="dxa"/>
            <w:gridSpan w:val="2"/>
          </w:tcPr>
          <w:p>
            <w:pPr>
              <w:pStyle w:val="nTable"/>
              <w:spacing w:after="40"/>
              <w:rPr>
                <w:sz w:val="19"/>
              </w:rPr>
            </w:pPr>
            <w:r>
              <w:rPr>
                <w:sz w:val="19"/>
              </w:rPr>
              <w:t>121 of 1970</w:t>
            </w:r>
          </w:p>
        </w:tc>
        <w:tc>
          <w:tcPr>
            <w:tcW w:w="1134" w:type="dxa"/>
            <w:gridSpan w:val="2"/>
          </w:tcPr>
          <w:p>
            <w:pPr>
              <w:pStyle w:val="nTable"/>
              <w:spacing w:after="40"/>
              <w:rPr>
                <w:sz w:val="19"/>
              </w:rPr>
            </w:pPr>
            <w:r>
              <w:rPr>
                <w:sz w:val="19"/>
              </w:rPr>
              <w:t>10 Dec 1970</w:t>
            </w:r>
          </w:p>
        </w:tc>
        <w:tc>
          <w:tcPr>
            <w:tcW w:w="2552" w:type="dxa"/>
            <w:gridSpan w:val="2"/>
          </w:tcPr>
          <w:p>
            <w:pPr>
              <w:pStyle w:val="nTable"/>
              <w:spacing w:after="40"/>
              <w:rPr>
                <w:sz w:val="19"/>
              </w:rPr>
            </w:pPr>
            <w:r>
              <w:rPr>
                <w:sz w:val="19"/>
              </w:rPr>
              <w:t xml:space="preserve">1 Aug 1971 (see s. 2 and </w:t>
            </w:r>
            <w:r>
              <w:rPr>
                <w:i/>
                <w:sz w:val="19"/>
              </w:rPr>
              <w:t>Gazette</w:t>
            </w:r>
            <w:r>
              <w:rPr>
                <w:sz w:val="19"/>
              </w:rPr>
              <w:t xml:space="preserve"> 16 Jul 1971 p. 2555)</w:t>
            </w:r>
          </w:p>
        </w:tc>
      </w:tr>
      <w:tr>
        <w:trPr>
          <w:cantSplit/>
        </w:trPr>
        <w:tc>
          <w:tcPr>
            <w:tcW w:w="2269" w:type="dxa"/>
            <w:gridSpan w:val="3"/>
          </w:tcPr>
          <w:p>
            <w:pPr>
              <w:pStyle w:val="nTable"/>
              <w:spacing w:after="40"/>
              <w:ind w:right="170"/>
              <w:rPr>
                <w:sz w:val="19"/>
              </w:rPr>
            </w:pPr>
            <w:r>
              <w:rPr>
                <w:i/>
                <w:sz w:val="19"/>
              </w:rPr>
              <w:t>Residential Tenancies Act 1987</w:t>
            </w:r>
            <w:r>
              <w:rPr>
                <w:sz w:val="19"/>
              </w:rPr>
              <w:t>,</w:t>
            </w:r>
            <w:r>
              <w:rPr>
                <w:sz w:val="19"/>
              </w:rPr>
              <w:br/>
              <w:t>section 89</w:t>
            </w:r>
          </w:p>
        </w:tc>
        <w:tc>
          <w:tcPr>
            <w:tcW w:w="1134" w:type="dxa"/>
            <w:gridSpan w:val="2"/>
          </w:tcPr>
          <w:p>
            <w:pPr>
              <w:pStyle w:val="nTable"/>
              <w:spacing w:after="40"/>
              <w:rPr>
                <w:sz w:val="19"/>
              </w:rPr>
            </w:pPr>
            <w:r>
              <w:rPr>
                <w:sz w:val="19"/>
              </w:rPr>
              <w:t>128 of 1987</w:t>
            </w:r>
          </w:p>
        </w:tc>
        <w:tc>
          <w:tcPr>
            <w:tcW w:w="1134" w:type="dxa"/>
            <w:gridSpan w:val="2"/>
          </w:tcPr>
          <w:p>
            <w:pPr>
              <w:pStyle w:val="nTable"/>
              <w:spacing w:after="40"/>
              <w:rPr>
                <w:sz w:val="19"/>
              </w:rPr>
            </w:pPr>
            <w:r>
              <w:rPr>
                <w:sz w:val="19"/>
              </w:rPr>
              <w:t>21 Jan 1988</w:t>
            </w:r>
          </w:p>
        </w:tc>
        <w:tc>
          <w:tcPr>
            <w:tcW w:w="2552" w:type="dxa"/>
            <w:gridSpan w:val="2"/>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9" w:type="dxa"/>
            <w:gridSpan w:val="3"/>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2" w:type="dxa"/>
            <w:gridSpan w:val="2"/>
          </w:tcPr>
          <w:p>
            <w:pPr>
              <w:pStyle w:val="nTable"/>
              <w:spacing w:after="40"/>
              <w:rPr>
                <w:sz w:val="19"/>
              </w:rPr>
            </w:pPr>
            <w:r>
              <w:rPr>
                <w:sz w:val="19"/>
              </w:rPr>
              <w:t>1 Apr 1996 (see s. 2 and </w:t>
            </w:r>
            <w:r>
              <w:rPr>
                <w:i/>
                <w:sz w:val="19"/>
              </w:rPr>
              <w:t>Gazette</w:t>
            </w:r>
            <w:r>
              <w:rPr>
                <w:sz w:val="19"/>
              </w:rPr>
              <w:t xml:space="preserve"> 29 Mar 1996 p.1495)</w:t>
            </w:r>
          </w:p>
        </w:tc>
      </w:tr>
      <w:tr>
        <w:trPr>
          <w:cantSplit/>
        </w:trPr>
        <w:tc>
          <w:tcPr>
            <w:tcW w:w="2269" w:type="dxa"/>
            <w:gridSpan w:val="3"/>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1966</w:t>
            </w:r>
          </w:p>
        </w:tc>
        <w:tc>
          <w:tcPr>
            <w:tcW w:w="2552" w:type="dxa"/>
            <w:gridSpan w:val="2"/>
          </w:tcPr>
          <w:p>
            <w:pPr>
              <w:pStyle w:val="nTable"/>
              <w:spacing w:after="40"/>
              <w:rPr>
                <w:sz w:val="19"/>
              </w:rPr>
            </w:pPr>
            <w:r>
              <w:rPr>
                <w:sz w:val="19"/>
              </w:rPr>
              <w:t>4 Nov 1996 (see s. 2 and </w:t>
            </w:r>
            <w:r>
              <w:rPr>
                <w:i/>
                <w:sz w:val="19"/>
              </w:rPr>
              <w:t>Gazette</w:t>
            </w:r>
            <w:r>
              <w:rPr>
                <w:sz w:val="19"/>
              </w:rPr>
              <w:t xml:space="preserve"> 25 Oct 1996 p.5632)</w:t>
            </w:r>
          </w:p>
        </w:tc>
      </w:tr>
      <w:tr>
        <w:trPr>
          <w:cantSplit/>
        </w:trPr>
        <w:tc>
          <w:tcPr>
            <w:tcW w:w="2269" w:type="dxa"/>
            <w:gridSpan w:val="3"/>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9" w:type="dxa"/>
            <w:gridSpan w:val="3"/>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gridSpan w:val="2"/>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52" w:type="dxa"/>
            <w:gridSpan w:val="2"/>
          </w:tcPr>
          <w:p>
            <w:pPr>
              <w:pStyle w:val="nTable"/>
              <w:spacing w:after="40"/>
              <w:rPr>
                <w:sz w:val="19"/>
              </w:rPr>
            </w:pPr>
            <w:r>
              <w:rPr>
                <w:sz w:val="19"/>
              </w:rPr>
              <w:t xml:space="preserve">14 Aug 1999 (see s. 2(1) and </w:t>
            </w:r>
            <w:r>
              <w:rPr>
                <w:i/>
                <w:sz w:val="19"/>
              </w:rPr>
              <w:t>Gazette</w:t>
            </w:r>
            <w:r>
              <w:rPr>
                <w:sz w:val="19"/>
              </w:rPr>
              <w:t xml:space="preserve"> 13 Aug 1999 p. 3823)</w:t>
            </w:r>
          </w:p>
        </w:tc>
      </w:tr>
      <w:tr>
        <w:trPr>
          <w:cantSplit/>
        </w:trPr>
        <w:tc>
          <w:tcPr>
            <w:tcW w:w="2269" w:type="dxa"/>
            <w:gridSpan w:val="3"/>
          </w:tcPr>
          <w:p>
            <w:pPr>
              <w:pStyle w:val="nTable"/>
              <w:spacing w:after="40"/>
              <w:ind w:right="170"/>
              <w:rPr>
                <w:sz w:val="19"/>
              </w:rPr>
            </w:pPr>
            <w:r>
              <w:rPr>
                <w:i/>
                <w:sz w:val="19"/>
              </w:rPr>
              <w:t>Perth Parking Management (Consequential Provisions) Act 1999</w:t>
            </w:r>
            <w:r>
              <w:rPr>
                <w:sz w:val="19"/>
              </w:rPr>
              <w:t>,</w:t>
            </w:r>
            <w:r>
              <w:rPr>
                <w:sz w:val="19"/>
              </w:rPr>
              <w:br/>
              <w:t>section 7(1)</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9" w:type="dxa"/>
            <w:gridSpan w:val="3"/>
          </w:tcPr>
          <w:p>
            <w:pPr>
              <w:pStyle w:val="nTable"/>
              <w:spacing w:after="40"/>
              <w:ind w:right="113"/>
              <w:rPr>
                <w:sz w:val="19"/>
              </w:rPr>
            </w:pPr>
            <w:r>
              <w:rPr>
                <w:i/>
                <w:sz w:val="19"/>
              </w:rPr>
              <w:t>Public Transport Authority Act 2003</w:t>
            </w:r>
            <w:r>
              <w:rPr>
                <w:sz w:val="19"/>
              </w:rPr>
              <w:t xml:space="preserve"> s. 157 and 203</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gridSpan w:val="3"/>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gridAfter w:val="1"/>
          <w:wBefore w:w="14" w:type="dxa"/>
          <w:wAfter w:w="6" w:type="dxa"/>
          <w:cantSplit/>
        </w:trPr>
        <w:tc>
          <w:tcPr>
            <w:tcW w:w="223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w:t>
            </w:r>
            <w:bookmarkStart w:id="241" w:name="UpToHere"/>
            <w:bookmarkEnd w:id="241"/>
            <w:r>
              <w:rPr>
                <w:snapToGrid w:val="0"/>
                <w:sz w:val="19"/>
                <w:lang w:val="en-US"/>
              </w:rPr>
              <w:t>n 2010</w:t>
            </w:r>
          </w:p>
        </w:tc>
        <w:tc>
          <w:tcPr>
            <w:tcW w:w="256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otesPerm"/>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bookmarkStart w:id="242" w:name="AutoSch"/>
      <w:bookmarkEnd w:id="242"/>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B0DC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0EB6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8AF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0860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E97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540B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BE4A08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531"/>
    <w:docVar w:name="WAFER_20151210092531" w:val="RemoveTrackChanges"/>
    <w:docVar w:name="WAFER_20151210092531_GUID" w:val="9e8c30a5-62f3-49d4-a168-81775ba8ab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7324</Words>
  <Characters>32885</Characters>
  <Application>Microsoft Office Word</Application>
  <DocSecurity>0</DocSecurity>
  <Lines>913</Lines>
  <Paragraphs>467</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39742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1970 - 01-f0-02</dc:title>
  <dc:subject/>
  <dc:creator/>
  <cp:keywords/>
  <dc:description/>
  <cp:lastModifiedBy>svcMRProcess</cp:lastModifiedBy>
  <cp:revision>4</cp:revision>
  <cp:lastPrinted>2000-02-08T07:17:00Z</cp:lastPrinted>
  <dcterms:created xsi:type="dcterms:W3CDTF">2015-12-11T04:30:00Z</dcterms:created>
  <dcterms:modified xsi:type="dcterms:W3CDTF">2015-12-11T04:30:00Z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226</vt:i4>
  </property>
  <property fmtid="{D5CDD505-2E9C-101B-9397-08002B2CF9AE}" pid="6" name="AsAtDate">
    <vt:lpwstr>11 Sep 2010</vt:lpwstr>
  </property>
  <property fmtid="{D5CDD505-2E9C-101B-9397-08002B2CF9AE}" pid="7" name="Suffix">
    <vt:lpwstr>01-f0-02</vt:lpwstr>
  </property>
</Properties>
</file>