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RuleErr_471"/>
      <w:bookmarkStart w:id="1" w:name="_GoBack"/>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Roman Catholic Bishop of Broome Property Act 1957</w:t>
      </w:r>
      <w:r>
        <w:fldChar w:fldCharType="end"/>
      </w:r>
    </w:p>
    <w:bookmarkEnd w:id="0"/>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_Toc151806480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_Toc151806481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w:t>
      </w:r>
      <w:r>
        <w:rPr>
          <w:szCs w:val="24"/>
        </w:rPr>
        <w:t>ertain property vested in Bishop of Broome</w:t>
      </w:r>
      <w:r>
        <w:tab/>
      </w:r>
      <w:r>
        <w:fldChar w:fldCharType="begin"/>
      </w:r>
      <w:r>
        <w:instrText xml:space="preserve"> PAGEREF _Toc151806482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Bishop of Broome to be a corporation sole</w:t>
      </w:r>
      <w:r>
        <w:tab/>
      </w:r>
      <w:r>
        <w:fldChar w:fldCharType="begin"/>
      </w:r>
      <w:r>
        <w:instrText xml:space="preserve"> PAGEREF _Toc151806483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_Toc151806484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_Toc151806485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_Toc151806486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Acting Bishop or Bishop-Elect to act on death of Bishop until successor appointed</w:t>
      </w:r>
      <w:r>
        <w:tab/>
      </w:r>
      <w:r>
        <w:fldChar w:fldCharType="begin"/>
      </w:r>
      <w:r>
        <w:instrText xml:space="preserve"> PAGEREF _Toc151806487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References to Roman Catholic Vicariate of the Kimberleys and The Roman Catholic Vicar Apostolic, etc. changed</w:t>
      </w:r>
      <w:r>
        <w:tab/>
      </w:r>
      <w:r>
        <w:fldChar w:fldCharType="begin"/>
      </w:r>
      <w:r>
        <w:instrText xml:space="preserve"> PAGEREF _Toc151806488 \h </w:instrText>
      </w:r>
      <w:r>
        <w:fldChar w:fldCharType="separate"/>
      </w:r>
      <w:r>
        <w:t>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Part I</w:t>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_Toc151806495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Roman Catholic Bishop of Broome Property Act 1957 </w:t>
      </w:r>
    </w:p>
    <w:p>
      <w:pPr>
        <w:pStyle w:val="LongTitle"/>
        <w:spacing w:before="20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2" w:name="_Toc31170074"/>
      <w:bookmarkStart w:id="3" w:name="_Toc34040966"/>
      <w:bookmarkStart w:id="4" w:name="_Toc60636377"/>
      <w:bookmarkStart w:id="5" w:name="_Toc15180648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6" w:name="_Toc31170075"/>
      <w:bookmarkStart w:id="7" w:name="_Toc34040967"/>
      <w:bookmarkStart w:id="8" w:name="_Toc60636378"/>
      <w:bookmarkStart w:id="9" w:name="_Toc151806481"/>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t>“property”</w:t>
      </w:r>
      <w:r>
        <w:t xml:space="preserve"> means property of every kind whatsoever including legal and equitable, real and personal property, and choses in action.</w:t>
      </w:r>
    </w:p>
    <w:p>
      <w:pPr>
        <w:pStyle w:val="Heading5"/>
        <w:keepLines w:val="0"/>
      </w:pPr>
      <w:bookmarkStart w:id="10" w:name="_Toc31170076"/>
      <w:bookmarkStart w:id="11" w:name="_Toc34040968"/>
      <w:bookmarkStart w:id="12" w:name="_Toc60636379"/>
      <w:bookmarkStart w:id="13" w:name="_Toc151806482"/>
      <w:r>
        <w:rPr>
          <w:rStyle w:val="CharSectno"/>
        </w:rPr>
        <w:t>3</w:t>
      </w:r>
      <w:r>
        <w:rPr>
          <w:snapToGrid w:val="0"/>
        </w:rPr>
        <w:t>.</w:t>
      </w:r>
      <w:r>
        <w:rPr>
          <w:snapToGrid w:val="0"/>
        </w:rPr>
        <w:tab/>
        <w:t>C</w:t>
      </w:r>
      <w:r>
        <w:t>ertain property vested in Bishop of Broome</w:t>
      </w:r>
      <w:bookmarkEnd w:id="10"/>
      <w:bookmarkEnd w:id="11"/>
      <w:bookmarkEnd w:id="12"/>
      <w:bookmarkEnd w:id="13"/>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4" w:name="_Toc31170077"/>
      <w:bookmarkStart w:id="15" w:name="_Toc34040969"/>
      <w:bookmarkStart w:id="16" w:name="_Toc60636380"/>
      <w:bookmarkStart w:id="17" w:name="_Toc151806483"/>
      <w:r>
        <w:rPr>
          <w:rStyle w:val="CharSectno"/>
        </w:rPr>
        <w:t>4</w:t>
      </w:r>
      <w:r>
        <w:rPr>
          <w:snapToGrid w:val="0"/>
        </w:rPr>
        <w:t>.</w:t>
      </w:r>
      <w:r>
        <w:rPr>
          <w:snapToGrid w:val="0"/>
        </w:rPr>
        <w:tab/>
        <w:t>Bishop of Broome to be a corporation sole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8" w:name="_Toc31170078"/>
      <w:bookmarkStart w:id="19" w:name="_Toc34040970"/>
      <w:bookmarkStart w:id="20" w:name="_Toc60636381"/>
      <w:bookmarkStart w:id="21" w:name="_Toc151806484"/>
      <w:r>
        <w:rPr>
          <w:rStyle w:val="CharSectno"/>
        </w:rPr>
        <w:t>5</w:t>
      </w:r>
      <w:r>
        <w:rPr>
          <w:snapToGrid w:val="0"/>
        </w:rPr>
        <w:t>.</w:t>
      </w:r>
      <w:r>
        <w:rPr>
          <w:snapToGrid w:val="0"/>
        </w:rPr>
        <w:tab/>
        <w:t>Power to sell, mortgage and lease lands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2" w:name="_Toc31170079"/>
      <w:bookmarkStart w:id="23" w:name="_Toc34040971"/>
      <w:bookmarkStart w:id="24" w:name="_Toc60636382"/>
      <w:bookmarkStart w:id="25" w:name="_Toc151806485"/>
      <w:r>
        <w:rPr>
          <w:rStyle w:val="CharSectno"/>
        </w:rPr>
        <w:t>6</w:t>
      </w:r>
      <w:r>
        <w:rPr>
          <w:snapToGrid w:val="0"/>
        </w:rPr>
        <w:t>.</w:t>
      </w:r>
      <w:r>
        <w:rPr>
          <w:snapToGrid w:val="0"/>
        </w:rPr>
        <w:tab/>
        <w:t>Land titles, registration and fees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in the Office of Titles, the Office of the Registrar of Deeds or the Department of Lands and Surveys</w:t>
      </w:r>
      <w:r>
        <w:rPr>
          <w:snapToGrid w:val="0"/>
          <w:vertAlign w:val="superscript"/>
        </w:rPr>
        <w:t> 4</w:t>
      </w:r>
      <w:r>
        <w:rPr>
          <w:snapToGrid w:val="0"/>
        </w:rPr>
        <w:t xml:space="preserve"> as the case may require, and on the respective instrument of title to that land, free of charge.</w:t>
      </w:r>
    </w:p>
    <w:p>
      <w:pPr>
        <w:pStyle w:val="Heading5"/>
        <w:rPr>
          <w:snapToGrid w:val="0"/>
        </w:rPr>
      </w:pPr>
      <w:bookmarkStart w:id="26" w:name="_Toc31170080"/>
      <w:bookmarkStart w:id="27" w:name="_Toc34040972"/>
      <w:bookmarkStart w:id="28" w:name="_Toc60636383"/>
      <w:bookmarkStart w:id="29" w:name="_Toc151806486"/>
      <w:r>
        <w:rPr>
          <w:rStyle w:val="CharSectno"/>
        </w:rPr>
        <w:t>7</w:t>
      </w:r>
      <w:r>
        <w:rPr>
          <w:snapToGrid w:val="0"/>
        </w:rPr>
        <w:t>.</w:t>
      </w:r>
      <w:r>
        <w:rPr>
          <w:snapToGrid w:val="0"/>
        </w:rPr>
        <w:tab/>
        <w:t>Power to appoint attorneys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30" w:name="_Toc31170081"/>
      <w:bookmarkStart w:id="31" w:name="_Toc34040973"/>
      <w:bookmarkStart w:id="32" w:name="_Toc60636384"/>
      <w:bookmarkStart w:id="33" w:name="_Toc151806487"/>
      <w:r>
        <w:rPr>
          <w:rStyle w:val="CharSectno"/>
        </w:rPr>
        <w:t>8</w:t>
      </w:r>
      <w:r>
        <w:rPr>
          <w:snapToGrid w:val="0"/>
        </w:rPr>
        <w:t>.</w:t>
      </w:r>
      <w:r>
        <w:rPr>
          <w:snapToGrid w:val="0"/>
        </w:rPr>
        <w:tab/>
        <w:t>Acting Bishop or Bishop-Elect to act on death of Bishop until successor appointed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34" w:name="_Toc31170082"/>
      <w:bookmarkStart w:id="35" w:name="_Toc34040974"/>
      <w:bookmarkStart w:id="36" w:name="_Toc60636385"/>
      <w:bookmarkStart w:id="37" w:name="_Toc151806488"/>
      <w:r>
        <w:rPr>
          <w:rStyle w:val="CharSectno"/>
        </w:rPr>
        <w:t>9</w:t>
      </w:r>
      <w:r>
        <w:rPr>
          <w:snapToGrid w:val="0"/>
        </w:rPr>
        <w:t>.</w:t>
      </w:r>
      <w:r>
        <w:rPr>
          <w:snapToGrid w:val="0"/>
        </w:rPr>
        <w:tab/>
        <w:t>References to Roman Catholic Vicariate of the Kimberleys and The Roman Catholic Vicar Apostolic, etc. changed</w:t>
      </w:r>
      <w:bookmarkEnd w:id="34"/>
      <w:bookmarkEnd w:id="35"/>
      <w:bookmarkEnd w:id="36"/>
      <w:bookmarkEnd w:id="37"/>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8" w:name="_Toc34040975"/>
      <w:bookmarkStart w:id="39" w:name="_Toc60636386"/>
      <w:bookmarkStart w:id="40" w:name="_Toc151806473"/>
      <w:bookmarkStart w:id="41" w:name="_Toc151806489"/>
      <w:r>
        <w:rPr>
          <w:rStyle w:val="CharSchNo"/>
        </w:rPr>
        <w:t>First Schedule</w:t>
      </w:r>
      <w:bookmarkEnd w:id="38"/>
      <w:bookmarkEnd w:id="39"/>
      <w:bookmarkEnd w:id="40"/>
      <w:bookmarkEnd w:id="41"/>
    </w:p>
    <w:p>
      <w:pPr>
        <w:pStyle w:val="yShoulderClause"/>
        <w:rPr>
          <w:snapToGrid w:val="0"/>
        </w:rPr>
      </w:pPr>
      <w:r>
        <w:rPr>
          <w:snapToGrid w:val="0"/>
        </w:rPr>
        <w:t>[S. 3]</w:t>
      </w:r>
    </w:p>
    <w:p>
      <w:pPr>
        <w:pStyle w:val="yHeading2"/>
      </w:pPr>
      <w:bookmarkStart w:id="42" w:name="_Toc151806474"/>
      <w:bookmarkStart w:id="43" w:name="_Toc151806490"/>
      <w:r>
        <w:t>Part I</w:t>
      </w:r>
      <w:bookmarkEnd w:id="42"/>
      <w:bookmarkEnd w:id="43"/>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44" w:name="_Toc151806475"/>
      <w:bookmarkStart w:id="45" w:name="_Toc151806491"/>
      <w:r>
        <w:t>Part II</w:t>
      </w:r>
      <w:bookmarkEnd w:id="44"/>
      <w:bookmarkEnd w:id="45"/>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46" w:name="_Toc151806476"/>
      <w:bookmarkStart w:id="47" w:name="_Toc151806492"/>
      <w:r>
        <w:t>Part III</w:t>
      </w:r>
      <w:bookmarkEnd w:id="46"/>
      <w:bookmarkEnd w:id="47"/>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48" w:name="_Toc34040976"/>
      <w:bookmarkStart w:id="49" w:name="_Toc60636387"/>
      <w:bookmarkStart w:id="50" w:name="_Toc151806477"/>
      <w:bookmarkStart w:id="51" w:name="_Toc151806493"/>
      <w:r>
        <w:rPr>
          <w:rStyle w:val="CharSchNo"/>
        </w:rPr>
        <w:t>Second Schedule</w:t>
      </w:r>
      <w:bookmarkEnd w:id="48"/>
      <w:bookmarkEnd w:id="49"/>
      <w:bookmarkEnd w:id="50"/>
      <w:bookmarkEnd w:id="51"/>
    </w:p>
    <w:p>
      <w:pPr>
        <w:pStyle w:val="yShoulderClause"/>
        <w:rPr>
          <w:snapToGrid w:val="0"/>
        </w:rPr>
      </w:pPr>
      <w:r>
        <w:rPr>
          <w:snapToGrid w:val="0"/>
        </w:rPr>
        <w:t>[S. 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2" w:name="_Toc151806478"/>
      <w:bookmarkStart w:id="53" w:name="_Toc151806494"/>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rPr>
          <w:snapToGrid w:val="0"/>
        </w:rPr>
      </w:pPr>
      <w:bookmarkStart w:id="54" w:name="_Hlt34041290"/>
      <w:bookmarkStart w:id="55" w:name="_Toc34040977"/>
      <w:bookmarkStart w:id="56" w:name="_Toc60636388"/>
      <w:bookmarkStart w:id="57" w:name="_Toc151806495"/>
      <w:bookmarkEnd w:id="54"/>
      <w:r>
        <w:rPr>
          <w:snapToGrid w:val="0"/>
        </w:rP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1"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1"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Borders>
              <w:bottom w:val="single" w:sz="4" w:space="0" w:color="auto"/>
            </w:tcBorders>
          </w:tcPr>
          <w:p>
            <w:pPr>
              <w:pStyle w:val="nTable"/>
              <w:rPr>
                <w:sz w:val="19"/>
              </w:rPr>
            </w:pPr>
            <w:r>
              <w:rPr>
                <w:i/>
                <w:sz w:val="19"/>
              </w:rPr>
              <w:t>Statutes (Repeals and Minor Amendments) Act 2003</w:t>
            </w:r>
            <w:r>
              <w:rPr>
                <w:sz w:val="19"/>
              </w:rPr>
              <w:t xml:space="preserve"> s. 149(2)</w:t>
            </w:r>
          </w:p>
        </w:tc>
        <w:tc>
          <w:tcPr>
            <w:tcW w:w="1134" w:type="dxa"/>
            <w:tcBorders>
              <w:bottom w:val="single" w:sz="4" w:space="0" w:color="auto"/>
            </w:tcBorders>
          </w:tcPr>
          <w:p>
            <w:pPr>
              <w:pStyle w:val="nTable"/>
              <w:rPr>
                <w:sz w:val="19"/>
              </w:rPr>
            </w:pPr>
            <w:r>
              <w:rPr>
                <w:sz w:val="19"/>
              </w:rPr>
              <w:t>74 of 2003</w:t>
            </w:r>
          </w:p>
        </w:tc>
        <w:tc>
          <w:tcPr>
            <w:tcW w:w="1134" w:type="dxa"/>
            <w:tcBorders>
              <w:bottom w:val="single" w:sz="4" w:space="0" w:color="auto"/>
            </w:tcBorders>
          </w:tcPr>
          <w:p>
            <w:pPr>
              <w:pStyle w:val="nTable"/>
              <w:rPr>
                <w:sz w:val="19"/>
              </w:rPr>
            </w:pPr>
            <w:r>
              <w:rPr>
                <w:sz w:val="19"/>
              </w:rPr>
              <w:t>15 Dec 2003</w:t>
            </w:r>
          </w:p>
        </w:tc>
        <w:tc>
          <w:tcPr>
            <w:tcW w:w="2551" w:type="dxa"/>
            <w:tcBorders>
              <w:bottom w:val="single" w:sz="4" w:space="0" w:color="auto"/>
            </w:tcBorders>
          </w:tcPr>
          <w:p>
            <w:pPr>
              <w:pStyle w:val="nTable"/>
              <w:rPr>
                <w:sz w:val="19"/>
              </w:rPr>
            </w:pPr>
            <w:r>
              <w:rPr>
                <w:spacing w:val="-2"/>
                <w:sz w:val="19"/>
              </w:rPr>
              <w:t>15 Dec 2003 (see s. 2)</w:t>
            </w:r>
          </w:p>
        </w:tc>
      </w:tr>
    </w:tbl>
    <w:p>
      <w:pPr>
        <w:pStyle w:val="nSubsection"/>
        <w:rPr>
          <w:snapToGrid w:val="0"/>
        </w:rPr>
      </w:pPr>
      <w:bookmarkStart w:id="58" w:name="UpToHere"/>
      <w:bookmarkEnd w:id="5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534778309"/>
      <w:bookmarkStart w:id="60" w:name="_Toc7405063"/>
      <w:r>
        <w:rPr>
          <w:snapToGrid w:val="0"/>
        </w:rPr>
        <w:t>Provisions that have not come into operation</w:t>
      </w:r>
      <w:bookmarkEnd w:id="59"/>
      <w:bookmarkEnd w:id="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8</w:t>
            </w:r>
          </w:p>
        </w:tc>
        <w:tc>
          <w:tcPr>
            <w:tcW w:w="111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152 </w:t>
      </w:r>
      <w:r>
        <w:rPr>
          <w:snapToGrid w:val="0"/>
        </w:rPr>
        <w:t>had not come into operation.  It reads as follows:</w:t>
      </w:r>
    </w:p>
    <w:p>
      <w:pPr>
        <w:pStyle w:val="MiscOpen"/>
        <w:rPr>
          <w:snapToGrid w:val="0"/>
        </w:rPr>
      </w:pPr>
      <w:r>
        <w:rPr>
          <w:snapToGrid w:val="0"/>
        </w:rPr>
        <w:t>“</w:t>
      </w:r>
    </w:p>
    <w:p>
      <w:pPr>
        <w:pStyle w:val="nzHeading5"/>
      </w:pPr>
      <w:bookmarkStart w:id="61" w:name="_Toc134253657"/>
      <w:bookmarkStart w:id="62" w:name="_Toc149720364"/>
      <w:bookmarkStart w:id="63" w:name="_Toc151783434"/>
      <w:r>
        <w:rPr>
          <w:rStyle w:val="CharSectno"/>
        </w:rPr>
        <w:t>152</w:t>
      </w:r>
      <w:r>
        <w:t>.</w:t>
      </w:r>
      <w:r>
        <w:tab/>
      </w:r>
      <w:r>
        <w:rPr>
          <w:i/>
          <w:iCs/>
        </w:rPr>
        <w:t>Roman Catholic Bishop of Broome Property Act 1957</w:t>
      </w:r>
      <w:r>
        <w:t xml:space="preserve"> amended</w:t>
      </w:r>
      <w:bookmarkEnd w:id="61"/>
      <w:bookmarkEnd w:id="62"/>
      <w:bookmarkEnd w:id="63"/>
    </w:p>
    <w:p>
      <w:pPr>
        <w:pStyle w:val="nzSubsection"/>
      </w:pPr>
      <w:r>
        <w:tab/>
        <w:t>(1)</w:t>
      </w:r>
      <w:r>
        <w:tab/>
        <w:t xml:space="preserve">The amendments in this section are to the </w:t>
      </w:r>
      <w:r>
        <w:rPr>
          <w:i/>
          <w:iCs/>
        </w:rPr>
        <w:t>Roman Catholic Bishop of Broome Property Act 1957</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nzSubsection"/>
      </w:pPr>
      <w:r>
        <w:tab/>
      </w:r>
      <w:r>
        <w:tab/>
        <w:t xml:space="preserve">under the </w:t>
      </w:r>
      <w:r>
        <w:rPr>
          <w:i/>
          <w:iCs/>
        </w:rPr>
        <w:t>Transfer of Land Act 1893</w:t>
      </w:r>
      <w:r>
        <w:t xml:space="preserve"> or the </w:t>
      </w:r>
      <w:r>
        <w:rPr>
          <w:i/>
          <w:iCs/>
        </w:rPr>
        <w:t>Registration of Deeds Act 1856</w:t>
      </w:r>
      <w:r>
        <w:t>,</w:t>
      </w:r>
    </w:p>
    <w:p>
      <w:pPr>
        <w:pStyle w:val="MiscClose"/>
        <w:rPr>
          <w:snapToGrid w:val="0"/>
        </w:rPr>
      </w:pPr>
      <w:r>
        <w:rPr>
          <w:snapToGrid w:val="0"/>
        </w:rPr>
        <w:t>”.</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2197</Words>
  <Characters>10329</Characters>
  <Application>Microsoft Office Word</Application>
  <DocSecurity>0</DocSecurity>
  <Lines>322</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1957 - 01-c0-02</dc:title>
  <dc:subject/>
  <dc:creator/>
  <cp:keywords/>
  <dc:description/>
  <cp:lastModifiedBy>svcMRProcess</cp:lastModifiedBy>
  <cp:revision>4</cp:revision>
  <cp:lastPrinted>2003-02-26T08:56:00Z</cp:lastPrinted>
  <dcterms:created xsi:type="dcterms:W3CDTF">2018-09-07T17:15:00Z</dcterms:created>
  <dcterms:modified xsi:type="dcterms:W3CDTF">2018-09-07T17:15:00Z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704</vt:i4>
  </property>
  <property fmtid="{D5CDD505-2E9C-101B-9397-08002B2CF9AE}" pid="6" name="AsAtDate">
    <vt:lpwstr>16 Nov 2006</vt:lpwstr>
  </property>
  <property fmtid="{D5CDD505-2E9C-101B-9397-08002B2CF9AE}" pid="7" name="Suffix">
    <vt:lpwstr>01-c0-02</vt:lpwstr>
  </property>
</Properties>
</file>