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Employees’ Housing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_Toc418866926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_Toc418866927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_Toc418866928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_Toc418866929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by proclamation declare Departments</w:t>
      </w:r>
      <w:r>
        <w:tab/>
      </w:r>
      <w:r>
        <w:fldChar w:fldCharType="begin"/>
      </w:r>
      <w:r>
        <w:instrText xml:space="preserve"> PAGEREF _Toc418866930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16</w:t>
      </w:r>
      <w:r>
        <w:rPr>
          <w:snapToGrid w:val="0"/>
        </w:rPr>
        <w:t>.</w:t>
      </w:r>
      <w:r>
        <w:rPr>
          <w:snapToGrid w:val="0"/>
        </w:rPr>
        <w:tab/>
        <w:t>Function of Authority</w:t>
      </w:r>
      <w:r>
        <w:tab/>
      </w:r>
      <w:r>
        <w:fldChar w:fldCharType="begin"/>
      </w:r>
      <w:r>
        <w:instrText xml:space="preserve"> PAGEREF _Toc418866932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Transfer to Authority of land and houses</w:t>
      </w:r>
      <w:r>
        <w:tab/>
      </w:r>
      <w:r>
        <w:fldChar w:fldCharType="begin"/>
      </w:r>
      <w:r>
        <w:instrText xml:space="preserve"> PAGEREF _Toc418866933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may be made for houses for Department</w:t>
      </w:r>
      <w:r>
        <w:tab/>
      </w:r>
      <w:r>
        <w:fldChar w:fldCharType="begin"/>
      </w:r>
      <w:r>
        <w:instrText xml:space="preserve"> PAGEREF _Toc418866934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 of Authority</w:t>
      </w:r>
      <w:r>
        <w:tab/>
      </w:r>
      <w:r>
        <w:fldChar w:fldCharType="begin"/>
      </w:r>
      <w:r>
        <w:instrText xml:space="preserve"> PAGEREF _Toc418866935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accept gifts</w:t>
      </w:r>
      <w:r>
        <w:tab/>
      </w:r>
      <w:r>
        <w:fldChar w:fldCharType="begin"/>
      </w:r>
      <w:r>
        <w:instrText xml:space="preserve"> PAGEREF _Toc418866936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Finance</w:t>
      </w:r>
    </w:p>
    <w:p>
      <w:pPr>
        <w:pStyle w:val="TOC8"/>
        <w:rPr>
          <w:rFonts w:asciiTheme="minorHAnsi" w:eastAsiaTheme="minorEastAsia" w:hAnsiTheme="minorHAnsi" w:cstheme="minorBidi"/>
          <w:szCs w:val="22"/>
        </w:rPr>
      </w:pPr>
      <w:r>
        <w:t>22</w:t>
      </w:r>
      <w:r>
        <w:rPr>
          <w:snapToGrid w:val="0"/>
        </w:rPr>
        <w:t>.</w:t>
      </w:r>
      <w:r>
        <w:rPr>
          <w:snapToGrid w:val="0"/>
        </w:rPr>
        <w:tab/>
        <w:t>Power to borrow money</w:t>
      </w:r>
      <w:r>
        <w:tab/>
      </w:r>
      <w:r>
        <w:fldChar w:fldCharType="begin"/>
      </w:r>
      <w:r>
        <w:instrText xml:space="preserve"> PAGEREF _Toc418866938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Authority</w:t>
      </w:r>
      <w:r>
        <w:tab/>
      </w:r>
      <w:r>
        <w:fldChar w:fldCharType="begin"/>
      </w:r>
      <w:r>
        <w:instrText xml:space="preserve"> PAGEREF _Toc418866939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Establishment of Government Employees’ Housing Fund</w:t>
      </w:r>
      <w:r>
        <w:tab/>
      </w:r>
      <w:r>
        <w:fldChar w:fldCharType="begin"/>
      </w:r>
      <w:r>
        <w:instrText xml:space="preserve"> PAGEREF _Toc418866940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27</w:t>
      </w:r>
      <w:r>
        <w:rPr>
          <w:snapToGrid w:val="0"/>
        </w:rPr>
        <w:t>.</w:t>
      </w:r>
      <w:r>
        <w:rPr>
          <w:snapToGrid w:val="0"/>
        </w:rPr>
        <w:tab/>
        <w:t>Exemption from personal liability</w:t>
      </w:r>
      <w:r>
        <w:tab/>
      </w:r>
      <w:r>
        <w:fldChar w:fldCharType="begin"/>
      </w:r>
      <w:r>
        <w:instrText xml:space="preserve"> PAGEREF _Toc418866942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Determination of tenancy</w:t>
      </w:r>
      <w:r>
        <w:tab/>
      </w:r>
      <w:r>
        <w:fldChar w:fldCharType="begin"/>
      </w:r>
      <w:r>
        <w:instrText xml:space="preserve"> PAGEREF _Toc418866943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_Toc418866944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 of Act</w:t>
      </w:r>
      <w:r>
        <w:tab/>
      </w:r>
      <w:r>
        <w:fldChar w:fldCharType="begin"/>
      </w:r>
      <w:r>
        <w:instrText xml:space="preserve"> PAGEREF _Toc418866945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_Toc418866947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pPr>
        <w:pStyle w:val="Footnotelongtitle"/>
      </w:pPr>
      <w:r>
        <w:tab/>
        <w:t>[Long title amended: No. 28 of 2006 s. 296.]</w:t>
      </w:r>
    </w:p>
    <w:p>
      <w:pPr>
        <w:pStyle w:val="Heading2"/>
      </w:pPr>
      <w:bookmarkStart w:id="3" w:name="_Toc378664396"/>
      <w:bookmarkStart w:id="4" w:name="_Toc418866925"/>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43(3)(a).]</w:t>
      </w:r>
    </w:p>
    <w:p>
      <w:pPr>
        <w:pStyle w:val="Heading5"/>
        <w:rPr>
          <w:snapToGrid w:val="0"/>
        </w:rPr>
      </w:pPr>
      <w:bookmarkStart w:id="5" w:name="_Toc378664397"/>
      <w:bookmarkStart w:id="6" w:name="_Toc41886692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7" w:name="_Toc378664398"/>
      <w:bookmarkStart w:id="8" w:name="_Toc41886692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No. 10 of 1998 s. 76.]</w:t>
      </w:r>
    </w:p>
    <w:p>
      <w:pPr>
        <w:pStyle w:val="Ednotepart"/>
      </w:pPr>
      <w:r>
        <w:t>[Heading deleted: No. 19 of 2010 s. 43(3)(b).]</w:t>
      </w:r>
    </w:p>
    <w:p>
      <w:pPr>
        <w:pStyle w:val="Heading5"/>
        <w:rPr>
          <w:snapToGrid w:val="0"/>
        </w:rPr>
      </w:pPr>
      <w:bookmarkStart w:id="9" w:name="_Toc378664399"/>
      <w:bookmarkStart w:id="10" w:name="_Toc418866928"/>
      <w:r>
        <w:rPr>
          <w:rStyle w:val="CharSectno"/>
        </w:rPr>
        <w:t>4</w:t>
      </w:r>
      <w:r>
        <w:rPr>
          <w:snapToGrid w:val="0"/>
        </w:rPr>
        <w:t>.</w:t>
      </w:r>
      <w:r>
        <w:rPr>
          <w:snapToGrid w:val="0"/>
        </w:rPr>
        <w:tab/>
        <w:t>Objects</w:t>
      </w:r>
      <w:bookmarkEnd w:id="9"/>
      <w:bookmarkEnd w:id="1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r>
        <w:tab/>
        <w:t>[Section 4 amended: No. 28 of 2006 s. 297.]</w:t>
      </w:r>
    </w:p>
    <w:p>
      <w:pPr>
        <w:pStyle w:val="Heading5"/>
        <w:rPr>
          <w:snapToGrid w:val="0"/>
        </w:rPr>
      </w:pPr>
      <w:bookmarkStart w:id="11" w:name="_Toc378664400"/>
      <w:bookmarkStart w:id="12" w:name="_Toc418866929"/>
      <w:r>
        <w:rPr>
          <w:rStyle w:val="CharSectno"/>
        </w:rPr>
        <w:t>5</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Account</w:t>
      </w:r>
      <w:r>
        <w:t xml:space="preserve"> means the Government Employees’ Housing Authority Account referred to in section 24;</w:t>
      </w:r>
    </w:p>
    <w:p>
      <w:pPr>
        <w:pStyle w:val="Defstart"/>
      </w:pPr>
      <w:r>
        <w:rPr>
          <w:b/>
        </w:rPr>
        <w:tab/>
      </w:r>
      <w:r>
        <w:rPr>
          <w:rStyle w:val="CharDefText"/>
        </w:rPr>
        <w:t>Authority</w:t>
      </w:r>
      <w:r>
        <w:t xml:space="preserve"> means the Housing Authority referred to in section 6(4) of the </w:t>
      </w:r>
      <w:r>
        <w:rPr>
          <w:i/>
        </w:rPr>
        <w:t>Housing Act 1980</w:t>
      </w:r>
      <w:r>
        <w:t>;</w:t>
      </w:r>
    </w:p>
    <w:p>
      <w:pPr>
        <w:pStyle w:val="Defstart"/>
      </w:pPr>
      <w:r>
        <w:rPr>
          <w:b/>
        </w:rPr>
        <w:tab/>
      </w:r>
      <w:r>
        <w:rPr>
          <w:rStyle w:val="CharDefText"/>
        </w:rPr>
        <w:t>Department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r>
        <w:rPr>
          <w:rStyle w:val="CharDefText"/>
        </w:rPr>
        <w:t>Government employee</w:t>
      </w:r>
      <w:r>
        <w:t xml:space="preserve"> means a person employed under the State in any capacity in any Department to which this Act applies;</w:t>
      </w:r>
    </w:p>
    <w:p>
      <w:pPr>
        <w:pStyle w:val="Defstart"/>
      </w:pPr>
      <w:r>
        <w:rPr>
          <w:b/>
        </w:rPr>
        <w:tab/>
      </w:r>
      <w:r>
        <w:rPr>
          <w:rStyle w:val="CharDefText"/>
        </w:rPr>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r>
        <w:rPr>
          <w:rStyle w:val="CharDefText"/>
        </w:rPr>
        <w:t>member</w:t>
      </w:r>
      <w:r>
        <w:t xml:space="preserve"> means a person occupying any of the offices of the Authority, including that of chairman;</w:t>
      </w:r>
    </w:p>
    <w:p>
      <w:pPr>
        <w:pStyle w:val="Defstart"/>
      </w:pPr>
      <w:r>
        <w:rPr>
          <w:b/>
        </w:rPr>
        <w:tab/>
      </w:r>
      <w:r>
        <w:rPr>
          <w:rStyle w:val="CharDefText"/>
        </w:rPr>
        <w:t>officer</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r>
        <w:rPr>
          <w:rStyle w:val="CharDefText"/>
        </w:rPr>
        <w:t>tenant</w:t>
      </w:r>
      <w:r>
        <w:t xml:space="preserve"> includes any person deriving title under the original tenant.</w:t>
      </w:r>
    </w:p>
    <w:p>
      <w:pPr>
        <w:pStyle w:val="Footnotesection"/>
      </w:pPr>
      <w:r>
        <w:tab/>
        <w:t>[Section 5 amended: No. 36 of 1999 s. 247; No. 28 of 2006 s. 298; No. 77 of 2006 s. 17.]</w:t>
      </w:r>
    </w:p>
    <w:p>
      <w:pPr>
        <w:pStyle w:val="Ednotesection"/>
      </w:pPr>
      <w:r>
        <w:t>[</w:t>
      </w:r>
      <w:r>
        <w:rPr>
          <w:b/>
        </w:rPr>
        <w:t>6.</w:t>
      </w:r>
      <w:r>
        <w:tab/>
        <w:t xml:space="preserve">Deleted: No. 28 of 2006 s. 299.] </w:t>
      </w:r>
    </w:p>
    <w:p>
      <w:pPr>
        <w:pStyle w:val="Heading5"/>
        <w:rPr>
          <w:snapToGrid w:val="0"/>
        </w:rPr>
      </w:pPr>
      <w:bookmarkStart w:id="13" w:name="_Toc378664401"/>
      <w:bookmarkStart w:id="14" w:name="_Toc418866930"/>
      <w:r>
        <w:rPr>
          <w:rStyle w:val="CharSectno"/>
        </w:rPr>
        <w:t>7</w:t>
      </w:r>
      <w:r>
        <w:rPr>
          <w:snapToGrid w:val="0"/>
        </w:rPr>
        <w:t>.</w:t>
      </w:r>
      <w:r>
        <w:rPr>
          <w:snapToGrid w:val="0"/>
        </w:rPr>
        <w:tab/>
        <w:t>Governor may by proclamation declare Departments</w:t>
      </w:r>
      <w:bookmarkEnd w:id="13"/>
      <w:bookmarkEnd w:id="14"/>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r>
        <w:t>[Part II (s. 8</w:t>
      </w:r>
      <w:r>
        <w:noBreakHyphen/>
        <w:t xml:space="preserve">15) deleted: No. 28 of 2006 s. 300.] </w:t>
      </w:r>
    </w:p>
    <w:p>
      <w:pPr>
        <w:pStyle w:val="Heading2"/>
      </w:pPr>
      <w:bookmarkStart w:id="15" w:name="_Toc378664402"/>
      <w:bookmarkStart w:id="16" w:name="_Toc418866931"/>
      <w:r>
        <w:rPr>
          <w:rStyle w:val="CharPartNo"/>
        </w:rPr>
        <w:t>Part III</w:t>
      </w:r>
      <w:r>
        <w:rPr>
          <w:rStyle w:val="CharDivNo"/>
        </w:rPr>
        <w:t> </w:t>
      </w:r>
      <w:r>
        <w:t>—</w:t>
      </w:r>
      <w:r>
        <w:rPr>
          <w:rStyle w:val="CharDivText"/>
        </w:rPr>
        <w:t> </w:t>
      </w:r>
      <w:r>
        <w:rPr>
          <w:rStyle w:val="CharPartText"/>
        </w:rPr>
        <w:t>Administration</w:t>
      </w:r>
      <w:bookmarkEnd w:id="15"/>
      <w:bookmarkEnd w:id="16"/>
      <w:r>
        <w:rPr>
          <w:rStyle w:val="CharPartText"/>
        </w:rPr>
        <w:t xml:space="preserve"> </w:t>
      </w:r>
    </w:p>
    <w:p>
      <w:pPr>
        <w:pStyle w:val="Heading5"/>
        <w:rPr>
          <w:snapToGrid w:val="0"/>
        </w:rPr>
      </w:pPr>
      <w:bookmarkStart w:id="17" w:name="_Toc378664403"/>
      <w:bookmarkStart w:id="18" w:name="_Toc418866932"/>
      <w:r>
        <w:rPr>
          <w:rStyle w:val="CharSectno"/>
        </w:rPr>
        <w:t>16</w:t>
      </w:r>
      <w:r>
        <w:rPr>
          <w:snapToGrid w:val="0"/>
        </w:rPr>
        <w:t>.</w:t>
      </w:r>
      <w:r>
        <w:rPr>
          <w:snapToGrid w:val="0"/>
        </w:rPr>
        <w:tab/>
        <w:t>Function of Authority</w:t>
      </w:r>
      <w:bookmarkEnd w:id="17"/>
      <w:bookmarkEnd w:id="18"/>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19" w:name="_Toc378664404"/>
      <w:bookmarkStart w:id="20" w:name="_Toc418866933"/>
      <w:r>
        <w:rPr>
          <w:rStyle w:val="CharSectno"/>
        </w:rPr>
        <w:t>17</w:t>
      </w:r>
      <w:r>
        <w:rPr>
          <w:snapToGrid w:val="0"/>
        </w:rPr>
        <w:t>.</w:t>
      </w:r>
      <w:r>
        <w:rPr>
          <w:snapToGrid w:val="0"/>
        </w:rPr>
        <w:tab/>
        <w:t>Transfer to Authority of land and houses</w:t>
      </w:r>
      <w:bookmarkEnd w:id="19"/>
      <w:bookmarkEnd w:id="20"/>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21" w:name="_Toc378664405"/>
      <w:bookmarkStart w:id="22" w:name="_Toc418866934"/>
      <w:r>
        <w:rPr>
          <w:rStyle w:val="CharSectno"/>
        </w:rPr>
        <w:t>18</w:t>
      </w:r>
      <w:r>
        <w:rPr>
          <w:snapToGrid w:val="0"/>
        </w:rPr>
        <w:t>.</w:t>
      </w:r>
      <w:r>
        <w:rPr>
          <w:snapToGrid w:val="0"/>
        </w:rPr>
        <w:tab/>
        <w:t>Application may be made for houses for Department</w:t>
      </w:r>
      <w:bookmarkEnd w:id="21"/>
      <w:bookmarkEnd w:id="22"/>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No. 28 of 2006 s. 301.]</w:t>
      </w:r>
    </w:p>
    <w:p>
      <w:pPr>
        <w:pStyle w:val="Heading5"/>
        <w:rPr>
          <w:snapToGrid w:val="0"/>
        </w:rPr>
      </w:pPr>
      <w:bookmarkStart w:id="23" w:name="_Toc378664406"/>
      <w:bookmarkStart w:id="24" w:name="_Toc418866935"/>
      <w:r>
        <w:rPr>
          <w:rStyle w:val="CharSectno"/>
        </w:rPr>
        <w:t>19</w:t>
      </w:r>
      <w:r>
        <w:rPr>
          <w:snapToGrid w:val="0"/>
        </w:rPr>
        <w:t>.</w:t>
      </w:r>
      <w:r>
        <w:rPr>
          <w:snapToGrid w:val="0"/>
        </w:rPr>
        <w:tab/>
        <w:t>Powers of Authority</w:t>
      </w:r>
      <w:bookmarkEnd w:id="23"/>
      <w:bookmarkEnd w:id="24"/>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No. 62 of 1987 s. 7; No. 1 of 1995 s. 24; No. 38 of 2005 s. 15; No. 28 of 2006 s. 302.] </w:t>
      </w:r>
    </w:p>
    <w:p>
      <w:pPr>
        <w:pStyle w:val="Heading5"/>
        <w:rPr>
          <w:snapToGrid w:val="0"/>
        </w:rPr>
      </w:pPr>
      <w:bookmarkStart w:id="25" w:name="_Toc378664407"/>
      <w:bookmarkStart w:id="26" w:name="_Toc418866936"/>
      <w:r>
        <w:rPr>
          <w:rStyle w:val="CharSectno"/>
        </w:rPr>
        <w:t>20</w:t>
      </w:r>
      <w:r>
        <w:rPr>
          <w:snapToGrid w:val="0"/>
        </w:rPr>
        <w:t>.</w:t>
      </w:r>
      <w:r>
        <w:rPr>
          <w:snapToGrid w:val="0"/>
        </w:rPr>
        <w:tab/>
        <w:t>Power to accept gifts</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duty under the </w:t>
      </w:r>
      <w:r>
        <w:rPr>
          <w:i/>
          <w:iCs/>
        </w:rPr>
        <w:t>Duties Act 2008</w:t>
      </w:r>
      <w:r>
        <w:rPr>
          <w:snapToGrid w:val="0"/>
        </w:rPr>
        <w:t>, probate or estate or succession duty shall be payable on any property given, devised or bequeathed to the Authority.</w:t>
      </w:r>
    </w:p>
    <w:p>
      <w:pPr>
        <w:pStyle w:val="Footnotesection"/>
      </w:pPr>
      <w:r>
        <w:tab/>
        <w:t>[Section 20 amended: No. 12 of 2008 s. 52.]</w:t>
      </w:r>
    </w:p>
    <w:p>
      <w:pPr>
        <w:pStyle w:val="Ednotesection"/>
      </w:pPr>
      <w:r>
        <w:t>[</w:t>
      </w:r>
      <w:r>
        <w:rPr>
          <w:b/>
        </w:rPr>
        <w:t>21.</w:t>
      </w:r>
      <w:r>
        <w:tab/>
        <w:t xml:space="preserve">Deleted: No. 28 of 2006 s. 303.] </w:t>
      </w:r>
    </w:p>
    <w:p>
      <w:pPr>
        <w:pStyle w:val="Heading2"/>
      </w:pPr>
      <w:bookmarkStart w:id="27" w:name="_Toc378664408"/>
      <w:bookmarkStart w:id="28" w:name="_Toc418866937"/>
      <w:r>
        <w:rPr>
          <w:rStyle w:val="CharPartNo"/>
        </w:rPr>
        <w:t>Part IV</w:t>
      </w:r>
      <w:r>
        <w:rPr>
          <w:rStyle w:val="CharDivNo"/>
        </w:rPr>
        <w:t> </w:t>
      </w:r>
      <w:r>
        <w:t>—</w:t>
      </w:r>
      <w:r>
        <w:rPr>
          <w:rStyle w:val="CharDivText"/>
        </w:rPr>
        <w:t> </w:t>
      </w:r>
      <w:r>
        <w:rPr>
          <w:rStyle w:val="CharPartText"/>
        </w:rPr>
        <w:t>Finance</w:t>
      </w:r>
      <w:bookmarkEnd w:id="27"/>
      <w:bookmarkEnd w:id="28"/>
      <w:r>
        <w:rPr>
          <w:rStyle w:val="CharPartText"/>
        </w:rPr>
        <w:t xml:space="preserve"> </w:t>
      </w:r>
    </w:p>
    <w:p>
      <w:pPr>
        <w:pStyle w:val="Heading5"/>
        <w:rPr>
          <w:snapToGrid w:val="0"/>
        </w:rPr>
      </w:pPr>
      <w:bookmarkStart w:id="29" w:name="_Toc378664409"/>
      <w:bookmarkStart w:id="30" w:name="_Toc418866938"/>
      <w:r>
        <w:rPr>
          <w:rStyle w:val="CharSectno"/>
        </w:rPr>
        <w:t>22</w:t>
      </w:r>
      <w:r>
        <w:rPr>
          <w:snapToGrid w:val="0"/>
        </w:rPr>
        <w:t>.</w:t>
      </w:r>
      <w:r>
        <w:rPr>
          <w:snapToGrid w:val="0"/>
        </w:rPr>
        <w:tab/>
        <w:t>Power to borrow money</w:t>
      </w:r>
      <w:bookmarkEnd w:id="29"/>
      <w:bookmarkEnd w:id="3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31" w:name="_Toc378664410"/>
      <w:bookmarkStart w:id="32" w:name="_Toc418866939"/>
      <w:r>
        <w:rPr>
          <w:rStyle w:val="CharSectno"/>
        </w:rPr>
        <w:t>23</w:t>
      </w:r>
      <w:r>
        <w:rPr>
          <w:snapToGrid w:val="0"/>
        </w:rPr>
        <w:t>.</w:t>
      </w:r>
      <w:r>
        <w:rPr>
          <w:snapToGrid w:val="0"/>
        </w:rPr>
        <w:tab/>
        <w:t>Funds of Authority</w:t>
      </w:r>
      <w:bookmarkEnd w:id="31"/>
      <w:bookmarkEnd w:id="32"/>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No. 28 of 2006 s. 304.]</w:t>
      </w:r>
    </w:p>
    <w:p>
      <w:pPr>
        <w:pStyle w:val="Heading5"/>
        <w:rPr>
          <w:snapToGrid w:val="0"/>
        </w:rPr>
      </w:pPr>
      <w:bookmarkStart w:id="33" w:name="_Toc378664411"/>
      <w:bookmarkStart w:id="34" w:name="_Toc418866940"/>
      <w:r>
        <w:rPr>
          <w:rStyle w:val="CharSectno"/>
        </w:rPr>
        <w:t>24</w:t>
      </w:r>
      <w:r>
        <w:rPr>
          <w:snapToGrid w:val="0"/>
        </w:rPr>
        <w:t>.</w:t>
      </w:r>
      <w:r>
        <w:rPr>
          <w:snapToGrid w:val="0"/>
        </w:rPr>
        <w:tab/>
        <w:t>Establishment of Government Employees’ Housing Fund</w:t>
      </w:r>
      <w:bookmarkEnd w:id="33"/>
      <w:bookmarkEnd w:id="34"/>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deleted]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No. 98 of 1985 s. 3; No. 49 of 1996 s. 64; No. 28 of 2006 s. 305; Correction to reprint in Gazette 9 May 2003 p. 1619; No. 77 of 2006 s. 17.] </w:t>
      </w:r>
    </w:p>
    <w:p>
      <w:pPr>
        <w:pStyle w:val="Heading2"/>
      </w:pPr>
      <w:bookmarkStart w:id="35" w:name="_Toc378664412"/>
      <w:bookmarkStart w:id="36" w:name="_Toc418866941"/>
      <w:r>
        <w:rPr>
          <w:rStyle w:val="CharPartNo"/>
        </w:rPr>
        <w:t>Part V</w:t>
      </w:r>
      <w:r>
        <w:rPr>
          <w:rStyle w:val="CharDivNo"/>
        </w:rPr>
        <w:t> </w:t>
      </w:r>
      <w:r>
        <w:t>—</w:t>
      </w:r>
      <w:r>
        <w:rPr>
          <w:rStyle w:val="CharDivText"/>
        </w:rPr>
        <w:t> </w:t>
      </w:r>
      <w:r>
        <w:rPr>
          <w:rStyle w:val="CharPartText"/>
        </w:rPr>
        <w:t>Miscellaneous</w:t>
      </w:r>
      <w:bookmarkEnd w:id="35"/>
      <w:bookmarkEnd w:id="36"/>
      <w:r>
        <w:rPr>
          <w:rStyle w:val="CharPartText"/>
        </w:rPr>
        <w:t xml:space="preserve"> </w:t>
      </w:r>
    </w:p>
    <w:p>
      <w:pPr>
        <w:pStyle w:val="Ednotesection"/>
      </w:pPr>
      <w:r>
        <w:t>[</w:t>
      </w:r>
      <w:r>
        <w:rPr>
          <w:b/>
        </w:rPr>
        <w:t>25.</w:t>
      </w:r>
      <w:r>
        <w:tab/>
        <w:t xml:space="preserve">Deleted: No. 28 of 2006 s. 306.] </w:t>
      </w:r>
    </w:p>
    <w:p>
      <w:pPr>
        <w:pStyle w:val="Ednotesection"/>
      </w:pPr>
      <w:r>
        <w:t>[</w:t>
      </w:r>
      <w:r>
        <w:rPr>
          <w:b/>
        </w:rPr>
        <w:t>26.</w:t>
      </w:r>
      <w:r>
        <w:tab/>
        <w:t xml:space="preserve">Deleted: No. 98 of 1985 s. 3.] </w:t>
      </w:r>
    </w:p>
    <w:p>
      <w:pPr>
        <w:pStyle w:val="Heading5"/>
        <w:rPr>
          <w:snapToGrid w:val="0"/>
        </w:rPr>
      </w:pPr>
      <w:bookmarkStart w:id="37" w:name="_Toc378664413"/>
      <w:bookmarkStart w:id="38" w:name="_Toc418866942"/>
      <w:r>
        <w:rPr>
          <w:rStyle w:val="CharSectno"/>
        </w:rPr>
        <w:t>27</w:t>
      </w:r>
      <w:r>
        <w:rPr>
          <w:snapToGrid w:val="0"/>
        </w:rPr>
        <w:t>.</w:t>
      </w:r>
      <w:r>
        <w:rPr>
          <w:snapToGrid w:val="0"/>
        </w:rPr>
        <w:tab/>
        <w:t>Exemption from personal liability</w:t>
      </w:r>
      <w:bookmarkEnd w:id="37"/>
      <w:bookmarkEnd w:id="38"/>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39" w:name="_Toc378664414"/>
      <w:bookmarkStart w:id="40" w:name="_Toc418866943"/>
      <w:r>
        <w:rPr>
          <w:rStyle w:val="CharSectno"/>
        </w:rPr>
        <w:t>28</w:t>
      </w:r>
      <w:r>
        <w:rPr>
          <w:snapToGrid w:val="0"/>
        </w:rPr>
        <w:t>.</w:t>
      </w:r>
      <w:r>
        <w:rPr>
          <w:snapToGrid w:val="0"/>
        </w:rPr>
        <w:tab/>
        <w:t>Determination of tenancy</w:t>
      </w:r>
      <w:bookmarkEnd w:id="39"/>
      <w:bookmarkEnd w:id="40"/>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rStyle w:val="CharDefText"/>
        </w:rPr>
        <w:t>owner</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No. 62 of 1987 s. 8; No. 28 of 2003 s. 71.]</w:t>
      </w:r>
    </w:p>
    <w:p>
      <w:pPr>
        <w:pStyle w:val="Heading5"/>
        <w:rPr>
          <w:snapToGrid w:val="0"/>
        </w:rPr>
      </w:pPr>
      <w:bookmarkStart w:id="41" w:name="_Toc378664415"/>
      <w:bookmarkStart w:id="42" w:name="_Toc418866944"/>
      <w:r>
        <w:rPr>
          <w:rStyle w:val="CharSectno"/>
        </w:rPr>
        <w:t>29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r>
        <w:tab/>
        <w:t>[Section 29 amended: No. 113 of 1965 s. 8(1).]</w:t>
      </w:r>
    </w:p>
    <w:p>
      <w:pPr>
        <w:pStyle w:val="Heading5"/>
        <w:rPr>
          <w:snapToGrid w:val="0"/>
        </w:rPr>
      </w:pPr>
      <w:bookmarkStart w:id="43" w:name="_Toc378664416"/>
      <w:bookmarkStart w:id="44" w:name="_Toc418866945"/>
      <w:r>
        <w:rPr>
          <w:rStyle w:val="CharSectno"/>
        </w:rPr>
        <w:t>30</w:t>
      </w:r>
      <w:r>
        <w:rPr>
          <w:snapToGrid w:val="0"/>
        </w:rPr>
        <w:t>.</w:t>
      </w:r>
      <w:r>
        <w:rPr>
          <w:snapToGrid w:val="0"/>
        </w:rPr>
        <w:tab/>
        <w:t>Review of Act</w:t>
      </w:r>
      <w:bookmarkEnd w:id="43"/>
      <w:bookmarkEnd w:id="44"/>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No. 62 of 1987 s. 9.]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5" w:name="_Toc378664417"/>
      <w:bookmarkStart w:id="46" w:name="_Toc418866946"/>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 w:name="_Toc378664418"/>
      <w:bookmarkStart w:id="48" w:name="_Toc418866947"/>
      <w:r>
        <w:rPr>
          <w:snapToGrid w:val="0"/>
        </w:rPr>
        <w:t>Compilation table</w:t>
      </w:r>
      <w:bookmarkEnd w:id="47"/>
      <w:bookmarkEnd w:id="48"/>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3" w:type="dxa"/>
          </w:tcPr>
          <w:p>
            <w:pPr>
              <w:pStyle w:val="nTable"/>
              <w:spacing w:after="40"/>
              <w:ind w:right="113"/>
            </w:pPr>
            <w:r>
              <w:rPr>
                <w:i/>
              </w:rPr>
              <w:t>Government Employees’ Housing Act 1964</w:t>
            </w:r>
          </w:p>
        </w:tc>
        <w:tc>
          <w:tcPr>
            <w:tcW w:w="1134" w:type="dxa"/>
          </w:tcPr>
          <w:p>
            <w:pPr>
              <w:pStyle w:val="nTable"/>
              <w:spacing w:after="40"/>
            </w:pPr>
            <w:r>
              <w:t>95 of 1964 (13 Eliz. II No. 95)</w:t>
            </w:r>
          </w:p>
        </w:tc>
        <w:tc>
          <w:tcPr>
            <w:tcW w:w="1131" w:type="dxa"/>
          </w:tcPr>
          <w:p>
            <w:pPr>
              <w:pStyle w:val="nTable"/>
              <w:spacing w:after="40"/>
            </w:pPr>
            <w:r>
              <w:t>14 Dec 1964</w:t>
            </w:r>
          </w:p>
        </w:tc>
        <w:tc>
          <w:tcPr>
            <w:tcW w:w="2559" w:type="dxa"/>
            <w:gridSpan w:val="2"/>
          </w:tcPr>
          <w:p>
            <w:pPr>
              <w:pStyle w:val="nTable"/>
              <w:spacing w:after="40"/>
            </w:pPr>
            <w:r>
              <w:t xml:space="preserve">2 Aug 1965 (see s. 2 and </w:t>
            </w:r>
            <w:r>
              <w:rPr>
                <w:i/>
              </w:rPr>
              <w:t>Gazette</w:t>
            </w:r>
            <w:r>
              <w:t xml:space="preserve"> 23 Jul 1965 p. 2133)</w:t>
            </w:r>
          </w:p>
        </w:tc>
      </w:tr>
      <w:tr>
        <w:trPr>
          <w:cantSplit/>
        </w:trPr>
        <w:tc>
          <w:tcPr>
            <w:tcW w:w="2263"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1" w:type="dxa"/>
          </w:tcPr>
          <w:p>
            <w:pPr>
              <w:pStyle w:val="nTable"/>
              <w:spacing w:after="40"/>
            </w:pPr>
            <w:r>
              <w:t>21 Dec 1965</w:t>
            </w:r>
          </w:p>
        </w:tc>
        <w:tc>
          <w:tcPr>
            <w:tcW w:w="2559" w:type="dxa"/>
            <w:gridSpan w:val="2"/>
          </w:tcPr>
          <w:p>
            <w:pPr>
              <w:pStyle w:val="nTable"/>
              <w:spacing w:after="40"/>
            </w:pPr>
            <w:r>
              <w:t>Act other than s. 4-9: 21 Dec 1965 (see s. 2(1));</w:t>
            </w:r>
            <w:r>
              <w:br/>
              <w:t>s. 4-9: 14 Feb 1966 (see s. 2(2))</w:t>
            </w:r>
          </w:p>
        </w:tc>
      </w:tr>
      <w:tr>
        <w:trPr>
          <w:cantSplit/>
        </w:trPr>
        <w:tc>
          <w:tcPr>
            <w:tcW w:w="2263" w:type="dxa"/>
          </w:tcPr>
          <w:p>
            <w:pPr>
              <w:pStyle w:val="nTable"/>
              <w:spacing w:after="40"/>
              <w:ind w:right="113"/>
              <w:rPr>
                <w:i/>
              </w:rPr>
            </w:pPr>
            <w:r>
              <w:rPr>
                <w:i/>
              </w:rPr>
              <w:t>Government Employees’ Housing Act Amendment Act 1973</w:t>
            </w:r>
          </w:p>
        </w:tc>
        <w:tc>
          <w:tcPr>
            <w:tcW w:w="1134" w:type="dxa"/>
          </w:tcPr>
          <w:p>
            <w:pPr>
              <w:pStyle w:val="nTable"/>
              <w:spacing w:after="40"/>
            </w:pPr>
            <w:r>
              <w:t>3 of 1973</w:t>
            </w:r>
          </w:p>
        </w:tc>
        <w:tc>
          <w:tcPr>
            <w:tcW w:w="1131" w:type="dxa"/>
          </w:tcPr>
          <w:p>
            <w:pPr>
              <w:pStyle w:val="nTable"/>
              <w:spacing w:after="40"/>
            </w:pPr>
            <w:r>
              <w:t>21 May 1973</w:t>
            </w:r>
          </w:p>
        </w:tc>
        <w:tc>
          <w:tcPr>
            <w:tcW w:w="2559" w:type="dxa"/>
            <w:gridSpan w:val="2"/>
          </w:tcPr>
          <w:p>
            <w:pPr>
              <w:pStyle w:val="nTable"/>
              <w:spacing w:after="40"/>
            </w:pPr>
            <w:r>
              <w:t>21 May 1973</w:t>
            </w:r>
          </w:p>
        </w:tc>
      </w:tr>
      <w:tr>
        <w:trPr>
          <w:cantSplit/>
        </w:trPr>
        <w:tc>
          <w:tcPr>
            <w:tcW w:w="2263"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1" w:type="dxa"/>
          </w:tcPr>
          <w:p>
            <w:pPr>
              <w:pStyle w:val="nTable"/>
              <w:spacing w:after="40"/>
            </w:pPr>
            <w:r>
              <w:t>4 Dec 1985</w:t>
            </w:r>
          </w:p>
        </w:tc>
        <w:tc>
          <w:tcPr>
            <w:tcW w:w="2559" w:type="dxa"/>
            <w:gridSpan w:val="2"/>
          </w:tcPr>
          <w:p>
            <w:pPr>
              <w:pStyle w:val="nTable"/>
              <w:spacing w:after="40"/>
            </w:pPr>
            <w:r>
              <w:t xml:space="preserve">1 Jul 1986 (see s. 2 and </w:t>
            </w:r>
            <w:r>
              <w:rPr>
                <w:i/>
              </w:rPr>
              <w:t>Gazette</w:t>
            </w:r>
            <w:r>
              <w:t xml:space="preserve"> 30 Jun 1986 p. 2255)</w:t>
            </w:r>
          </w:p>
        </w:tc>
      </w:tr>
      <w:tr>
        <w:trPr>
          <w:cantSplit/>
        </w:trPr>
        <w:tc>
          <w:tcPr>
            <w:tcW w:w="2263" w:type="dxa"/>
          </w:tcPr>
          <w:p>
            <w:pPr>
              <w:pStyle w:val="nTable"/>
              <w:spacing w:after="40"/>
              <w:ind w:right="113"/>
              <w:rPr>
                <w:iCs/>
              </w:rPr>
            </w:pPr>
            <w:r>
              <w:rPr>
                <w:i/>
              </w:rPr>
              <w:t>Government Employees’ Housing Amendment Act 1987</w:t>
            </w:r>
            <w:r>
              <w:rPr>
                <w:iCs/>
                <w:vertAlign w:val="superscript"/>
              </w:rPr>
              <w:t> 2</w:t>
            </w:r>
          </w:p>
        </w:tc>
        <w:tc>
          <w:tcPr>
            <w:tcW w:w="1134" w:type="dxa"/>
          </w:tcPr>
          <w:p>
            <w:pPr>
              <w:pStyle w:val="nTable"/>
              <w:spacing w:after="40"/>
            </w:pPr>
            <w:r>
              <w:t>62 of 1987</w:t>
            </w:r>
          </w:p>
        </w:tc>
        <w:tc>
          <w:tcPr>
            <w:tcW w:w="1131" w:type="dxa"/>
          </w:tcPr>
          <w:p>
            <w:pPr>
              <w:pStyle w:val="nTable"/>
              <w:spacing w:after="40"/>
            </w:pPr>
            <w:r>
              <w:t>13 Nov 1987</w:t>
            </w:r>
          </w:p>
        </w:tc>
        <w:tc>
          <w:tcPr>
            <w:tcW w:w="2559" w:type="dxa"/>
            <w:gridSpan w:val="2"/>
          </w:tcPr>
          <w:p>
            <w:pPr>
              <w:pStyle w:val="nTable"/>
              <w:spacing w:after="40"/>
            </w:pPr>
            <w:r>
              <w:t>Act other than s. 4-6: 13 Nov 1987;</w:t>
            </w:r>
            <w:r>
              <w:br/>
              <w:t xml:space="preserve">s. 4-6: 22 Apr 1988 (see s. 2 and </w:t>
            </w:r>
            <w:r>
              <w:rPr>
                <w:i/>
              </w:rPr>
              <w:t>Gazette</w:t>
            </w:r>
            <w:r>
              <w:t xml:space="preserve"> 22 Apr 1988 p. 1219)</w:t>
            </w:r>
          </w:p>
        </w:tc>
      </w:tr>
      <w:tr>
        <w:trPr>
          <w:cantSplit/>
        </w:trPr>
        <w:tc>
          <w:tcPr>
            <w:tcW w:w="2263"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1" w:type="dxa"/>
          </w:tcPr>
          <w:p>
            <w:pPr>
              <w:pStyle w:val="nTable"/>
              <w:spacing w:after="40"/>
            </w:pPr>
            <w:r>
              <w:t>29 Jun 1994</w:t>
            </w:r>
          </w:p>
        </w:tc>
        <w:tc>
          <w:tcPr>
            <w:tcW w:w="2559" w:type="dxa"/>
            <w:gridSpan w:val="2"/>
          </w:tcPr>
          <w:p>
            <w:pPr>
              <w:pStyle w:val="nTable"/>
              <w:spacing w:after="40"/>
            </w:pPr>
            <w:r>
              <w:t xml:space="preserve">1 Oct 1994 (see s. 2 and </w:t>
            </w:r>
            <w:r>
              <w:rPr>
                <w:i/>
              </w:rPr>
              <w:t>Gazette</w:t>
            </w:r>
            <w:r>
              <w:t xml:space="preserve"> 30 Sep 1994 p. 4948)</w:t>
            </w:r>
          </w:p>
        </w:tc>
      </w:tr>
      <w:tr>
        <w:trPr>
          <w:cantSplit/>
        </w:trPr>
        <w:tc>
          <w:tcPr>
            <w:tcW w:w="2263" w:type="dxa"/>
          </w:tcPr>
          <w:p>
            <w:pPr>
              <w:pStyle w:val="nTable"/>
              <w:spacing w:after="40"/>
              <w:ind w:right="113"/>
            </w:pPr>
            <w:r>
              <w:rPr>
                <w:i/>
              </w:rPr>
              <w:t>Industrial Legislation Amendment Act 1995</w:t>
            </w:r>
            <w:r>
              <w:t xml:space="preserve"> s. 24</w:t>
            </w:r>
          </w:p>
        </w:tc>
        <w:tc>
          <w:tcPr>
            <w:tcW w:w="1134" w:type="dxa"/>
          </w:tcPr>
          <w:p>
            <w:pPr>
              <w:pStyle w:val="nTable"/>
              <w:spacing w:after="40"/>
            </w:pPr>
            <w:r>
              <w:t>1 of 1995</w:t>
            </w:r>
          </w:p>
        </w:tc>
        <w:tc>
          <w:tcPr>
            <w:tcW w:w="1131" w:type="dxa"/>
          </w:tcPr>
          <w:p>
            <w:pPr>
              <w:pStyle w:val="nTable"/>
              <w:spacing w:after="40"/>
            </w:pPr>
            <w:r>
              <w:t>9 May 1995</w:t>
            </w:r>
          </w:p>
        </w:tc>
        <w:tc>
          <w:tcPr>
            <w:tcW w:w="2559" w:type="dxa"/>
            <w:gridSpan w:val="2"/>
          </w:tcPr>
          <w:p>
            <w:pPr>
              <w:pStyle w:val="nTable"/>
              <w:spacing w:after="40"/>
            </w:pPr>
            <w:r>
              <w:t>9 May 1995 (see s. 2)</w:t>
            </w:r>
          </w:p>
        </w:tc>
      </w:tr>
      <w:tr>
        <w:trPr>
          <w:cantSplit/>
        </w:trPr>
        <w:tc>
          <w:tcPr>
            <w:tcW w:w="2263" w:type="dxa"/>
          </w:tcPr>
          <w:p>
            <w:pPr>
              <w:pStyle w:val="nTable"/>
              <w:spacing w:after="40"/>
              <w:ind w:right="113"/>
            </w:pPr>
            <w:r>
              <w:rPr>
                <w:i/>
              </w:rPr>
              <w:t>Education Amendment Act 1996</w:t>
            </w:r>
            <w:r>
              <w:t xml:space="preserve"> s. 16(5)</w:t>
            </w:r>
          </w:p>
        </w:tc>
        <w:tc>
          <w:tcPr>
            <w:tcW w:w="1134" w:type="dxa"/>
          </w:tcPr>
          <w:p>
            <w:pPr>
              <w:pStyle w:val="nTable"/>
              <w:spacing w:after="40"/>
            </w:pPr>
            <w:r>
              <w:t>22 of 1996</w:t>
            </w:r>
          </w:p>
        </w:tc>
        <w:tc>
          <w:tcPr>
            <w:tcW w:w="1131" w:type="dxa"/>
          </w:tcPr>
          <w:p>
            <w:pPr>
              <w:pStyle w:val="nTable"/>
              <w:spacing w:after="40"/>
            </w:pPr>
            <w:r>
              <w:t>11 Jul 1996</w:t>
            </w:r>
          </w:p>
        </w:tc>
        <w:tc>
          <w:tcPr>
            <w:tcW w:w="2559" w:type="dxa"/>
            <w:gridSpan w:val="2"/>
          </w:tcPr>
          <w:p>
            <w:pPr>
              <w:pStyle w:val="nTable"/>
              <w:spacing w:after="40"/>
            </w:pPr>
            <w:r>
              <w:t>11 Jul 1996 (see s. 2(1))</w:t>
            </w:r>
          </w:p>
        </w:tc>
      </w:tr>
      <w:tr>
        <w:trPr>
          <w:cantSplit/>
        </w:trPr>
        <w:tc>
          <w:tcPr>
            <w:tcW w:w="2263"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1" w:type="dxa"/>
          </w:tcPr>
          <w:p>
            <w:pPr>
              <w:pStyle w:val="nTable"/>
              <w:spacing w:after="40"/>
            </w:pPr>
            <w:r>
              <w:t>25 Oct 1996</w:t>
            </w:r>
          </w:p>
        </w:tc>
        <w:tc>
          <w:tcPr>
            <w:tcW w:w="2559" w:type="dxa"/>
            <w:gridSpan w:val="2"/>
          </w:tcPr>
          <w:p>
            <w:pPr>
              <w:pStyle w:val="nTable"/>
              <w:spacing w:after="40"/>
            </w:pPr>
            <w:r>
              <w:t>25 Oct 1996 (see s. 2(1))</w:t>
            </w:r>
          </w:p>
        </w:tc>
      </w:tr>
      <w:tr>
        <w:trPr>
          <w:cantSplit/>
        </w:trPr>
        <w:tc>
          <w:tcPr>
            <w:tcW w:w="2263"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1" w:type="dxa"/>
          </w:tcPr>
          <w:p>
            <w:pPr>
              <w:pStyle w:val="nTable"/>
              <w:spacing w:after="40"/>
            </w:pPr>
            <w:r>
              <w:t>30 Apr 1998</w:t>
            </w:r>
          </w:p>
        </w:tc>
        <w:tc>
          <w:tcPr>
            <w:tcW w:w="2559" w:type="dxa"/>
            <w:gridSpan w:val="2"/>
          </w:tcPr>
          <w:p>
            <w:pPr>
              <w:pStyle w:val="nTable"/>
              <w:spacing w:after="40"/>
            </w:pPr>
            <w:r>
              <w:t>30 Apr 1998 (see s. 2(1))</w:t>
            </w:r>
          </w:p>
        </w:tc>
      </w:tr>
      <w:tr>
        <w:trPr>
          <w:cantSplit/>
        </w:trPr>
        <w:tc>
          <w:tcPr>
            <w:tcW w:w="2263"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1" w:type="dxa"/>
          </w:tcPr>
          <w:p>
            <w:pPr>
              <w:pStyle w:val="nTable"/>
              <w:spacing w:after="40"/>
            </w:pPr>
            <w:r>
              <w:t>2 Nov 1999</w:t>
            </w:r>
          </w:p>
        </w:tc>
        <w:tc>
          <w:tcPr>
            <w:tcW w:w="2559" w:type="dxa"/>
            <w:gridSpan w:val="2"/>
          </w:tcPr>
          <w:p>
            <w:pPr>
              <w:pStyle w:val="nTable"/>
              <w:spacing w:after="40"/>
            </w:pPr>
            <w:r>
              <w:t xml:space="preserve">1 Jan 2001 (see s. 2 and </w:t>
            </w:r>
            <w:r>
              <w:rPr>
                <w:i/>
              </w:rPr>
              <w:t>Gazette</w:t>
            </w:r>
            <w:r>
              <w:t xml:space="preserve"> 29 Dec 2000 p. 7904)</w:t>
            </w:r>
          </w:p>
        </w:tc>
      </w:tr>
      <w:tr>
        <w:trPr>
          <w:cantSplit/>
        </w:trPr>
        <w:tc>
          <w:tcPr>
            <w:tcW w:w="7087" w:type="dxa"/>
            <w:gridSpan w:val="5"/>
          </w:tcPr>
          <w:p>
            <w:pPr>
              <w:pStyle w:val="nTable"/>
              <w:spacing w:after="40"/>
            </w:pPr>
            <w:r>
              <w:rPr>
                <w:b/>
              </w:rPr>
              <w:t xml:space="preserve">Reprint of the </w:t>
            </w:r>
            <w:r>
              <w:rPr>
                <w:b/>
                <w:i/>
              </w:rPr>
              <w:t>Government Employees’ Housing Act 1964</w:t>
            </w:r>
            <w:r>
              <w:rPr>
                <w:b/>
              </w:rPr>
              <w:t xml:space="preserve"> as at 8 Dec 2000</w:t>
            </w:r>
            <w:r>
              <w:rPr>
                <w:b/>
              </w:rPr>
              <w:br/>
            </w:r>
            <w:r>
              <w:t xml:space="preserve">(includes amendments listed above except those in the </w:t>
            </w:r>
            <w:r>
              <w:rPr>
                <w:i/>
                <w:iCs/>
              </w:rPr>
              <w:t>School Education Act 1999</w:t>
            </w:r>
            <w:r>
              <w:t xml:space="preserve">) (correction in </w:t>
            </w:r>
            <w:r>
              <w:rPr>
                <w:i/>
              </w:rPr>
              <w:t>Gazette</w:t>
            </w:r>
            <w:r>
              <w:t xml:space="preserve"> 9 May 2003 p. 1619)</w:t>
            </w:r>
          </w:p>
        </w:tc>
      </w:tr>
      <w:tr>
        <w:trPr>
          <w:cantSplit/>
        </w:trPr>
        <w:tc>
          <w:tcPr>
            <w:tcW w:w="2263" w:type="dxa"/>
          </w:tcPr>
          <w:p>
            <w:pPr>
              <w:pStyle w:val="nTable"/>
              <w:spacing w:after="40"/>
              <w:ind w:right="113"/>
            </w:pPr>
            <w:r>
              <w:rPr>
                <w:i/>
              </w:rPr>
              <w:t>Acts Amendment (Equality of Status) Act 2003</w:t>
            </w:r>
            <w:r>
              <w:t xml:space="preserve"> Pt. 25</w:t>
            </w:r>
          </w:p>
        </w:tc>
        <w:tc>
          <w:tcPr>
            <w:tcW w:w="1134" w:type="dxa"/>
          </w:tcPr>
          <w:p>
            <w:pPr>
              <w:pStyle w:val="nTable"/>
              <w:spacing w:after="40"/>
            </w:pPr>
            <w:r>
              <w:t>28 of 2003</w:t>
            </w:r>
          </w:p>
        </w:tc>
        <w:tc>
          <w:tcPr>
            <w:tcW w:w="1131" w:type="dxa"/>
          </w:tcPr>
          <w:p>
            <w:pPr>
              <w:pStyle w:val="nTable"/>
              <w:spacing w:after="40"/>
            </w:pPr>
            <w:r>
              <w:t>22 May 2003</w:t>
            </w:r>
          </w:p>
        </w:tc>
        <w:tc>
          <w:tcPr>
            <w:tcW w:w="2559" w:type="dxa"/>
            <w:gridSpan w:val="2"/>
          </w:tcPr>
          <w:p>
            <w:pPr>
              <w:pStyle w:val="nTable"/>
              <w:spacing w:after="40"/>
            </w:pPr>
            <w:r>
              <w:t xml:space="preserve">1 Jul 2003 (see s. 2 and </w:t>
            </w:r>
            <w:r>
              <w:rPr>
                <w:i/>
              </w:rPr>
              <w:t xml:space="preserve">Gazette </w:t>
            </w:r>
            <w:r>
              <w:t>30 Jun 2003 p. 2579)</w:t>
            </w:r>
          </w:p>
        </w:tc>
      </w:tr>
      <w:tr>
        <w:trPr>
          <w:cantSplit/>
        </w:trPr>
        <w:tc>
          <w:tcPr>
            <w:tcW w:w="2263"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1" w:type="dxa"/>
          </w:tcPr>
          <w:p>
            <w:pPr>
              <w:pStyle w:val="nTable"/>
              <w:spacing w:after="40"/>
            </w:pPr>
            <w:r>
              <w:t>12 Dec 2005</w:t>
            </w:r>
          </w:p>
        </w:tc>
        <w:tc>
          <w:tcPr>
            <w:tcW w:w="2559" w:type="dxa"/>
            <w:gridSpan w:val="2"/>
          </w:tcPr>
          <w:p>
            <w:pPr>
              <w:pStyle w:val="nTable"/>
              <w:spacing w:after="40"/>
            </w:pPr>
            <w:r>
              <w:t xml:space="preserve">9 Apr 2006 (see s. 2 and </w:t>
            </w:r>
            <w:r>
              <w:rPr>
                <w:i/>
                <w:iCs/>
              </w:rPr>
              <w:t>Gazette</w:t>
            </w:r>
            <w:r>
              <w:t xml:space="preserve"> 21 Mar 2006 p. 1078)</w:t>
            </w:r>
          </w:p>
        </w:tc>
      </w:tr>
      <w:tr>
        <w:trPr>
          <w:cantSplit/>
        </w:trPr>
        <w:tc>
          <w:tcPr>
            <w:tcW w:w="2263"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10 Div. 2</w:t>
            </w:r>
            <w:r>
              <w:rPr>
                <w:snapToGrid w:val="0"/>
                <w:vertAlign w:val="superscript"/>
              </w:rPr>
              <w:t> 3</w:t>
            </w:r>
          </w:p>
        </w:tc>
        <w:tc>
          <w:tcPr>
            <w:tcW w:w="1134" w:type="dxa"/>
          </w:tcPr>
          <w:p>
            <w:pPr>
              <w:pStyle w:val="nTable"/>
              <w:spacing w:after="40"/>
              <w:rPr>
                <w:snapToGrid w:val="0"/>
              </w:rPr>
            </w:pPr>
            <w:r>
              <w:rPr>
                <w:snapToGrid w:val="0"/>
              </w:rPr>
              <w:t>28 of 2006</w:t>
            </w:r>
          </w:p>
        </w:tc>
        <w:tc>
          <w:tcPr>
            <w:tcW w:w="1131" w:type="dxa"/>
          </w:tcPr>
          <w:p>
            <w:pPr>
              <w:pStyle w:val="nTable"/>
              <w:spacing w:after="40"/>
            </w:pPr>
            <w:r>
              <w:t>26 Jun 2006</w:t>
            </w:r>
          </w:p>
        </w:tc>
        <w:tc>
          <w:tcPr>
            <w:tcW w:w="2559" w:type="dxa"/>
            <w:gridSpan w:val="2"/>
          </w:tcPr>
          <w:p>
            <w:pPr>
              <w:pStyle w:val="nTable"/>
              <w:spacing w:after="40"/>
            </w:pPr>
            <w:r>
              <w:t xml:space="preserve">1 Jul 2006 (see s. 2 and </w:t>
            </w:r>
            <w:r>
              <w:rPr>
                <w:i/>
                <w:iCs/>
              </w:rPr>
              <w:t>Gazette</w:t>
            </w:r>
            <w:r>
              <w:t xml:space="preserve"> 27 Jun 2006 p. 2347)</w:t>
            </w:r>
          </w:p>
        </w:tc>
      </w:tr>
      <w:tr>
        <w:trPr>
          <w:cantSplit/>
        </w:trPr>
        <w:tc>
          <w:tcPr>
            <w:tcW w:w="7087" w:type="dxa"/>
            <w:gridSpan w:val="5"/>
          </w:tcPr>
          <w:p>
            <w:pPr>
              <w:pStyle w:val="nTable"/>
              <w:spacing w:after="40"/>
            </w:pPr>
            <w:r>
              <w:rPr>
                <w:b/>
              </w:rPr>
              <w:t xml:space="preserve">Reprint 2:  The </w:t>
            </w:r>
            <w:r>
              <w:rPr>
                <w:b/>
                <w:i/>
              </w:rPr>
              <w:t>Government Employees’ Housing Act 1964</w:t>
            </w:r>
            <w:r>
              <w:rPr>
                <w:b/>
              </w:rPr>
              <w:t xml:space="preserve"> as at 13 Oct 2006</w:t>
            </w:r>
            <w:r>
              <w:rPr>
                <w:b/>
              </w:rPr>
              <w:br/>
            </w:r>
            <w:r>
              <w:t>(includes amendments listed above)</w:t>
            </w:r>
          </w:p>
        </w:tc>
      </w:tr>
      <w:tr>
        <w:trPr>
          <w:cantSplit/>
        </w:trPr>
        <w:tc>
          <w:tcPr>
            <w:tcW w:w="2263" w:type="dxa"/>
          </w:tcPr>
          <w:p>
            <w:pPr>
              <w:pStyle w:val="nTable"/>
              <w:spacing w:after="40"/>
              <w:ind w:right="113"/>
              <w:rPr>
                <w:i/>
                <w:snapToGrid w:val="0"/>
                <w:vertAlign w:val="superscript"/>
              </w:rPr>
            </w:pPr>
            <w:r>
              <w:rPr>
                <w:i/>
                <w:snapToGrid w:val="0"/>
              </w:rPr>
              <w:t xml:space="preserve">Financial Legislation Amendment and Repeal Act 2006 </w:t>
            </w:r>
            <w:r>
              <w:rPr>
                <w:iCs/>
                <w:snapToGrid w:val="0"/>
              </w:rPr>
              <w:t>s. 17 </w:t>
            </w:r>
            <w:r>
              <w:rPr>
                <w:iCs/>
                <w:snapToGrid w:val="0"/>
                <w:vertAlign w:val="superscript"/>
              </w:rPr>
              <w:t>4</w:t>
            </w:r>
          </w:p>
        </w:tc>
        <w:tc>
          <w:tcPr>
            <w:tcW w:w="1134" w:type="dxa"/>
          </w:tcPr>
          <w:p>
            <w:pPr>
              <w:pStyle w:val="nTable"/>
              <w:spacing w:after="40"/>
              <w:rPr>
                <w:snapToGrid w:val="0"/>
              </w:rPr>
            </w:pPr>
            <w:r>
              <w:rPr>
                <w:snapToGrid w:val="0"/>
              </w:rPr>
              <w:t xml:space="preserve">77 of 2006 </w:t>
            </w:r>
          </w:p>
        </w:tc>
        <w:tc>
          <w:tcPr>
            <w:tcW w:w="1131" w:type="dxa"/>
          </w:tcPr>
          <w:p>
            <w:pPr>
              <w:pStyle w:val="nTable"/>
              <w:spacing w:after="40"/>
            </w:pPr>
            <w:r>
              <w:rPr>
                <w:snapToGrid w:val="0"/>
              </w:rPr>
              <w:t>21 Dec 2006</w:t>
            </w:r>
          </w:p>
        </w:tc>
        <w:tc>
          <w:tcPr>
            <w:tcW w:w="2559" w:type="dxa"/>
            <w:gridSpan w:val="2"/>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4" w:type="dxa"/>
          </w:tcPr>
          <w:p>
            <w:pPr>
              <w:pStyle w:val="nTable"/>
              <w:spacing w:after="40"/>
            </w:pPr>
            <w:r>
              <w:t>12 of 2008</w:t>
            </w:r>
          </w:p>
        </w:tc>
        <w:tc>
          <w:tcPr>
            <w:tcW w:w="1131" w:type="dxa"/>
          </w:tcPr>
          <w:p>
            <w:pPr>
              <w:pStyle w:val="nTable"/>
              <w:spacing w:after="40"/>
            </w:pPr>
            <w:r>
              <w:t>14 Apr 2008</w:t>
            </w:r>
          </w:p>
        </w:tc>
        <w:tc>
          <w:tcPr>
            <w:tcW w:w="2559" w:type="dxa"/>
            <w:gridSpan w:val="2"/>
          </w:tcPr>
          <w:p>
            <w:pPr>
              <w:pStyle w:val="nTable"/>
              <w:spacing w:after="40"/>
            </w:pPr>
            <w:r>
              <w:t>1 Jul 2008 (see s. 2(d))</w:t>
            </w:r>
          </w:p>
        </w:tc>
      </w:tr>
      <w:tr>
        <w:trPr>
          <w:gridAfter w:val="1"/>
          <w:wAfter w:w="16" w:type="dxa"/>
          <w:cantSplit/>
        </w:trPr>
        <w:tc>
          <w:tcPr>
            <w:tcW w:w="226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w:t>
      </w:r>
    </w:p>
    <w:p>
      <w:pPr>
        <w:pStyle w:val="DefinedTerms"/>
      </w:pPr>
      <w:r>
        <w:t>Authority</w:t>
      </w:r>
      <w:r>
        <w:tab/>
        <w:t>5</w:t>
      </w:r>
    </w:p>
    <w:p>
      <w:pPr>
        <w:pStyle w:val="DefinedTerms"/>
      </w:pPr>
      <w:r>
        <w:t>Department</w:t>
      </w:r>
      <w:r>
        <w:tab/>
        <w:t>5</w:t>
      </w:r>
    </w:p>
    <w:p>
      <w:pPr>
        <w:pStyle w:val="DefinedTerms"/>
      </w:pPr>
      <w:r>
        <w:t>Government employee</w:t>
      </w:r>
      <w:r>
        <w:tab/>
        <w:t>5</w:t>
      </w:r>
    </w:p>
    <w:p>
      <w:pPr>
        <w:pStyle w:val="DefinedTerms"/>
      </w:pPr>
      <w:r>
        <w:t>house</w:t>
      </w:r>
      <w:r>
        <w:tab/>
        <w:t>5</w:t>
      </w:r>
    </w:p>
    <w:p>
      <w:pPr>
        <w:pStyle w:val="DefinedTerms"/>
      </w:pPr>
      <w:r>
        <w:t>member</w:t>
      </w:r>
      <w:r>
        <w:tab/>
        <w:t>5</w:t>
      </w:r>
    </w:p>
    <w:p>
      <w:pPr>
        <w:pStyle w:val="DefinedTerms"/>
      </w:pPr>
      <w:r>
        <w:t>officer</w:t>
      </w:r>
      <w:r>
        <w:tab/>
        <w:t>5</w:t>
      </w:r>
    </w:p>
    <w:p>
      <w:pPr>
        <w:pStyle w:val="DefinedTerms"/>
      </w:pPr>
      <w:r>
        <w:t>owner</w:t>
      </w:r>
      <w:r>
        <w:tab/>
        <w:t>28(4)</w:t>
      </w:r>
    </w:p>
    <w:p>
      <w:pPr>
        <w:pStyle w:val="DefinedTerms"/>
      </w:pPr>
      <w:r>
        <w:t>tenant</w:t>
      </w:r>
      <w:r>
        <w:tab/>
        <w:t>5</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Housing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Employees’ Housing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Housing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Housing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03"/>
    <w:docVar w:name="WAFER_20140128092149" w:val="RemoveTocBookmarks,RemoveUnusedBookmarks,RemoveLanguageTags,UsedStyles,ResetPageSize,UpdateArrangement"/>
    <w:docVar w:name="WAFER_20140128092149_GUID" w:val="b9244305-fd79-4c70-a2c4-5c5842ef38f5"/>
    <w:docVar w:name="WAFER_20140128092154" w:val="RemoveTocBookmarks,RunningHeaders"/>
    <w:docVar w:name="WAFER_20140128092154_GUID" w:val="07ce0a46-24d7-4baa-b9a0-7b6e005d1695"/>
    <w:docVar w:name="WAFER_20150508162705" w:val="ResetPageSize,UpdateArrangement,UpdateNTable"/>
    <w:docVar w:name="WAFER_20150508162705_GUID" w:val="a4a8d3b3-9b92-481b-8d0b-d7d69673d070"/>
    <w:docVar w:name="WAFER_20150508162958" w:val="ResetPageSize,UpdateArrangement,UpdateNTable"/>
    <w:docVar w:name="WAFER_20150508162958_GUID" w:val="2a58ceb1-cbca-42cd-8fee-2ee383bb176e"/>
    <w:docVar w:name="WAFER_20151105132003" w:val="UpdateStyles,UsedStyles"/>
    <w:docVar w:name="WAFER_20151105132003_GUID" w:val="287e0a86-e7c7-4314-bf26-0a271e90e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4843</Words>
  <Characters>22959</Characters>
  <Application>Microsoft Office Word</Application>
  <DocSecurity>0</DocSecurity>
  <Lines>675</Lines>
  <Paragraphs>361</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1964 - 02-f0-05</dc:title>
  <dc:subject/>
  <dc:creator/>
  <cp:keywords/>
  <dc:description/>
  <cp:lastModifiedBy>svcMRProcess</cp:lastModifiedBy>
  <cp:revision>4</cp:revision>
  <cp:lastPrinted>2007-01-24T05:49:00Z</cp:lastPrinted>
  <dcterms:created xsi:type="dcterms:W3CDTF">2019-01-22T01:29:00Z</dcterms:created>
  <dcterms:modified xsi:type="dcterms:W3CDTF">2019-01-22T01:29:00Z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02-f0-05</vt:lpwstr>
  </property>
</Properties>
</file>