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(McCamey’s Monster) Agreement Authorisation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_Toc272152567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Execution of agreement authorised</w:t>
      </w:r>
      <w:r>
        <w:tab/>
      </w:r>
      <w:r>
        <w:fldChar w:fldCharType="begin"/>
      </w:r>
      <w:r>
        <w:instrText xml:space="preserve"> PAGEREF _Toc272152568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Executed agreement to operate and take effect</w:t>
      </w:r>
      <w:r>
        <w:tab/>
      </w:r>
      <w:r>
        <w:fldChar w:fldCharType="begin"/>
      </w:r>
      <w:r>
        <w:instrText xml:space="preserve"> PAGEREF _Toc272152569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First Variation Agreement</w:t>
      </w:r>
      <w:r>
        <w:tab/>
      </w:r>
      <w:r>
        <w:fldChar w:fldCharType="begin"/>
      </w:r>
      <w:r>
        <w:instrText xml:space="preserve"> PAGEREF _Toc272152570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Second Variation Agreement</w:t>
      </w:r>
      <w:r>
        <w:tab/>
      </w:r>
      <w:r>
        <w:fldChar w:fldCharType="begin"/>
      </w:r>
      <w:r>
        <w:instrText xml:space="preserve"> PAGEREF _Toc272152571 \h </w:instrText>
      </w:r>
      <w:r>
        <w:fldChar w:fldCharType="separate"/>
      </w:r>
      <w:r>
        <w:t>2</w:t>
      </w:r>
      <w:r>
        <w:fldChar w:fldCharType="end"/>
      </w:r>
    </w:p>
    <w:p>
      <w:pPr>
        <w:pStyle w:val="TOC8"/>
        <w:rPr>
          <w:sz w:val="24"/>
          <w:szCs w:val="24"/>
        </w:rPr>
      </w:pPr>
      <w:r>
        <w:rPr>
          <w:szCs w:val="24"/>
        </w:rPr>
        <w:t>6.</w:t>
      </w:r>
      <w:r>
        <w:rPr>
          <w:szCs w:val="24"/>
        </w:rPr>
        <w:tab/>
        <w:t>Third Variation Agreement</w:t>
      </w:r>
      <w:r>
        <w:tab/>
      </w:r>
      <w:r>
        <w:fldChar w:fldCharType="begin"/>
      </w:r>
      <w:r>
        <w:instrText xml:space="preserve"> PAGEREF _Toc272152572 \h </w:instrText>
      </w:r>
      <w:r>
        <w:fldChar w:fldCharType="separate"/>
      </w:r>
      <w:r>
        <w:t>3</w:t>
      </w:r>
      <w:r>
        <w:fldChar w:fldCharType="end"/>
      </w:r>
    </w:p>
    <w:p>
      <w:pPr>
        <w:pStyle w:val="TOC8"/>
        <w:rPr>
          <w:sz w:val="24"/>
          <w:szCs w:val="24"/>
        </w:rPr>
      </w:pPr>
      <w:r>
        <w:rPr>
          <w:szCs w:val="24"/>
        </w:rPr>
        <w:t>7.</w:t>
      </w:r>
      <w:r>
        <w:rPr>
          <w:szCs w:val="24"/>
        </w:rPr>
        <w:tab/>
        <w:t>Variation of Agreement to increase rates of royalty</w:t>
      </w:r>
      <w:r>
        <w:tab/>
      </w:r>
      <w:r>
        <w:fldChar w:fldCharType="begin"/>
      </w:r>
      <w:r>
        <w:instrText xml:space="preserve"> PAGEREF _Toc272152573 \h </w:instrText>
      </w:r>
      <w:r>
        <w:fldChar w:fldCharType="separate"/>
      </w:r>
      <w:r>
        <w:t>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Iron Ore (McCamey’s Monster)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First Variation Agreement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Second Variation Agreement</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Third Variation Agreement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_Toc272152579 \h </w:instrText>
      </w:r>
      <w:r>
        <w:fldChar w:fldCharType="separate"/>
      </w:r>
      <w:r>
        <w:t>101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(McCamey’s Monster) Agreement Authorisation Act 1972 </w:t>
      </w:r>
    </w:p>
    <w:p>
      <w:pPr>
        <w:pStyle w:val="LongTitle"/>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2721525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snapToGrid w:val="0"/>
        </w:rPr>
      </w:pPr>
      <w:bookmarkStart w:id="5" w:name="_Toc407112336"/>
      <w:bookmarkStart w:id="6" w:name="_Toc27811367"/>
      <w:bookmarkStart w:id="7" w:name="_Toc34541380"/>
      <w:bookmarkStart w:id="8" w:name="_Toc272152568"/>
      <w:r>
        <w:rPr>
          <w:rStyle w:val="CharSectno"/>
        </w:rPr>
        <w:t>2</w:t>
      </w:r>
      <w:r>
        <w:rPr>
          <w:snapToGrid w:val="0"/>
        </w:rPr>
        <w:t>.</w:t>
      </w:r>
      <w:r>
        <w:rPr>
          <w:snapToGrid w:val="0"/>
        </w:rPr>
        <w:tab/>
        <w:t>Execution of agreement authorised</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9" w:name="_Toc407112337"/>
      <w:bookmarkStart w:id="10" w:name="_Toc27811368"/>
      <w:bookmarkStart w:id="11" w:name="_Toc34541381"/>
      <w:bookmarkStart w:id="12" w:name="_Toc272152569"/>
      <w:r>
        <w:rPr>
          <w:rStyle w:val="CharSectno"/>
        </w:rPr>
        <w:t>3</w:t>
      </w:r>
      <w:r>
        <w:rPr>
          <w:snapToGrid w:val="0"/>
        </w:rPr>
        <w:t>.</w:t>
      </w:r>
      <w:r>
        <w:rPr>
          <w:snapToGrid w:val="0"/>
        </w:rPr>
        <w:tab/>
        <w:t>Executed agreement to operate and take effect</w:t>
      </w:r>
      <w:bookmarkEnd w:id="9"/>
      <w:bookmarkEnd w:id="10"/>
      <w:bookmarkEnd w:id="11"/>
      <w:bookmarkEnd w:id="12"/>
      <w:r>
        <w:rPr>
          <w:snapToGrid w:val="0"/>
        </w:rPr>
        <w:t xml:space="preserve"> </w:t>
      </w:r>
    </w:p>
    <w:p>
      <w:pPr>
        <w:pStyle w:val="Subsection"/>
        <w:keepNext/>
        <w:keepLines/>
        <w:rPr>
          <w:snapToGrid w:val="0"/>
        </w:rPr>
      </w:pPr>
      <w:r>
        <w:rPr>
          <w:snapToGrid w:val="0"/>
        </w:rPr>
        <w:tab/>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Footnotesection"/>
      </w:pPr>
      <w:r>
        <w:tab/>
        <w:t xml:space="preserve">[Section 3 amended by No. 45 of 1986 s. 5.] </w:t>
      </w:r>
    </w:p>
    <w:p>
      <w:pPr>
        <w:pStyle w:val="Heading5"/>
        <w:rPr>
          <w:snapToGrid w:val="0"/>
        </w:rPr>
      </w:pPr>
      <w:bookmarkStart w:id="13" w:name="_Toc407112338"/>
      <w:bookmarkStart w:id="14" w:name="_Toc27811369"/>
      <w:bookmarkStart w:id="15" w:name="_Toc34541382"/>
      <w:bookmarkStart w:id="16" w:name="_Toc272152570"/>
      <w:r>
        <w:rPr>
          <w:rStyle w:val="CharSectno"/>
        </w:rPr>
        <w:t>4</w:t>
      </w:r>
      <w:r>
        <w:rPr>
          <w:snapToGrid w:val="0"/>
        </w:rPr>
        <w:t>.</w:t>
      </w:r>
      <w:r>
        <w:rPr>
          <w:snapToGrid w:val="0"/>
        </w:rPr>
        <w:tab/>
        <w:t>First Variation Agreement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w:t>
      </w:r>
    </w:p>
    <w:p>
      <w:pPr>
        <w:pStyle w:val="Heading5"/>
        <w:rPr>
          <w:snapToGrid w:val="0"/>
        </w:rPr>
      </w:pPr>
      <w:bookmarkStart w:id="17" w:name="_Toc407112339"/>
      <w:bookmarkStart w:id="18" w:name="_Toc27811370"/>
      <w:bookmarkStart w:id="19" w:name="_Toc34541383"/>
      <w:bookmarkStart w:id="20" w:name="_Toc272152571"/>
      <w:r>
        <w:rPr>
          <w:rStyle w:val="CharSectno"/>
        </w:rPr>
        <w:t>5</w:t>
      </w:r>
      <w:r>
        <w:rPr>
          <w:snapToGrid w:val="0"/>
        </w:rPr>
        <w:t>.</w:t>
      </w:r>
      <w:r>
        <w:rPr>
          <w:snapToGrid w:val="0"/>
        </w:rPr>
        <w:tab/>
        <w:t>Second Variation Agreement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w:t>
      </w:r>
    </w:p>
    <w:p>
      <w:pPr>
        <w:pStyle w:val="Heading5"/>
      </w:pPr>
      <w:bookmarkStart w:id="21" w:name="_Toc27811371"/>
      <w:bookmarkStart w:id="22" w:name="_Toc34541384"/>
      <w:bookmarkStart w:id="23" w:name="_Toc272152572"/>
      <w:r>
        <w:rPr>
          <w:rStyle w:val="CharSectno"/>
        </w:rPr>
        <w:t>6</w:t>
      </w:r>
      <w:r>
        <w:t>.</w:t>
      </w:r>
      <w:r>
        <w:tab/>
        <w:t>Third Variation Agreement</w:t>
      </w:r>
      <w:bookmarkEnd w:id="21"/>
      <w:bookmarkEnd w:id="22"/>
      <w:bookmarkEnd w:id="23"/>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w:t>
      </w:r>
    </w:p>
    <w:p>
      <w:pPr>
        <w:pStyle w:val="Heading5"/>
      </w:pPr>
      <w:bookmarkStart w:id="24" w:name="_Toc270333559"/>
      <w:bookmarkStart w:id="25" w:name="_Toc270602730"/>
      <w:bookmarkStart w:id="26" w:name="_Toc270606095"/>
      <w:bookmarkStart w:id="27" w:name="_Toc272152573"/>
      <w:r>
        <w:rPr>
          <w:rStyle w:val="CharSectno"/>
        </w:rPr>
        <w:t>7</w:t>
      </w:r>
      <w:r>
        <w:t>.</w:t>
      </w:r>
      <w:r>
        <w:tab/>
        <w:t>Variation of Agreement to increase rates of royalty</w:t>
      </w:r>
      <w:bookmarkEnd w:id="24"/>
      <w:bookmarkEnd w:id="25"/>
      <w:bookmarkEnd w:id="26"/>
      <w:bookmarkEnd w:id="27"/>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Iron Ore Agreements Legislation Amendment Act 2010</w:t>
      </w:r>
      <w:r>
        <w:t xml:space="preserve"> Part 5.</w:t>
      </w:r>
    </w:p>
    <w:p>
      <w:pPr>
        <w:pStyle w:val="Footnotesection"/>
      </w:pPr>
      <w:r>
        <w:tab/>
        <w:t xml:space="preserve">[Section 7 inserted by No. 34 of 2010 s. 11.]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34541385"/>
      <w:bookmarkStart w:id="29" w:name="_Toc267920759"/>
      <w:bookmarkStart w:id="30" w:name="_Toc268499882"/>
      <w:bookmarkStart w:id="31" w:name="_Toc270679217"/>
      <w:bookmarkStart w:id="32" w:name="_Toc272152574"/>
      <w:r>
        <w:rPr>
          <w:rStyle w:val="CharSchNo"/>
        </w:rPr>
        <w:t>Schedule 1</w:t>
      </w:r>
      <w:bookmarkEnd w:id="28"/>
      <w:bookmarkEnd w:id="29"/>
      <w:r>
        <w:rPr>
          <w:rStyle w:val="CharSDivNo"/>
        </w:rPr>
        <w:t> </w:t>
      </w:r>
      <w:r>
        <w:t>—</w:t>
      </w:r>
      <w:r>
        <w:rPr>
          <w:rStyle w:val="CharSDivText"/>
        </w:rPr>
        <w:t> </w:t>
      </w:r>
      <w:r>
        <w:rPr>
          <w:rStyle w:val="CharSchText"/>
        </w:rPr>
        <w:t>Iron Ore (McCamey’s Monster) Agreement</w:t>
      </w:r>
      <w:bookmarkEnd w:id="30"/>
      <w:bookmarkEnd w:id="31"/>
      <w:bookmarkEnd w:id="32"/>
    </w:p>
    <w:p>
      <w:pPr>
        <w:pStyle w:val="yShoulderClause"/>
      </w:pPr>
      <w:r>
        <w:t>[s. 2]</w:t>
      </w:r>
    </w:p>
    <w:p>
      <w:pPr>
        <w:pStyle w:val="yFootnoteheading"/>
      </w:pPr>
      <w:r>
        <w:tab/>
        <w:t>[Heading inserted by No. 45 of 1986 s. 7; amended by No. 19 of 2010 s. 4.]</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r>
              <w:rPr>
                <w:noProof/>
                <w:lang w:eastAsia="en-AU"/>
              </w:rPr>
              <w:drawing>
                <wp:inline distT="0" distB="0" distL="0" distR="0">
                  <wp:extent cx="124460" cy="5854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4460" cy="746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4612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4460" cy="5854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4460" cy="75374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5374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4460" cy="7829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8295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4460" cy="8997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89979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4460" cy="5854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33" w:name="_Toc34541386"/>
      <w:bookmarkStart w:id="34" w:name="_Toc267920760"/>
      <w:bookmarkStart w:id="35" w:name="_Toc268499883"/>
      <w:bookmarkStart w:id="36" w:name="_Toc270679218"/>
      <w:bookmarkStart w:id="37" w:name="_Toc272152575"/>
      <w:r>
        <w:rPr>
          <w:rStyle w:val="CharSchNo"/>
        </w:rPr>
        <w:t>Schedule 2</w:t>
      </w:r>
      <w:bookmarkEnd w:id="33"/>
      <w:bookmarkEnd w:id="34"/>
      <w:r>
        <w:rPr>
          <w:rStyle w:val="CharSDivNo"/>
        </w:rPr>
        <w:t> </w:t>
      </w:r>
      <w:r>
        <w:t>—</w:t>
      </w:r>
      <w:r>
        <w:rPr>
          <w:rStyle w:val="CharSDivText"/>
        </w:rPr>
        <w:t> </w:t>
      </w:r>
      <w:r>
        <w:rPr>
          <w:rStyle w:val="CharSchText"/>
        </w:rPr>
        <w:t>First Variation Agreement</w:t>
      </w:r>
      <w:bookmarkEnd w:id="35"/>
      <w:bookmarkEnd w:id="36"/>
      <w:bookmarkEnd w:id="37"/>
    </w:p>
    <w:p>
      <w:pPr>
        <w:pStyle w:val="yShoulderClause"/>
      </w:pPr>
      <w:r>
        <w:t>[s. 4]</w:t>
      </w:r>
    </w:p>
    <w:p>
      <w:pPr>
        <w:pStyle w:val="yFootnoteheading"/>
      </w:pPr>
      <w:r>
        <w:tab/>
        <w:t>[Heading amended by No. 19 of 2010 s. 4.]</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4460" cy="46799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6799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4460" cy="739140"/>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38" w:name="_Toc34541387"/>
      <w:bookmarkStart w:id="39" w:name="_Toc267920761"/>
      <w:bookmarkStart w:id="40" w:name="_Toc268499884"/>
      <w:bookmarkStart w:id="41" w:name="_Toc270679219"/>
      <w:bookmarkStart w:id="42" w:name="_Toc272152576"/>
      <w:r>
        <w:rPr>
          <w:rStyle w:val="CharSchNo"/>
        </w:rPr>
        <w:t>Schedule 3</w:t>
      </w:r>
      <w:bookmarkEnd w:id="38"/>
      <w:bookmarkEnd w:id="39"/>
      <w:r>
        <w:rPr>
          <w:rStyle w:val="CharSDivNo"/>
        </w:rPr>
        <w:t> </w:t>
      </w:r>
      <w:r>
        <w:t>—</w:t>
      </w:r>
      <w:r>
        <w:rPr>
          <w:rStyle w:val="CharSDivText"/>
        </w:rPr>
        <w:t> </w:t>
      </w:r>
      <w:r>
        <w:rPr>
          <w:rStyle w:val="CharSchText"/>
        </w:rPr>
        <w:t>Second Variation Agreement</w:t>
      </w:r>
      <w:bookmarkEnd w:id="40"/>
      <w:bookmarkEnd w:id="41"/>
      <w:bookmarkEnd w:id="42"/>
    </w:p>
    <w:p>
      <w:pPr>
        <w:pStyle w:val="yShoulderClause"/>
        <w:rPr>
          <w:snapToGrid w:val="0"/>
        </w:rPr>
      </w:pPr>
      <w:r>
        <w:rPr>
          <w:snapToGrid w:val="0"/>
        </w:rPr>
        <w:t>[s. 5]</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43" w:name="_Toc34541388"/>
      <w:bookmarkStart w:id="44" w:name="_Toc267920762"/>
      <w:bookmarkStart w:id="45" w:name="_Toc268499885"/>
      <w:bookmarkStart w:id="46" w:name="_Toc270679220"/>
      <w:bookmarkStart w:id="47" w:name="_Toc272152577"/>
      <w:r>
        <w:rPr>
          <w:rStyle w:val="CharSchNo"/>
        </w:rPr>
        <w:t>Schedule 4</w:t>
      </w:r>
      <w:bookmarkEnd w:id="43"/>
      <w:bookmarkEnd w:id="44"/>
      <w:r>
        <w:rPr>
          <w:rStyle w:val="CharSDivNo"/>
        </w:rPr>
        <w:t> </w:t>
      </w:r>
      <w:r>
        <w:t>—</w:t>
      </w:r>
      <w:r>
        <w:rPr>
          <w:rStyle w:val="CharSDivText"/>
        </w:rPr>
        <w:t> </w:t>
      </w:r>
      <w:r>
        <w:rPr>
          <w:rStyle w:val="CharSchText"/>
        </w:rPr>
        <w:t>Third Variation Agreement</w:t>
      </w:r>
      <w:bookmarkEnd w:id="45"/>
      <w:bookmarkEnd w:id="46"/>
      <w:bookmarkEnd w:id="47"/>
    </w:p>
    <w:p>
      <w:pPr>
        <w:pStyle w:val="yShoulderClause"/>
      </w:pPr>
      <w:r>
        <w:t>[s. 6]</w:t>
      </w:r>
    </w:p>
    <w:p>
      <w:pPr>
        <w:pStyle w:val="yFootnoteheading"/>
      </w:pPr>
      <w:r>
        <w:tab/>
        <w:t>[Heading amended by No. 19 of 2010 s. 4.]</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4460" cy="4171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4460" cy="62166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8" w:name="_Toc267920763"/>
      <w:bookmarkStart w:id="49" w:name="_Toc268499886"/>
      <w:bookmarkStart w:id="50" w:name="_Toc270679221"/>
      <w:bookmarkStart w:id="51" w:name="_Toc272152578"/>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52" w:name="UpToHere"/>
      <w:bookmarkStart w:id="53" w:name="_Toc34541389"/>
      <w:bookmarkStart w:id="54" w:name="_Toc272152579"/>
      <w:bookmarkEnd w:id="52"/>
      <w:r>
        <w:t>Compilation table</w:t>
      </w:r>
      <w:bookmarkEnd w:id="53"/>
      <w:bookmarkEnd w:id="54"/>
    </w:p>
    <w:tbl>
      <w:tblPr>
        <w:tblW w:w="0" w:type="auto"/>
        <w:tblInd w:w="42" w:type="dxa"/>
        <w:tblLayout w:type="fixed"/>
        <w:tblCellMar>
          <w:left w:w="56" w:type="dxa"/>
          <w:right w:w="56" w:type="dxa"/>
        </w:tblCellMar>
        <w:tblLook w:val="0000" w:firstRow="0" w:lastRow="0" w:firstColumn="0" w:lastColumn="0" w:noHBand="0" w:noVBand="0"/>
      </w:tblPr>
      <w:tblGrid>
        <w:gridCol w:w="14"/>
        <w:gridCol w:w="2245"/>
        <w:gridCol w:w="23"/>
        <w:gridCol w:w="1116"/>
        <w:gridCol w:w="19"/>
        <w:gridCol w:w="1116"/>
        <w:gridCol w:w="18"/>
        <w:gridCol w:w="2538"/>
        <w:gridCol w:w="31"/>
      </w:tblGrid>
      <w:tr>
        <w:trPr>
          <w:gridBefore w:val="1"/>
          <w:wBefore w:w="14"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4"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2268" w:type="dxa"/>
            <w:gridSpan w:val="2"/>
          </w:tcPr>
          <w:p>
            <w:pPr>
              <w:pStyle w:val="nTable"/>
              <w:spacing w:before="80"/>
              <w:ind w:right="170"/>
              <w:rPr>
                <w:i/>
                <w:sz w:val="19"/>
              </w:rPr>
            </w:pPr>
            <w:r>
              <w:rPr>
                <w:i/>
                <w:sz w:val="19"/>
              </w:rPr>
              <w:t>Iron Ore (McCamey’s Monster) Agreement Authorisation Act 1972</w:t>
            </w:r>
          </w:p>
        </w:tc>
        <w:tc>
          <w:tcPr>
            <w:tcW w:w="1135" w:type="dxa"/>
            <w:gridSpan w:val="2"/>
          </w:tcPr>
          <w:p>
            <w:pPr>
              <w:pStyle w:val="nTable"/>
              <w:spacing w:before="80"/>
              <w:rPr>
                <w:sz w:val="19"/>
              </w:rPr>
            </w:pPr>
            <w:r>
              <w:rPr>
                <w:sz w:val="19"/>
              </w:rPr>
              <w:t>104 of 1972</w:t>
            </w:r>
          </w:p>
        </w:tc>
        <w:tc>
          <w:tcPr>
            <w:tcW w:w="1134" w:type="dxa"/>
            <w:gridSpan w:val="2"/>
          </w:tcPr>
          <w:p>
            <w:pPr>
              <w:pStyle w:val="nTable"/>
              <w:spacing w:before="80"/>
              <w:rPr>
                <w:sz w:val="19"/>
              </w:rPr>
            </w:pPr>
            <w:r>
              <w:rPr>
                <w:sz w:val="19"/>
              </w:rPr>
              <w:t>6 Dec 1972</w:t>
            </w:r>
          </w:p>
        </w:tc>
        <w:tc>
          <w:tcPr>
            <w:tcW w:w="2564" w:type="dxa"/>
            <w:gridSpan w:val="2"/>
          </w:tcPr>
          <w:p>
            <w:pPr>
              <w:pStyle w:val="nTable"/>
              <w:spacing w:before="80"/>
              <w:rPr>
                <w:sz w:val="19"/>
              </w:rPr>
            </w:pPr>
            <w:r>
              <w:rPr>
                <w:sz w:val="19"/>
              </w:rPr>
              <w:t>6 Dec 1972</w:t>
            </w:r>
          </w:p>
        </w:tc>
      </w:tr>
      <w:tr>
        <w:trPr>
          <w:gridBefore w:val="1"/>
          <w:wBefore w:w="14" w:type="dxa"/>
        </w:trPr>
        <w:tc>
          <w:tcPr>
            <w:tcW w:w="2268" w:type="dxa"/>
            <w:gridSpan w:val="2"/>
          </w:tcPr>
          <w:p>
            <w:pPr>
              <w:pStyle w:val="nTable"/>
              <w:spacing w:before="80"/>
              <w:ind w:right="170"/>
              <w:rPr>
                <w:i/>
                <w:sz w:val="19"/>
              </w:rPr>
            </w:pPr>
            <w:r>
              <w:rPr>
                <w:i/>
                <w:sz w:val="19"/>
              </w:rPr>
              <w:t>Iron Ore (McCamey’s Monster) Agreement Authorisation Amendment Act 1986</w:t>
            </w:r>
          </w:p>
        </w:tc>
        <w:tc>
          <w:tcPr>
            <w:tcW w:w="1135" w:type="dxa"/>
            <w:gridSpan w:val="2"/>
          </w:tcPr>
          <w:p>
            <w:pPr>
              <w:pStyle w:val="nTable"/>
              <w:spacing w:before="80"/>
              <w:rPr>
                <w:sz w:val="19"/>
              </w:rPr>
            </w:pPr>
            <w:r>
              <w:rPr>
                <w:sz w:val="19"/>
              </w:rPr>
              <w:t>45 of 1986</w:t>
            </w:r>
          </w:p>
        </w:tc>
        <w:tc>
          <w:tcPr>
            <w:tcW w:w="1134" w:type="dxa"/>
            <w:gridSpan w:val="2"/>
          </w:tcPr>
          <w:p>
            <w:pPr>
              <w:pStyle w:val="nTable"/>
              <w:spacing w:before="80"/>
              <w:rPr>
                <w:sz w:val="19"/>
              </w:rPr>
            </w:pPr>
            <w:r>
              <w:rPr>
                <w:sz w:val="19"/>
              </w:rPr>
              <w:t>1 Aug 1986</w:t>
            </w:r>
          </w:p>
        </w:tc>
        <w:tc>
          <w:tcPr>
            <w:tcW w:w="2564" w:type="dxa"/>
            <w:gridSpan w:val="2"/>
          </w:tcPr>
          <w:p>
            <w:pPr>
              <w:pStyle w:val="nTable"/>
              <w:spacing w:before="80"/>
              <w:rPr>
                <w:sz w:val="19"/>
              </w:rPr>
            </w:pPr>
            <w:r>
              <w:rPr>
                <w:sz w:val="19"/>
              </w:rPr>
              <w:t>1 Aug 1986 (see s. 2)</w:t>
            </w:r>
          </w:p>
        </w:tc>
      </w:tr>
      <w:tr>
        <w:trPr>
          <w:gridBefore w:val="1"/>
          <w:wBefore w:w="14" w:type="dxa"/>
        </w:trPr>
        <w:tc>
          <w:tcPr>
            <w:tcW w:w="2268" w:type="dxa"/>
            <w:gridSpan w:val="2"/>
          </w:tcPr>
          <w:p>
            <w:pPr>
              <w:pStyle w:val="nTable"/>
              <w:spacing w:before="80"/>
              <w:ind w:right="170"/>
              <w:rPr>
                <w:i/>
                <w:sz w:val="19"/>
              </w:rPr>
            </w:pPr>
            <w:r>
              <w:rPr>
                <w:i/>
                <w:sz w:val="19"/>
              </w:rPr>
              <w:t xml:space="preserve">Acts Amendment (Mount Goldsworthy, McCamey’s Monster and Marillana Creek Iron Ore Agreements) Act 1994 </w:t>
            </w:r>
            <w:r>
              <w:rPr>
                <w:sz w:val="19"/>
              </w:rPr>
              <w:t>Pt. 3</w:t>
            </w:r>
          </w:p>
        </w:tc>
        <w:tc>
          <w:tcPr>
            <w:tcW w:w="1135" w:type="dxa"/>
            <w:gridSpan w:val="2"/>
          </w:tcPr>
          <w:p>
            <w:pPr>
              <w:pStyle w:val="nTable"/>
              <w:spacing w:before="80"/>
              <w:rPr>
                <w:sz w:val="19"/>
              </w:rPr>
            </w:pPr>
            <w:r>
              <w:rPr>
                <w:sz w:val="19"/>
              </w:rPr>
              <w:t>29 of 1994</w:t>
            </w:r>
          </w:p>
        </w:tc>
        <w:tc>
          <w:tcPr>
            <w:tcW w:w="1134" w:type="dxa"/>
            <w:gridSpan w:val="2"/>
          </w:tcPr>
          <w:p>
            <w:pPr>
              <w:pStyle w:val="nTable"/>
              <w:spacing w:before="80"/>
              <w:rPr>
                <w:sz w:val="19"/>
              </w:rPr>
            </w:pPr>
            <w:r>
              <w:rPr>
                <w:sz w:val="19"/>
              </w:rPr>
              <w:t>8 Jul 1994</w:t>
            </w:r>
          </w:p>
        </w:tc>
        <w:tc>
          <w:tcPr>
            <w:tcW w:w="2564" w:type="dxa"/>
            <w:gridSpan w:val="2"/>
          </w:tcPr>
          <w:p>
            <w:pPr>
              <w:pStyle w:val="nTable"/>
              <w:spacing w:before="80"/>
              <w:rPr>
                <w:sz w:val="19"/>
              </w:rPr>
            </w:pPr>
            <w:r>
              <w:rPr>
                <w:sz w:val="19"/>
              </w:rPr>
              <w:t>8 Jul 1994 (see s. 2)</w:t>
            </w:r>
          </w:p>
        </w:tc>
      </w:tr>
      <w:tr>
        <w:trPr>
          <w:gridBefore w:val="1"/>
          <w:wBefore w:w="14" w:type="dxa"/>
        </w:trPr>
        <w:tc>
          <w:tcPr>
            <w:tcW w:w="2268" w:type="dxa"/>
            <w:gridSpan w:val="2"/>
          </w:tcPr>
          <w:p>
            <w:pPr>
              <w:pStyle w:val="nTable"/>
              <w:spacing w:before="80"/>
              <w:ind w:right="170"/>
              <w:rPr>
                <w:i/>
                <w:sz w:val="19"/>
              </w:rPr>
            </w:pPr>
            <w:r>
              <w:rPr>
                <w:i/>
                <w:sz w:val="19"/>
              </w:rPr>
              <w:t xml:space="preserve">Acts Amendment (Iron Ore Agreements) Act 2000 </w:t>
            </w:r>
            <w:r>
              <w:rPr>
                <w:sz w:val="19"/>
              </w:rPr>
              <w:t>Pt. 4</w:t>
            </w:r>
          </w:p>
        </w:tc>
        <w:tc>
          <w:tcPr>
            <w:tcW w:w="1135" w:type="dxa"/>
            <w:gridSpan w:val="2"/>
          </w:tcPr>
          <w:p>
            <w:pPr>
              <w:pStyle w:val="nTable"/>
              <w:spacing w:before="80"/>
              <w:rPr>
                <w:sz w:val="19"/>
              </w:rPr>
            </w:pPr>
            <w:r>
              <w:rPr>
                <w:sz w:val="19"/>
              </w:rPr>
              <w:t>57 of 2000</w:t>
            </w:r>
          </w:p>
        </w:tc>
        <w:tc>
          <w:tcPr>
            <w:tcW w:w="1134" w:type="dxa"/>
            <w:gridSpan w:val="2"/>
          </w:tcPr>
          <w:p>
            <w:pPr>
              <w:pStyle w:val="nTable"/>
              <w:spacing w:before="80"/>
              <w:rPr>
                <w:sz w:val="19"/>
              </w:rPr>
            </w:pPr>
            <w:r>
              <w:rPr>
                <w:sz w:val="19"/>
              </w:rPr>
              <w:t>7 Dec 2000</w:t>
            </w:r>
          </w:p>
        </w:tc>
        <w:tc>
          <w:tcPr>
            <w:tcW w:w="2564" w:type="dxa"/>
            <w:gridSpan w:val="2"/>
          </w:tcPr>
          <w:p>
            <w:pPr>
              <w:pStyle w:val="nTable"/>
              <w:spacing w:before="80"/>
              <w:rPr>
                <w:sz w:val="19"/>
              </w:rPr>
            </w:pPr>
            <w:r>
              <w:rPr>
                <w:sz w:val="19"/>
              </w:rPr>
              <w:t>7 Dec 2000 (see s. 2)</w:t>
            </w:r>
          </w:p>
        </w:tc>
      </w:tr>
      <w:tr>
        <w:trPr>
          <w:gridBefore w:val="1"/>
          <w:wBefore w:w="14" w:type="dxa"/>
          <w:cantSplit/>
        </w:trPr>
        <w:tc>
          <w:tcPr>
            <w:tcW w:w="7101" w:type="dxa"/>
            <w:gridSpan w:val="8"/>
          </w:tcPr>
          <w:p>
            <w:pPr>
              <w:pStyle w:val="nTable"/>
              <w:spacing w:before="8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gridAfter w:val="1"/>
          <w:wBefore w:w="14" w:type="dxa"/>
          <w:wAfter w:w="26" w:type="dxa"/>
          <w:cantSplit/>
        </w:trPr>
        <w:tc>
          <w:tcPr>
            <w:tcW w:w="224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31" w:type="dxa"/>
        </w:trPr>
        <w:tc>
          <w:tcPr>
            <w:tcW w:w="2259"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5</w:t>
            </w:r>
          </w:p>
        </w:tc>
        <w:tc>
          <w:tcPr>
            <w:tcW w:w="1139" w:type="dxa"/>
            <w:gridSpan w:val="2"/>
            <w:tcBorders>
              <w:top w:val="nil"/>
              <w:bottom w:val="single" w:sz="4" w:space="0" w:color="auto"/>
            </w:tcBorders>
          </w:tcPr>
          <w:p>
            <w:pPr>
              <w:pStyle w:val="nTable"/>
              <w:spacing w:after="40"/>
              <w:ind w:right="170"/>
              <w:rPr>
                <w:sz w:val="19"/>
              </w:rPr>
            </w:pPr>
            <w:r>
              <w:rPr>
                <w:sz w:val="19"/>
              </w:rPr>
              <w:t>34 of 2010</w:t>
            </w:r>
          </w:p>
        </w:tc>
        <w:tc>
          <w:tcPr>
            <w:tcW w:w="1135" w:type="dxa"/>
            <w:gridSpan w:val="2"/>
            <w:tcBorders>
              <w:top w:val="nil"/>
              <w:bottom w:val="single" w:sz="4" w:space="0" w:color="auto"/>
            </w:tcBorders>
          </w:tcPr>
          <w:p>
            <w:pPr>
              <w:pStyle w:val="nTable"/>
              <w:spacing w:after="40"/>
              <w:rPr>
                <w:sz w:val="19"/>
              </w:rPr>
            </w:pPr>
            <w:r>
              <w:rPr>
                <w:sz w:val="19"/>
              </w:rPr>
              <w:t>26 Aug 2010</w:t>
            </w:r>
          </w:p>
        </w:tc>
        <w:tc>
          <w:tcPr>
            <w:tcW w:w="2551" w:type="dxa"/>
            <w:gridSpan w:val="2"/>
            <w:tcBorders>
              <w:top w:val="nil"/>
              <w:bottom w:val="single" w:sz="4" w:space="0" w:color="auto"/>
            </w:tcBorders>
          </w:tcPr>
          <w:p>
            <w:pPr>
              <w:pStyle w:val="nTable"/>
              <w:spacing w:after="40"/>
              <w:rPr>
                <w:sz w:val="19"/>
              </w:rPr>
            </w:pPr>
            <w:r>
              <w:rPr>
                <w:sz w:val="19"/>
              </w:rPr>
              <w:t>1 Jul 2010 (see s. 2(b)(ii))</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Iron Ore (McCamey’s Monster)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fldSimple w:instr=" styleref CharSchText ">
            <w:r>
              <w:rPr>
                <w:noProof/>
              </w:rPr>
              <w:t>Iron Ore (McCamey’s Monster)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(McCamey’s Monster)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32747</Words>
  <Characters>162099</Characters>
  <Application>Microsoft Office Word</Application>
  <DocSecurity>0</DocSecurity>
  <Lines>3602</Lines>
  <Paragraphs>1241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193605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1972 - 01-d0-01</dc:title>
  <dc:subject/>
  <dc:creator/>
  <cp:keywords/>
  <dc:description/>
  <cp:lastModifiedBy>svcMRProcess</cp:lastModifiedBy>
  <cp:revision>4</cp:revision>
  <cp:lastPrinted>2003-04-16T00:39:00Z</cp:lastPrinted>
  <dcterms:created xsi:type="dcterms:W3CDTF">2020-02-16T23:47:00Z</dcterms:created>
  <dcterms:modified xsi:type="dcterms:W3CDTF">2020-02-16T23:48:00Z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01-d0-01</vt:lpwstr>
  </property>
</Properties>
</file>