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736"/>
      </w:pPr>
      <w:r>
        <w:fldChar w:fldCharType="begin"/>
      </w:r>
      <w:r>
        <w:instrText xml:space="preserve"> STYLEREF "Name Of Act/Reg"</w:instrText>
      </w:r>
      <w:r>
        <w:fldChar w:fldCharType="separate"/>
      </w:r>
      <w:r>
        <w:rPr>
          <w:noProof/>
        </w:rPr>
        <w:t>Iron Ore (Mount Goldsworthy)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_Toc272152671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_Toc272152672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_Toc272152673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approved and provisions to take effect</w:t>
      </w:r>
      <w:r>
        <w:tab/>
      </w:r>
      <w:r>
        <w:fldChar w:fldCharType="begin"/>
      </w:r>
      <w:r>
        <w:instrText xml:space="preserve"> PAGEREF _Toc272152674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First Variation Agreement approved</w:t>
      </w:r>
      <w:r>
        <w:tab/>
      </w:r>
      <w:r>
        <w:fldChar w:fldCharType="begin"/>
      </w:r>
      <w:r>
        <w:instrText xml:space="preserve"> PAGEREF _Toc272152675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Second Variation Agreement</w:t>
      </w:r>
      <w:r>
        <w:tab/>
      </w:r>
      <w:r>
        <w:fldChar w:fldCharType="begin"/>
      </w:r>
      <w:r>
        <w:instrText xml:space="preserve"> PAGEREF _Toc272152676 \h </w:instrText>
      </w:r>
      <w:r>
        <w:fldChar w:fldCharType="separate"/>
      </w:r>
      <w:r>
        <w:t>3</w:t>
      </w:r>
      <w:r>
        <w:fldChar w:fldCharType="end"/>
      </w:r>
    </w:p>
    <w:p>
      <w:pPr>
        <w:pStyle w:val="TOC8"/>
        <w:rPr>
          <w:sz w:val="24"/>
          <w:szCs w:val="24"/>
        </w:rPr>
      </w:pPr>
      <w:r>
        <w:rPr>
          <w:szCs w:val="24"/>
        </w:rPr>
        <w:t>4C.</w:t>
      </w:r>
      <w:r>
        <w:rPr>
          <w:szCs w:val="24"/>
        </w:rPr>
        <w:tab/>
        <w:t>Third Variation Agreement</w:t>
      </w:r>
      <w:r>
        <w:tab/>
      </w:r>
      <w:r>
        <w:fldChar w:fldCharType="begin"/>
      </w:r>
      <w:r>
        <w:instrText xml:space="preserve"> PAGEREF _Toc272152677 \h </w:instrText>
      </w:r>
      <w:r>
        <w:fldChar w:fldCharType="separate"/>
      </w:r>
      <w:r>
        <w:t>3</w:t>
      </w:r>
      <w:r>
        <w:fldChar w:fldCharType="end"/>
      </w:r>
    </w:p>
    <w:p>
      <w:pPr>
        <w:pStyle w:val="TOC8"/>
        <w:rPr>
          <w:sz w:val="24"/>
          <w:szCs w:val="24"/>
        </w:rPr>
      </w:pPr>
      <w:r>
        <w:rPr>
          <w:szCs w:val="24"/>
        </w:rPr>
        <w:t>5A.</w:t>
      </w:r>
      <w:r>
        <w:rPr>
          <w:szCs w:val="24"/>
        </w:rPr>
        <w:tab/>
        <w:t>Variation of Agreement to increase rates of royalty</w:t>
      </w:r>
      <w:r>
        <w:tab/>
      </w:r>
      <w:r>
        <w:fldChar w:fldCharType="begin"/>
      </w:r>
      <w:r>
        <w:instrText xml:space="preserve"> PAGEREF _Toc272152678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_Toc272152679 \h </w:instrText>
      </w:r>
      <w:r>
        <w:fldChar w:fldCharType="separate"/>
      </w:r>
      <w:r>
        <w:t>4</w:t>
      </w:r>
      <w:r>
        <w:fldChar w:fldCharType="end"/>
      </w:r>
    </w:p>
    <w:p>
      <w:pPr>
        <w:pStyle w:val="TOC2"/>
        <w:tabs>
          <w:tab w:val="right" w:leader="dot" w:pos="7078"/>
        </w:tabs>
        <w:rPr>
          <w:b w:val="0"/>
          <w:sz w:val="24"/>
          <w:szCs w:val="24"/>
        </w:rPr>
      </w:pPr>
      <w:r>
        <w:rPr>
          <w:szCs w:val="28"/>
        </w:rPr>
        <w:t>First Schedule — Iron Ore (Mount Goldsworthy) Agreement</w:t>
      </w:r>
    </w:p>
    <w:p>
      <w:pPr>
        <w:pStyle w:val="TOC2"/>
        <w:tabs>
          <w:tab w:val="right" w:leader="dot" w:pos="7078"/>
        </w:tabs>
        <w:rPr>
          <w:b w:val="0"/>
          <w:sz w:val="24"/>
          <w:szCs w:val="24"/>
        </w:rPr>
      </w:pPr>
      <w:r>
        <w:rPr>
          <w:szCs w:val="28"/>
        </w:rPr>
        <w:t>Second Schedule — First Variation Agreement</w:t>
      </w:r>
    </w:p>
    <w:p>
      <w:pPr>
        <w:pStyle w:val="TOC2"/>
        <w:tabs>
          <w:tab w:val="right" w:leader="dot" w:pos="7078"/>
        </w:tabs>
        <w:rPr>
          <w:b w:val="0"/>
          <w:sz w:val="24"/>
          <w:szCs w:val="24"/>
        </w:rPr>
      </w:pPr>
      <w:r>
        <w:rPr>
          <w:szCs w:val="28"/>
        </w:rPr>
        <w:t>Third Schedule — Second Variation Agreement</w:t>
      </w:r>
    </w:p>
    <w:p>
      <w:pPr>
        <w:pStyle w:val="TOC2"/>
        <w:tabs>
          <w:tab w:val="right" w:leader="dot" w:pos="7078"/>
        </w:tabs>
        <w:rPr>
          <w:b w:val="0"/>
          <w:sz w:val="24"/>
          <w:szCs w:val="24"/>
        </w:rPr>
      </w:pPr>
      <w:r>
        <w:rPr>
          <w:szCs w:val="28"/>
        </w:rPr>
        <w:t>Fourth Schedule — Third Variation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_Toc272152685 \h </w:instrText>
      </w:r>
      <w:r>
        <w:fldChar w:fldCharType="separate"/>
      </w:r>
      <w:r>
        <w:t>101</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(Mount Goldsworthy)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7215267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5" w:name="_Toc501333457"/>
      <w:bookmarkStart w:id="6" w:name="_Toc4214076"/>
      <w:bookmarkStart w:id="7" w:name="_Toc14680918"/>
      <w:bookmarkStart w:id="8" w:name="_Toc272152672"/>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9" w:name="_Toc501333458"/>
      <w:bookmarkStart w:id="10" w:name="_Toc4214077"/>
      <w:bookmarkStart w:id="11" w:name="_Toc14680919"/>
      <w:bookmarkStart w:id="12" w:name="_Toc272152673"/>
      <w:r>
        <w:rPr>
          <w:rStyle w:val="CharSectno"/>
        </w:rPr>
        <w:t>3</w:t>
      </w:r>
      <w:r>
        <w:rPr>
          <w:snapToGrid w:val="0"/>
        </w:rPr>
        <w:t>.</w:t>
      </w:r>
      <w:r>
        <w:rPr>
          <w:snapToGrid w:val="0"/>
        </w:rPr>
        <w:tab/>
        <w:t>Interpretation</w:t>
      </w:r>
      <w:bookmarkEnd w:id="9"/>
      <w:bookmarkEnd w:id="10"/>
      <w:bookmarkEnd w:id="11"/>
      <w:bookmarkEnd w:id="12"/>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 </w:t>
      </w:r>
    </w:p>
    <w:p>
      <w:pPr>
        <w:pStyle w:val="Footnotesection"/>
      </w:pPr>
      <w:bookmarkStart w:id="13" w:name="_Toc501333459"/>
      <w:bookmarkStart w:id="14" w:name="_Toc4214078"/>
      <w:bookmarkStart w:id="15" w:name="_Toc14680920"/>
      <w:r>
        <w:tab/>
        <w:t xml:space="preserve">[Section 3 amended by No. 58 of 1971 s. 2; No. 29 of 1994 s. 4; No. 57 of 2000 s. 16; No. 34 of 2010 s. 15.] </w:t>
      </w:r>
    </w:p>
    <w:p>
      <w:pPr>
        <w:pStyle w:val="Heading5"/>
        <w:rPr>
          <w:snapToGrid w:val="0"/>
        </w:rPr>
      </w:pPr>
      <w:bookmarkStart w:id="16" w:name="_Toc272152674"/>
      <w:r>
        <w:rPr>
          <w:rStyle w:val="CharSectno"/>
        </w:rPr>
        <w:t>4</w:t>
      </w:r>
      <w:r>
        <w:rPr>
          <w:snapToGrid w:val="0"/>
        </w:rPr>
        <w:t>.</w:t>
      </w:r>
      <w:r>
        <w:rPr>
          <w:snapToGrid w:val="0"/>
        </w:rPr>
        <w:tab/>
        <w:t>Agreement approved and provisions to take effect</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17" w:name="_Toc501333460"/>
      <w:bookmarkStart w:id="18" w:name="_Toc4214079"/>
      <w:bookmarkStart w:id="19" w:name="_Toc14680921"/>
      <w:bookmarkStart w:id="20" w:name="_Toc272152675"/>
      <w:r>
        <w:rPr>
          <w:rStyle w:val="CharSectno"/>
        </w:rPr>
        <w:t>4A</w:t>
      </w:r>
      <w:r>
        <w:rPr>
          <w:snapToGrid w:val="0"/>
        </w:rPr>
        <w:t>.</w:t>
      </w:r>
      <w:r>
        <w:rPr>
          <w:snapToGrid w:val="0"/>
        </w:rPr>
        <w:tab/>
        <w:t>First Variation Agreement approved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21" w:name="_Toc501333461"/>
      <w:bookmarkStart w:id="22" w:name="_Toc4214080"/>
      <w:bookmarkStart w:id="23" w:name="_Toc14680922"/>
      <w:bookmarkStart w:id="24" w:name="_Toc272152676"/>
      <w:r>
        <w:rPr>
          <w:rStyle w:val="CharSectno"/>
        </w:rPr>
        <w:t>4B</w:t>
      </w:r>
      <w:r>
        <w:rPr>
          <w:snapToGrid w:val="0"/>
        </w:rPr>
        <w:t>.</w:t>
      </w:r>
      <w:r>
        <w:rPr>
          <w:snapToGrid w:val="0"/>
        </w:rPr>
        <w:tab/>
        <w:t>Second Variation Agreement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25" w:name="_Toc501333462"/>
      <w:bookmarkStart w:id="26" w:name="_Toc4214081"/>
      <w:bookmarkStart w:id="27" w:name="_Toc14680923"/>
      <w:bookmarkStart w:id="28" w:name="_Toc272152677"/>
      <w:r>
        <w:rPr>
          <w:rStyle w:val="CharSectno"/>
        </w:rPr>
        <w:t>4C</w:t>
      </w:r>
      <w:r>
        <w:t>.</w:t>
      </w:r>
      <w:r>
        <w:tab/>
        <w:t>Third Variation Agreement</w:t>
      </w:r>
      <w:bookmarkEnd w:id="25"/>
      <w:bookmarkEnd w:id="26"/>
      <w:bookmarkEnd w:id="27"/>
      <w:bookmarkEnd w:id="28"/>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29" w:name="_Toc270333568"/>
      <w:bookmarkStart w:id="30" w:name="_Toc270602739"/>
      <w:bookmarkStart w:id="31" w:name="_Toc270606274"/>
      <w:bookmarkStart w:id="32" w:name="_Toc272152678"/>
      <w:bookmarkStart w:id="33" w:name="_Toc501333463"/>
      <w:bookmarkStart w:id="34" w:name="_Toc4214082"/>
      <w:bookmarkStart w:id="35" w:name="_Toc14680924"/>
      <w:r>
        <w:rPr>
          <w:rStyle w:val="CharSectno"/>
        </w:rPr>
        <w:t>5A</w:t>
      </w:r>
      <w:r>
        <w:t>.</w:t>
      </w:r>
      <w:r>
        <w:tab/>
        <w:t>Variation of Agreement to increase rates of royalty</w:t>
      </w:r>
      <w:bookmarkEnd w:id="29"/>
      <w:bookmarkEnd w:id="30"/>
      <w:bookmarkEnd w:id="31"/>
      <w:bookmarkEnd w:id="32"/>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7.</w:t>
      </w:r>
    </w:p>
    <w:p>
      <w:pPr>
        <w:pStyle w:val="Footnotesection"/>
      </w:pPr>
      <w:r>
        <w:tab/>
        <w:t>[Section 5A inserted by No. 34 of 2010 s. 16.]</w:t>
      </w:r>
    </w:p>
    <w:p>
      <w:pPr>
        <w:pStyle w:val="Heading5"/>
        <w:rPr>
          <w:snapToGrid w:val="0"/>
        </w:rPr>
      </w:pPr>
      <w:bookmarkStart w:id="36" w:name="_Toc272152679"/>
      <w:r>
        <w:rPr>
          <w:rStyle w:val="CharSectno"/>
        </w:rPr>
        <w:t>5</w:t>
      </w:r>
      <w:r>
        <w:rPr>
          <w:snapToGrid w:val="0"/>
        </w:rPr>
        <w:t>.</w:t>
      </w:r>
      <w:r>
        <w:rPr>
          <w:snapToGrid w:val="0"/>
        </w:rPr>
        <w:tab/>
        <w:t>By</w:t>
      </w:r>
      <w:r>
        <w:rPr>
          <w:snapToGrid w:val="0"/>
        </w:rPr>
        <w:noBreakHyphen/>
        <w:t>laws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rPr>
          <w:rFonts w:ascii="Times" w:hAnsi="Times"/>
        </w:rPr>
      </w:pPr>
      <w:bookmarkStart w:id="37" w:name="_Toc14680925"/>
      <w:bookmarkStart w:id="38" w:name="_Toc266972523"/>
      <w:r>
        <w:t>[Heading deleted by No. 19 of 2010 s. 42(2).]</w:t>
      </w:r>
    </w:p>
    <w:p>
      <w:pPr>
        <w:pStyle w:val="yScheduleHeading"/>
        <w:pageBreakBefore w:val="0"/>
        <w:spacing w:before="240"/>
        <w:ind w:left="720"/>
      </w:pPr>
      <w:bookmarkStart w:id="39" w:name="_Toc268499766"/>
      <w:bookmarkStart w:id="40" w:name="_Toc270679125"/>
      <w:bookmarkStart w:id="41" w:name="_Toc272152680"/>
      <w:r>
        <w:rPr>
          <w:rStyle w:val="CharSchNo"/>
        </w:rPr>
        <w:t>First Schedule</w:t>
      </w:r>
      <w:bookmarkEnd w:id="37"/>
      <w:bookmarkEnd w:id="38"/>
      <w:r>
        <w:t xml:space="preserve"> — </w:t>
      </w:r>
      <w:r>
        <w:rPr>
          <w:rStyle w:val="CharSchText"/>
        </w:rPr>
        <w:t>Iron Ore (Mount Goldsworthy) Agreement</w:t>
      </w:r>
      <w:bookmarkEnd w:id="39"/>
      <w:bookmarkEnd w:id="40"/>
      <w:bookmarkEnd w:id="41"/>
    </w:p>
    <w:p>
      <w:pPr>
        <w:pStyle w:val="yShoulderClause"/>
      </w:pPr>
      <w:r>
        <w:rPr>
          <w:snapToGrid w:val="0"/>
        </w:rPr>
        <w:t>[s. 3]</w:t>
      </w:r>
    </w:p>
    <w:p>
      <w:pPr>
        <w:pStyle w:val="yFootnoteheading"/>
      </w:pPr>
      <w:r>
        <w:tab/>
        <w:t>[Heading inserted by No. 58 of 1971 s. 4; amended by No. 19 of 2010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3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38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42" w:name="_Toc14680926"/>
      <w:bookmarkStart w:id="43" w:name="_Toc266972524"/>
      <w:bookmarkStart w:id="44" w:name="_Toc268499767"/>
      <w:bookmarkStart w:id="45" w:name="_Toc270679126"/>
      <w:bookmarkStart w:id="46" w:name="_Toc272152681"/>
      <w:r>
        <w:rPr>
          <w:rStyle w:val="CharSchNo"/>
        </w:rPr>
        <w:t>Second Schedule</w:t>
      </w:r>
      <w:bookmarkEnd w:id="42"/>
      <w:bookmarkEnd w:id="43"/>
      <w:r>
        <w:t xml:space="preserve"> — </w:t>
      </w:r>
      <w:r>
        <w:rPr>
          <w:rStyle w:val="CharSchText"/>
        </w:rPr>
        <w:t>First Variation Agreement</w:t>
      </w:r>
      <w:bookmarkEnd w:id="44"/>
      <w:bookmarkEnd w:id="45"/>
      <w:bookmarkEnd w:id="46"/>
    </w:p>
    <w:p>
      <w:pPr>
        <w:pStyle w:val="yShoulderClause"/>
      </w:pPr>
      <w:r>
        <w:t>[s. 3]</w:t>
      </w:r>
    </w:p>
    <w:p>
      <w:pPr>
        <w:pStyle w:val="yFootnotesection"/>
      </w:pPr>
      <w:r>
        <w:tab/>
        <w:t>[Heading amended by No. 19 of 2010 s. 4.]</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47" w:name="endcomma"/>
      <w:bookmarkEnd w:id="47"/>
      <w:r>
        <w:rPr>
          <w:rStyle w:val="CharDefText"/>
        </w:rPr>
        <w:t>C</w:t>
      </w:r>
      <w:r>
        <w:rPr>
          <w:b/>
        </w:rPr>
        <w:t xml:space="preserve"> </w:t>
      </w:r>
      <w:bookmarkStart w:id="48" w:name="comma"/>
      <w:bookmarkEnd w:id="48"/>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38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38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3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ab/>
        <w:t xml:space="preserve">[Second Schedule inserted by No. 58 of 1971 s. 5.] </w:t>
      </w:r>
    </w:p>
    <w:p>
      <w:pPr>
        <w:pStyle w:val="yScheduleHeading"/>
      </w:pPr>
      <w:bookmarkStart w:id="49" w:name="_Toc14680927"/>
      <w:bookmarkStart w:id="50" w:name="_Toc266972525"/>
      <w:bookmarkStart w:id="51" w:name="_Toc268499768"/>
      <w:bookmarkStart w:id="52" w:name="_Toc270679127"/>
      <w:bookmarkStart w:id="53" w:name="_Toc272152682"/>
      <w:r>
        <w:rPr>
          <w:rStyle w:val="CharSchNo"/>
        </w:rPr>
        <w:t>Third Schedule</w:t>
      </w:r>
      <w:bookmarkEnd w:id="49"/>
      <w:bookmarkEnd w:id="50"/>
      <w:r>
        <w:t xml:space="preserve"> — </w:t>
      </w:r>
      <w:r>
        <w:rPr>
          <w:rStyle w:val="CharSchText"/>
        </w:rPr>
        <w:t>Second Variation Agreement</w:t>
      </w:r>
      <w:bookmarkEnd w:id="51"/>
      <w:bookmarkEnd w:id="52"/>
      <w:bookmarkEnd w:id="53"/>
    </w:p>
    <w:p>
      <w:pPr>
        <w:pStyle w:val="yShoulderClause"/>
      </w:pPr>
      <w:r>
        <w:t>[s. 3]</w:t>
      </w:r>
    </w:p>
    <w:p>
      <w:pPr>
        <w:pStyle w:val="yFootnotesection"/>
      </w:pPr>
      <w:r>
        <w:tab/>
        <w:t>[Heading amended by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 xml:space="preserve">[Third Schedule inserted by No. 29 of 1994 s. 6.] </w:t>
      </w:r>
    </w:p>
    <w:p>
      <w:pPr>
        <w:pStyle w:val="yScheduleHeading"/>
      </w:pPr>
      <w:bookmarkStart w:id="54" w:name="_Toc14680928"/>
      <w:bookmarkStart w:id="55" w:name="_Toc266972526"/>
      <w:bookmarkStart w:id="56" w:name="_Toc268499769"/>
      <w:bookmarkStart w:id="57" w:name="_Toc270679128"/>
      <w:bookmarkStart w:id="58" w:name="_Toc272152683"/>
      <w:r>
        <w:rPr>
          <w:rStyle w:val="CharSchNo"/>
        </w:rPr>
        <w:t>Fourth Schedule</w:t>
      </w:r>
      <w:bookmarkEnd w:id="54"/>
      <w:bookmarkEnd w:id="55"/>
      <w:r>
        <w:t xml:space="preserve"> — </w:t>
      </w:r>
      <w:r>
        <w:rPr>
          <w:rStyle w:val="CharSchText"/>
        </w:rPr>
        <w:t>Third Variation Agreement</w:t>
      </w:r>
      <w:bookmarkEnd w:id="56"/>
      <w:bookmarkEnd w:id="57"/>
      <w:bookmarkEnd w:id="58"/>
    </w:p>
    <w:p>
      <w:pPr>
        <w:pStyle w:val="yShoulderClause"/>
      </w:pPr>
      <w:r>
        <w:t>[s. 4C]</w:t>
      </w:r>
    </w:p>
    <w:p>
      <w:pPr>
        <w:pStyle w:val="yFootnotesection"/>
      </w:pPr>
      <w:r>
        <w:tab/>
        <w:t>[Heading amended by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38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9" w:name="_Toc266972527"/>
      <w:bookmarkStart w:id="60" w:name="_Toc268499770"/>
      <w:bookmarkStart w:id="61" w:name="_Toc270679129"/>
      <w:bookmarkStart w:id="62" w:name="_Toc272152684"/>
      <w:r>
        <w:t>Notes</w:t>
      </w:r>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 w:name="UpToHere"/>
      <w:bookmarkStart w:id="64" w:name="_Toc272152685"/>
      <w:bookmarkEnd w:id="63"/>
      <w:r>
        <w:rPr>
          <w:snapToGrid w:val="0"/>
        </w:rPr>
        <w:t>Compilation table</w:t>
      </w:r>
      <w:bookmarkEnd w:id="64"/>
    </w:p>
    <w:tbl>
      <w:tblPr>
        <w:tblW w:w="7090" w:type="dxa"/>
        <w:tblInd w:w="84" w:type="dxa"/>
        <w:tblLayout w:type="fixed"/>
        <w:tblCellMar>
          <w:left w:w="56" w:type="dxa"/>
          <w:right w:w="56" w:type="dxa"/>
        </w:tblCellMar>
        <w:tblLook w:val="0000" w:firstRow="0" w:lastRow="0" w:firstColumn="0" w:lastColumn="0" w:noHBand="0" w:noVBand="0"/>
      </w:tblPr>
      <w:tblGrid>
        <w:gridCol w:w="2262"/>
        <w:gridCol w:w="6"/>
        <w:gridCol w:w="1128"/>
        <w:gridCol w:w="6"/>
        <w:gridCol w:w="1128"/>
        <w:gridCol w:w="6"/>
        <w:gridCol w:w="2545"/>
        <w:gridCol w:w="9"/>
      </w:tblGrid>
      <w:tr>
        <w:trPr>
          <w:gridAfter w:val="1"/>
          <w:wAfter w:w="9"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2" w:type="dxa"/>
          </w:tcPr>
          <w:p>
            <w:pPr>
              <w:pStyle w:val="nTable"/>
              <w:spacing w:after="40"/>
              <w:ind w:right="113"/>
              <w:rPr>
                <w:sz w:val="19"/>
              </w:rPr>
            </w:pPr>
            <w:r>
              <w:rPr>
                <w:i/>
                <w:sz w:val="19"/>
              </w:rPr>
              <w:t>Iron Ore (Mount Goldsworthy) Agreement Act 1964</w:t>
            </w:r>
          </w:p>
        </w:tc>
        <w:tc>
          <w:tcPr>
            <w:tcW w:w="1134" w:type="dxa"/>
            <w:gridSpan w:val="2"/>
          </w:tcPr>
          <w:p>
            <w:pPr>
              <w:pStyle w:val="nTable"/>
              <w:spacing w:after="40"/>
              <w:rPr>
                <w:sz w:val="19"/>
              </w:rPr>
            </w:pPr>
            <w:r>
              <w:rPr>
                <w:sz w:val="19"/>
              </w:rPr>
              <w:t>97 of 1964</w:t>
            </w:r>
          </w:p>
        </w:tc>
        <w:tc>
          <w:tcPr>
            <w:tcW w:w="1134" w:type="dxa"/>
            <w:gridSpan w:val="2"/>
          </w:tcPr>
          <w:p>
            <w:pPr>
              <w:pStyle w:val="nTable"/>
              <w:spacing w:after="40"/>
              <w:rPr>
                <w:sz w:val="19"/>
              </w:rPr>
            </w:pPr>
            <w:r>
              <w:rPr>
                <w:sz w:val="19"/>
              </w:rPr>
              <w:t>23 Dec 1964</w:t>
            </w:r>
          </w:p>
        </w:tc>
        <w:tc>
          <w:tcPr>
            <w:tcW w:w="2551" w:type="dxa"/>
            <w:gridSpan w:val="2"/>
          </w:tcPr>
          <w:p>
            <w:pPr>
              <w:pStyle w:val="nTable"/>
              <w:spacing w:after="40"/>
              <w:rPr>
                <w:sz w:val="19"/>
              </w:rPr>
            </w:pPr>
            <w:r>
              <w:rPr>
                <w:sz w:val="19"/>
              </w:rPr>
              <w:t>23 Dec 1964</w:t>
            </w:r>
          </w:p>
        </w:tc>
      </w:tr>
      <w:tr>
        <w:trPr>
          <w:gridAfter w:val="1"/>
          <w:wAfter w:w="9" w:type="dxa"/>
          <w:cantSplit/>
        </w:trPr>
        <w:tc>
          <w:tcPr>
            <w:tcW w:w="2262"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s. 4-9: 14 Feb 1966 (see s. 2(2));</w:t>
            </w:r>
            <w:r>
              <w:rPr>
                <w:sz w:val="19"/>
              </w:rPr>
              <w:br/>
              <w:t>balance: 21 Dec 1965 (see s. 2(1))</w:t>
            </w:r>
          </w:p>
        </w:tc>
      </w:tr>
      <w:tr>
        <w:trPr>
          <w:gridAfter w:val="1"/>
          <w:wAfter w:w="9" w:type="dxa"/>
          <w:cantSplit/>
        </w:trPr>
        <w:tc>
          <w:tcPr>
            <w:tcW w:w="2262" w:type="dxa"/>
          </w:tcPr>
          <w:p>
            <w:pPr>
              <w:pStyle w:val="nTable"/>
              <w:spacing w:after="40"/>
              <w:ind w:right="113"/>
              <w:rPr>
                <w:i/>
                <w:sz w:val="19"/>
              </w:rPr>
            </w:pPr>
            <w:r>
              <w:rPr>
                <w:i/>
                <w:sz w:val="19"/>
              </w:rPr>
              <w:t>Iron Ore (Mount Goldsworthy) Agreement Act Amendment Act 1971</w:t>
            </w:r>
          </w:p>
        </w:tc>
        <w:tc>
          <w:tcPr>
            <w:tcW w:w="1134" w:type="dxa"/>
            <w:gridSpan w:val="2"/>
          </w:tcPr>
          <w:p>
            <w:pPr>
              <w:pStyle w:val="nTable"/>
              <w:spacing w:after="40"/>
              <w:rPr>
                <w:sz w:val="19"/>
              </w:rPr>
            </w:pPr>
            <w:r>
              <w:rPr>
                <w:sz w:val="19"/>
              </w:rPr>
              <w:t>58 of 1971</w:t>
            </w:r>
          </w:p>
        </w:tc>
        <w:tc>
          <w:tcPr>
            <w:tcW w:w="1134" w:type="dxa"/>
            <w:gridSpan w:val="2"/>
          </w:tcPr>
          <w:p>
            <w:pPr>
              <w:pStyle w:val="nTable"/>
              <w:spacing w:after="40"/>
              <w:rPr>
                <w:sz w:val="19"/>
              </w:rPr>
            </w:pPr>
            <w:r>
              <w:rPr>
                <w:sz w:val="19"/>
              </w:rPr>
              <w:t>15 Dec 1971</w:t>
            </w:r>
          </w:p>
        </w:tc>
        <w:tc>
          <w:tcPr>
            <w:tcW w:w="2551" w:type="dxa"/>
            <w:gridSpan w:val="2"/>
          </w:tcPr>
          <w:p>
            <w:pPr>
              <w:pStyle w:val="nTable"/>
              <w:spacing w:after="40"/>
              <w:rPr>
                <w:sz w:val="19"/>
              </w:rPr>
            </w:pPr>
            <w:r>
              <w:rPr>
                <w:sz w:val="19"/>
              </w:rPr>
              <w:t>15 Dec 1971</w:t>
            </w:r>
          </w:p>
        </w:tc>
      </w:tr>
      <w:tr>
        <w:trPr>
          <w:gridAfter w:val="1"/>
          <w:wAfter w:w="9" w:type="dxa"/>
          <w:cantSplit/>
        </w:trPr>
        <w:tc>
          <w:tcPr>
            <w:tcW w:w="2262" w:type="dxa"/>
          </w:tcPr>
          <w:p>
            <w:pPr>
              <w:pStyle w:val="nTable"/>
              <w:spacing w:after="40"/>
              <w:ind w:right="113"/>
              <w:rPr>
                <w:sz w:val="19"/>
              </w:rPr>
            </w:pPr>
            <w:r>
              <w:rPr>
                <w:i/>
                <w:sz w:val="19"/>
              </w:rPr>
              <w:t>Acts Amendment (Mount Goldsworthy, McCamey’s Monster and Marillana Creek Iron Ore Agreements) Act 1994</w:t>
            </w:r>
            <w:r>
              <w:rPr>
                <w:sz w:val="19"/>
              </w:rPr>
              <w:t xml:space="preserve"> Pt. 2</w:t>
            </w:r>
          </w:p>
        </w:tc>
        <w:tc>
          <w:tcPr>
            <w:tcW w:w="1134" w:type="dxa"/>
            <w:gridSpan w:val="2"/>
          </w:tcPr>
          <w:p>
            <w:pPr>
              <w:pStyle w:val="nTable"/>
              <w:spacing w:after="40"/>
              <w:rPr>
                <w:sz w:val="19"/>
              </w:rPr>
            </w:pPr>
            <w:r>
              <w:rPr>
                <w:sz w:val="19"/>
              </w:rPr>
              <w:t>29 of 1994</w:t>
            </w:r>
          </w:p>
        </w:tc>
        <w:tc>
          <w:tcPr>
            <w:tcW w:w="1134" w:type="dxa"/>
            <w:gridSpan w:val="2"/>
          </w:tcPr>
          <w:p>
            <w:pPr>
              <w:pStyle w:val="nTable"/>
              <w:spacing w:after="40"/>
              <w:rPr>
                <w:sz w:val="19"/>
              </w:rPr>
            </w:pPr>
            <w:r>
              <w:rPr>
                <w:sz w:val="19"/>
              </w:rPr>
              <w:t>8 Jul 1994</w:t>
            </w:r>
          </w:p>
        </w:tc>
        <w:tc>
          <w:tcPr>
            <w:tcW w:w="2551" w:type="dxa"/>
            <w:gridSpan w:val="2"/>
          </w:tcPr>
          <w:p>
            <w:pPr>
              <w:pStyle w:val="nTable"/>
              <w:spacing w:after="40"/>
              <w:rPr>
                <w:sz w:val="19"/>
              </w:rPr>
            </w:pPr>
            <w:r>
              <w:rPr>
                <w:sz w:val="19"/>
              </w:rPr>
              <w:t>8 Jul 1994 (see s. 2)</w:t>
            </w:r>
          </w:p>
        </w:tc>
      </w:tr>
      <w:tr>
        <w:trPr>
          <w:gridAfter w:val="1"/>
          <w:wAfter w:w="9" w:type="dxa"/>
          <w:cantSplit/>
        </w:trPr>
        <w:tc>
          <w:tcPr>
            <w:tcW w:w="2262" w:type="dxa"/>
          </w:tcPr>
          <w:p>
            <w:pPr>
              <w:pStyle w:val="nTable"/>
              <w:spacing w:after="40"/>
              <w:ind w:right="113"/>
              <w:rPr>
                <w:sz w:val="19"/>
              </w:rPr>
            </w:pPr>
            <w:r>
              <w:rPr>
                <w:i/>
                <w:sz w:val="19"/>
              </w:rPr>
              <w:t xml:space="preserve">Acts Amendment (Iron Ore Agreements) Act 2000 </w:t>
            </w:r>
            <w:r>
              <w:rPr>
                <w:sz w:val="19"/>
              </w:rPr>
              <w:t>Pt. 5</w:t>
            </w:r>
          </w:p>
        </w:tc>
        <w:tc>
          <w:tcPr>
            <w:tcW w:w="1134" w:type="dxa"/>
            <w:gridSpan w:val="2"/>
          </w:tcPr>
          <w:p>
            <w:pPr>
              <w:pStyle w:val="nTable"/>
              <w:spacing w:after="40"/>
              <w:rPr>
                <w:sz w:val="19"/>
              </w:rPr>
            </w:pPr>
            <w:r>
              <w:rPr>
                <w:sz w:val="19"/>
              </w:rPr>
              <w:t>57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sz w:val="19"/>
              </w:rPr>
            </w:pPr>
            <w:r>
              <w:rPr>
                <w:sz w:val="19"/>
              </w:rPr>
              <w:t>7 Dec 2000 (see s. 2)</w:t>
            </w:r>
          </w:p>
        </w:tc>
      </w:tr>
      <w:tr>
        <w:trPr>
          <w:cantSplit/>
        </w:trPr>
        <w:tc>
          <w:tcPr>
            <w:tcW w:w="7090" w:type="dxa"/>
            <w:gridSpan w:val="8"/>
          </w:tcPr>
          <w:p>
            <w:pPr>
              <w:pStyle w:val="nTable"/>
              <w:spacing w:after="4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r>
        <w:trPr>
          <w:gridAfter w:val="1"/>
          <w:wAfter w:w="9" w:type="dxa"/>
          <w:cantSplit/>
        </w:trPr>
        <w:tc>
          <w:tcPr>
            <w:tcW w:w="2262"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8" w:space="0" w:color="auto"/>
            </w:tcBorders>
          </w:tcPr>
          <w:p>
            <w:pPr>
              <w:pStyle w:val="nTable"/>
              <w:spacing w:after="40"/>
              <w:ind w:right="170"/>
              <w:rPr>
                <w:iCs/>
                <w:sz w:val="19"/>
              </w:rPr>
            </w:pPr>
            <w:r>
              <w:rPr>
                <w:i/>
                <w:sz w:val="19"/>
              </w:rPr>
              <w:t>Iron Ore Agreements Legislation Amendment Act 2010</w:t>
            </w:r>
            <w:r>
              <w:rPr>
                <w:iCs/>
                <w:sz w:val="19"/>
              </w:rPr>
              <w:t xml:space="preserve"> Pt. 7</w:t>
            </w:r>
          </w:p>
        </w:tc>
        <w:tc>
          <w:tcPr>
            <w:tcW w:w="1134" w:type="dxa"/>
            <w:gridSpan w:val="2"/>
            <w:tcBorders>
              <w:top w:val="nil"/>
              <w:bottom w:val="single" w:sz="8" w:space="0" w:color="auto"/>
            </w:tcBorders>
          </w:tcPr>
          <w:p>
            <w:pPr>
              <w:pStyle w:val="nTable"/>
              <w:spacing w:after="40"/>
              <w:ind w:right="170"/>
              <w:rPr>
                <w:sz w:val="19"/>
              </w:rPr>
            </w:pPr>
            <w:r>
              <w:rPr>
                <w:sz w:val="19"/>
              </w:rPr>
              <w:t>34 of 2010</w:t>
            </w:r>
          </w:p>
        </w:tc>
        <w:tc>
          <w:tcPr>
            <w:tcW w:w="1134" w:type="dxa"/>
            <w:gridSpan w:val="2"/>
            <w:tcBorders>
              <w:top w:val="nil"/>
              <w:bottom w:val="single" w:sz="8" w:space="0" w:color="auto"/>
            </w:tcBorders>
          </w:tcPr>
          <w:p>
            <w:pPr>
              <w:pStyle w:val="nTable"/>
              <w:spacing w:after="40"/>
              <w:rPr>
                <w:sz w:val="19"/>
              </w:rPr>
            </w:pPr>
            <w:r>
              <w:rPr>
                <w:sz w:val="19"/>
              </w:rPr>
              <w:t>26 Aug 2010</w:t>
            </w:r>
          </w:p>
        </w:tc>
        <w:tc>
          <w:tcPr>
            <w:tcW w:w="2551" w:type="dxa"/>
            <w:gridSpan w:val="2"/>
            <w:tcBorders>
              <w:top w:val="nil"/>
              <w:bottom w:val="single" w:sz="8" w:space="0" w:color="auto"/>
            </w:tcBorders>
          </w:tcPr>
          <w:p>
            <w:pPr>
              <w:pStyle w:val="nTable"/>
              <w:spacing w:after="40"/>
              <w:rPr>
                <w:sz w:val="19"/>
              </w:rPr>
            </w:pPr>
            <w:r>
              <w:rPr>
                <w:sz w:val="19"/>
              </w:rPr>
              <w:t>1 Jul 2010 (see s. 2(b)(ii))</w:t>
            </w:r>
          </w:p>
        </w:tc>
      </w:tr>
    </w:tbl>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fldSimple w:instr=" styleref CharSchno ">
            <w:r>
              <w:rPr>
                <w:noProof/>
              </w:rPr>
              <w:t>First Schedule</w:t>
            </w:r>
          </w:fldSimple>
        </w:p>
      </w:tc>
      <w:tc>
        <w:tcPr>
          <w:tcW w:w="5271" w:type="dxa"/>
        </w:tcPr>
        <w:p>
          <w:pPr>
            <w:pStyle w:val="HeaderTextLeft"/>
          </w:pPr>
          <w:fldSimple w:instr=" styleref CharSchText ">
            <w:r>
              <w:rPr>
                <w:noProof/>
              </w:rPr>
              <w:t>Iron Ore (Mount Goldsworthy) Agreement</w:t>
            </w:r>
          </w:fldSimple>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fldSimple w:instr=" styleref CharSchText ">
            <w:r>
              <w:rPr>
                <w:noProof/>
              </w:rPr>
              <w:t>Iron Ore (Mount Goldsworthy) Agreement</w:t>
            </w:r>
          </w:fldSimple>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Goldsworthy) Agreement Act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35000</Words>
  <Characters>171152</Characters>
  <Application>Microsoft Office Word</Application>
  <DocSecurity>0</DocSecurity>
  <Lines>3720</Lines>
  <Paragraphs>1068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1964 - 01-d0-01</dc:title>
  <dc:subject/>
  <dc:creator/>
  <cp:keywords/>
  <dc:description/>
  <cp:lastModifiedBy>svcMRProcess</cp:lastModifiedBy>
  <cp:revision>4</cp:revision>
  <cp:lastPrinted>2002-06-25T02:18:00Z</cp:lastPrinted>
  <dcterms:created xsi:type="dcterms:W3CDTF">2020-02-17T00:00:00Z</dcterms:created>
  <dcterms:modified xsi:type="dcterms:W3CDTF">2020-02-17T00:00:00Z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01-d0-01</vt:lpwstr>
  </property>
</Properties>
</file>