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Long Service Leave Act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_Toc421011737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_Toc421011738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Construction and application of this Act</w:t>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_Toc421011740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Limited contracting</w:t>
      </w:r>
      <w:r>
        <w:rPr>
          <w:snapToGrid w:val="0"/>
        </w:rPr>
        <w:noBreakHyphen/>
        <w:t>out of long service leave</w:t>
      </w:r>
      <w:r>
        <w:tab/>
      </w:r>
      <w:r>
        <w:fldChar w:fldCharType="begin"/>
      </w:r>
      <w:r>
        <w:instrText xml:space="preserve"> PAGEREF _Toc421011741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What constitutes continuous employment</w:t>
      </w:r>
      <w:r>
        <w:tab/>
      </w:r>
      <w:r>
        <w:fldChar w:fldCharType="begin"/>
      </w:r>
      <w:r>
        <w:instrText xml:space="preserve"> PAGEREF _Toc421011742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before commencement of this Act</w:t>
      </w:r>
      <w:r>
        <w:tab/>
      </w:r>
      <w:r>
        <w:fldChar w:fldCharType="begin"/>
      </w:r>
      <w:r>
        <w:instrText xml:space="preserve"> PAGEREF _Toc421011743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Entitlements to long service leave or to payment in lieu thereof</w:t>
      </w:r>
    </w:p>
    <w:p>
      <w:pPr>
        <w:pStyle w:val="TOC8"/>
        <w:rPr>
          <w:rFonts w:asciiTheme="minorHAnsi" w:eastAsiaTheme="minorEastAsia" w:hAnsiTheme="minorHAnsi" w:cstheme="minorBidi"/>
          <w:szCs w:val="22"/>
        </w:rPr>
      </w:pPr>
      <w:r>
        <w:t>8</w:t>
      </w:r>
      <w:r>
        <w:rPr>
          <w:snapToGrid w:val="0"/>
        </w:rPr>
        <w:t>.</w:t>
      </w:r>
      <w:r>
        <w:rPr>
          <w:snapToGrid w:val="0"/>
        </w:rPr>
        <w:tab/>
        <w:t>Long service leave</w:t>
      </w:r>
      <w:r>
        <w:tab/>
      </w:r>
      <w:r>
        <w:fldChar w:fldCharType="begin"/>
      </w:r>
      <w:r>
        <w:instrText xml:space="preserve"> PAGEREF _Toc421011745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of long service leave</w:t>
      </w:r>
      <w:r>
        <w:tab/>
      </w:r>
      <w:r>
        <w:fldChar w:fldCharType="begin"/>
      </w:r>
      <w:r>
        <w:instrText xml:space="preserve"> PAGEREF _Toc421011746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Taking leave in advance</w:t>
      </w:r>
      <w:r>
        <w:tab/>
      </w:r>
      <w:r>
        <w:fldChar w:fldCharType="begin"/>
      </w:r>
      <w:r>
        <w:instrText xml:space="preserve"> PAGEREF _Toc421011747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 of the provisions of the Act</w:t>
      </w:r>
    </w:p>
    <w:p>
      <w:pPr>
        <w:pStyle w:val="TOC8"/>
        <w:rPr>
          <w:rFonts w:asciiTheme="minorHAnsi" w:eastAsiaTheme="minorEastAsia" w:hAnsiTheme="minorHAnsi" w:cstheme="minorBidi"/>
          <w:szCs w:val="22"/>
        </w:rPr>
      </w:pPr>
      <w:r>
        <w:t>11</w:t>
      </w:r>
      <w:r>
        <w:rPr>
          <w:snapToGrid w:val="0"/>
        </w:rPr>
        <w:t>.</w:t>
      </w:r>
      <w:r>
        <w:rPr>
          <w:snapToGrid w:val="0"/>
        </w:rPr>
        <w:tab/>
        <w:t>Industrial magistrate’s courts</w:t>
      </w:r>
      <w:r>
        <w:tab/>
      </w:r>
      <w:r>
        <w:fldChar w:fldCharType="begin"/>
      </w:r>
      <w:r>
        <w:instrText xml:space="preserve"> PAGEREF _Toc421011749 \h </w:instrText>
      </w:r>
      <w:r>
        <w:fldChar w:fldCharType="separate"/>
      </w:r>
      <w:r>
        <w:t>16</w:t>
      </w:r>
      <w:r>
        <w:fldChar w:fldCharType="end"/>
      </w:r>
    </w:p>
    <w:p>
      <w:pPr>
        <w:pStyle w:val="TOC8"/>
        <w:rPr>
          <w:rFonts w:asciiTheme="minorHAnsi" w:eastAsiaTheme="minorEastAsia" w:hAnsiTheme="minorHAnsi" w:cstheme="minorBidi"/>
          <w:szCs w:val="22"/>
        </w:rPr>
      </w:pPr>
      <w:r>
        <w:t>12.</w:t>
      </w:r>
      <w:r>
        <w:tab/>
        <w:t>Industrial inspectors may institute proceedings</w:t>
      </w:r>
      <w:r>
        <w:tab/>
      </w:r>
      <w:r>
        <w:fldChar w:fldCharType="begin"/>
      </w:r>
      <w:r>
        <w:instrText xml:space="preserve"> PAGEREF _Toc421011750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Records of employment</w:t>
      </w:r>
    </w:p>
    <w:p>
      <w:pPr>
        <w:pStyle w:val="TOC8"/>
        <w:rPr>
          <w:rFonts w:asciiTheme="minorHAnsi" w:eastAsiaTheme="minorEastAsia" w:hAnsiTheme="minorHAnsi" w:cstheme="minorBidi"/>
          <w:szCs w:val="22"/>
        </w:rPr>
      </w:pPr>
      <w:r>
        <w:t>26</w:t>
      </w:r>
      <w:r>
        <w:rPr>
          <w:snapToGrid w:val="0"/>
        </w:rPr>
        <w:t>.</w:t>
      </w:r>
      <w:r>
        <w:rPr>
          <w:snapToGrid w:val="0"/>
        </w:rPr>
        <w:tab/>
        <w:t>Keeping of employment records</w:t>
      </w:r>
      <w:r>
        <w:tab/>
      </w:r>
      <w:r>
        <w:fldChar w:fldCharType="begin"/>
      </w:r>
      <w:r>
        <w:instrText xml:space="preserve"> PAGEREF _Toc421011753 \h </w:instrText>
      </w:r>
      <w:r>
        <w:fldChar w:fldCharType="separate"/>
      </w:r>
      <w:r>
        <w:t>17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Access to records kept by employer</w:t>
      </w:r>
      <w:r>
        <w:tab/>
      </w:r>
      <w:r>
        <w:fldChar w:fldCharType="begin"/>
      </w:r>
      <w:r>
        <w:instrText xml:space="preserve"> PAGEREF _Toc421011754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Prohibition of employment during long service leave</w:t>
      </w:r>
    </w:p>
    <w:p>
      <w:pPr>
        <w:pStyle w:val="TOC8"/>
        <w:rPr>
          <w:rFonts w:asciiTheme="minorHAnsi" w:eastAsiaTheme="minorEastAsia" w:hAnsiTheme="minorHAnsi" w:cstheme="minorBidi"/>
          <w:szCs w:val="22"/>
        </w:rPr>
      </w:pPr>
      <w:r>
        <w:t>27</w:t>
      </w:r>
      <w:r>
        <w:rPr>
          <w:snapToGrid w:val="0"/>
        </w:rPr>
        <w:t>.</w:t>
      </w:r>
      <w:r>
        <w:rPr>
          <w:snapToGrid w:val="0"/>
        </w:rPr>
        <w:tab/>
        <w:t>Prohibition of employment during long service leave</w:t>
      </w:r>
      <w:r>
        <w:tab/>
      </w:r>
      <w:r>
        <w:fldChar w:fldCharType="begin"/>
      </w:r>
      <w:r>
        <w:instrText xml:space="preserve"> PAGEREF _Toc421011756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Representation of parties in proceedings under this Act</w:t>
      </w:r>
    </w:p>
    <w:p>
      <w:pPr>
        <w:pStyle w:val="TOC8"/>
        <w:rPr>
          <w:rFonts w:asciiTheme="minorHAnsi" w:eastAsiaTheme="minorEastAsia" w:hAnsiTheme="minorHAnsi" w:cstheme="minorBidi"/>
          <w:szCs w:val="22"/>
        </w:rPr>
      </w:pPr>
      <w:r>
        <w:t>37</w:t>
      </w:r>
      <w:r>
        <w:rPr>
          <w:snapToGrid w:val="0"/>
        </w:rPr>
        <w:t>.</w:t>
      </w:r>
      <w:r>
        <w:rPr>
          <w:snapToGrid w:val="0"/>
        </w:rPr>
        <w:tab/>
        <w:t>Representation of parties in proceedings under this Act</w:t>
      </w:r>
      <w:r>
        <w:tab/>
      </w:r>
      <w:r>
        <w:fldChar w:fldCharType="begin"/>
      </w:r>
      <w:r>
        <w:instrText xml:space="preserve"> PAGEREF _Toc421011758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Regulations</w:t>
      </w:r>
    </w:p>
    <w:p>
      <w:pPr>
        <w:pStyle w:val="TOC8"/>
        <w:rPr>
          <w:rFonts w:asciiTheme="minorHAnsi" w:eastAsiaTheme="minorEastAsia" w:hAnsiTheme="minorHAnsi" w:cstheme="minorBidi"/>
          <w:szCs w:val="22"/>
        </w:rPr>
      </w:pPr>
      <w:r>
        <w:t>38</w:t>
      </w:r>
      <w:r>
        <w:rPr>
          <w:snapToGrid w:val="0"/>
        </w:rPr>
        <w:t>.</w:t>
      </w:r>
      <w:r>
        <w:rPr>
          <w:snapToGrid w:val="0"/>
        </w:rPr>
        <w:tab/>
        <w:t>Regulation making power</w:t>
      </w:r>
      <w:r>
        <w:tab/>
      </w:r>
      <w:r>
        <w:fldChar w:fldCharType="begin"/>
      </w:r>
      <w:r>
        <w:instrText xml:space="preserve"> PAGEREF _Toc421011760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to this Act of certain of the regulations made under the </w:t>
      </w:r>
      <w:r>
        <w:rPr>
          <w:i/>
          <w:snapToGrid w:val="0"/>
        </w:rPr>
        <w:t>Industrial Relations Act 1979</w:t>
      </w:r>
      <w:r>
        <w:tab/>
      </w:r>
      <w:r>
        <w:fldChar w:fldCharType="begin"/>
      </w:r>
      <w:r>
        <w:instrText xml:space="preserve"> PAGEREF _Toc421011761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_Toc421011763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No. 79 of 1995 s. 45; No. 36 of 2006 s. 54.] </w:t>
      </w:r>
    </w:p>
    <w:p>
      <w:pPr>
        <w:pStyle w:val="Heading2"/>
      </w:pPr>
      <w:bookmarkStart w:id="3" w:name="_Toc379207763"/>
      <w:bookmarkStart w:id="4" w:name="_Toc421011684"/>
      <w:bookmarkStart w:id="5" w:name="_Toc421011736"/>
      <w:r>
        <w:rPr>
          <w:rStyle w:val="CharPartNo"/>
        </w:rPr>
        <w:t>Part I</w:t>
      </w:r>
      <w:r>
        <w:rPr>
          <w:rStyle w:val="CharDivNo"/>
        </w:rPr>
        <w:t> </w:t>
      </w:r>
      <w:r>
        <w:t>—</w:t>
      </w:r>
      <w:r>
        <w:rPr>
          <w:rStyle w:val="CharDivText"/>
        </w:rPr>
        <w:t> </w:t>
      </w:r>
      <w:r>
        <w:rPr>
          <w:rStyle w:val="CharPartText"/>
        </w:rPr>
        <w:t>Preliminary provisions</w:t>
      </w:r>
      <w:bookmarkEnd w:id="3"/>
      <w:bookmarkEnd w:id="4"/>
      <w:bookmarkEnd w:id="5"/>
      <w:r>
        <w:rPr>
          <w:rStyle w:val="CharPartText"/>
        </w:rPr>
        <w:t xml:space="preserve"> </w:t>
      </w:r>
    </w:p>
    <w:p>
      <w:pPr>
        <w:pStyle w:val="Heading5"/>
        <w:rPr>
          <w:snapToGrid w:val="0"/>
        </w:rPr>
      </w:pPr>
      <w:bookmarkStart w:id="6" w:name="_Toc379207764"/>
      <w:bookmarkStart w:id="7" w:name="_Toc42101173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8" w:name="_Toc379207765"/>
      <w:bookmarkStart w:id="9" w:name="_Toc42101173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Deleted: No. 44 of 1991 s. 10.] </w:t>
      </w:r>
    </w:p>
    <w:p>
      <w:pPr>
        <w:pStyle w:val="Heading2"/>
      </w:pPr>
      <w:bookmarkStart w:id="10" w:name="_Toc379207766"/>
      <w:bookmarkStart w:id="11" w:name="_Toc421011687"/>
      <w:bookmarkStart w:id="12" w:name="_Toc421011739"/>
      <w:r>
        <w:rPr>
          <w:rStyle w:val="CharPartNo"/>
        </w:rPr>
        <w:t>Part II</w:t>
      </w:r>
      <w:r>
        <w:rPr>
          <w:rStyle w:val="CharDivNo"/>
        </w:rPr>
        <w:t> </w:t>
      </w:r>
      <w:r>
        <w:t>—</w:t>
      </w:r>
      <w:r>
        <w:rPr>
          <w:rStyle w:val="CharDivText"/>
        </w:rPr>
        <w:t> </w:t>
      </w:r>
      <w:r>
        <w:rPr>
          <w:rStyle w:val="CharPartText"/>
        </w:rPr>
        <w:t>Construction and application of this Act</w:t>
      </w:r>
      <w:bookmarkEnd w:id="10"/>
      <w:bookmarkEnd w:id="11"/>
      <w:bookmarkEnd w:id="12"/>
      <w:r>
        <w:rPr>
          <w:rStyle w:val="CharPartText"/>
        </w:rPr>
        <w:t xml:space="preserve"> </w:t>
      </w:r>
    </w:p>
    <w:p>
      <w:pPr>
        <w:pStyle w:val="Heading5"/>
        <w:rPr>
          <w:snapToGrid w:val="0"/>
        </w:rPr>
      </w:pPr>
      <w:bookmarkStart w:id="13" w:name="_Toc379207767"/>
      <w:bookmarkStart w:id="14" w:name="_Toc421011740"/>
      <w:r>
        <w:rPr>
          <w:rStyle w:val="CharSectno"/>
        </w:rPr>
        <w:t>4</w:t>
      </w:r>
      <w:r>
        <w:rPr>
          <w:snapToGrid w:val="0"/>
        </w:rPr>
        <w:t>.</w:t>
      </w:r>
      <w:r>
        <w:rPr>
          <w:snapToGrid w:val="0"/>
        </w:rPr>
        <w:tab/>
        <w:t>Interpretation</w:t>
      </w:r>
      <w:bookmarkEnd w:id="13"/>
      <w:bookmarkEnd w:id="14"/>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No. 37 of 1964 s. 2; No. 113 of 1965 s. 8; No. 97 of 1973 s. 3; No. 44 of 1991 s. 11; No. 79 of 1995 s. 46; No. 20 of 2002 s. 20; No. 36 of 2006 s. 55; No. 44 of 2008 s. 54; amended: Gazette 15 Aug 2003 p. 3687.] </w:t>
      </w:r>
    </w:p>
    <w:p>
      <w:pPr>
        <w:pStyle w:val="Heading5"/>
        <w:rPr>
          <w:snapToGrid w:val="0"/>
        </w:rPr>
      </w:pPr>
      <w:bookmarkStart w:id="15" w:name="_Toc379207768"/>
      <w:bookmarkStart w:id="16" w:name="_Toc421011741"/>
      <w:r>
        <w:rPr>
          <w:rStyle w:val="CharSectno"/>
        </w:rPr>
        <w:t>5</w:t>
      </w:r>
      <w:r>
        <w:rPr>
          <w:snapToGrid w:val="0"/>
        </w:rPr>
        <w:t>.</w:t>
      </w:r>
      <w:r>
        <w:rPr>
          <w:snapToGrid w:val="0"/>
        </w:rPr>
        <w:tab/>
        <w:t>Limited contracting</w:t>
      </w:r>
      <w:r>
        <w:rPr>
          <w:snapToGrid w:val="0"/>
        </w:rPr>
        <w:noBreakHyphen/>
        <w:t>out of long service leave</w:t>
      </w:r>
      <w:bookmarkEnd w:id="15"/>
      <w:bookmarkEnd w:id="16"/>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No. 79 of 1995 s. 47.] </w:t>
      </w:r>
    </w:p>
    <w:p>
      <w:pPr>
        <w:pStyle w:val="Heading5"/>
        <w:rPr>
          <w:snapToGrid w:val="0"/>
        </w:rPr>
      </w:pPr>
      <w:bookmarkStart w:id="17" w:name="_Toc379207769"/>
      <w:bookmarkStart w:id="18" w:name="_Toc421011742"/>
      <w:r>
        <w:rPr>
          <w:rStyle w:val="CharSectno"/>
        </w:rPr>
        <w:t>6</w:t>
      </w:r>
      <w:r>
        <w:rPr>
          <w:snapToGrid w:val="0"/>
        </w:rPr>
        <w:t>.</w:t>
      </w:r>
      <w:r>
        <w:rPr>
          <w:snapToGrid w:val="0"/>
        </w:rPr>
        <w:tab/>
        <w:t>What constitutes continuous employment</w:t>
      </w:r>
      <w:bookmarkEnd w:id="17"/>
      <w:bookmarkEnd w:id="18"/>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subsections (4) and (5);</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(5)</w:t>
      </w:r>
      <w:r>
        <w:rPr>
          <w:snapToGrid w:val="0"/>
        </w:rPr>
        <w:tab/>
        <w:t>In subsection (4) —</w:t>
      </w:r>
    </w:p>
    <w:p>
      <w:pPr>
        <w:pStyle w:val="Defstart"/>
      </w:pPr>
      <w:r>
        <w:rPr>
          <w:b/>
          <w:i/>
        </w:rPr>
        <w:tab/>
      </w:r>
      <w:r>
        <w:rPr>
          <w:rStyle w:val="CharDefText"/>
        </w:rPr>
        <w:t>transmission</w:t>
      </w:r>
      <w:r>
        <w:t xml:space="preserve"> includes transfer, conveyance, assignment or succession, whether voluntary or by agreement or by operation of law, and </w:t>
      </w:r>
      <w:r>
        <w:rPr>
          <w:rStyle w:val="CharDefText"/>
        </w:rPr>
        <w:t>transmitted</w:t>
      </w:r>
      <w:r>
        <w:t xml:space="preserve"> has a corresponding meaning.</w:t>
      </w:r>
    </w:p>
    <w:p>
      <w:pPr>
        <w:pStyle w:val="Footnotesection"/>
      </w:pPr>
      <w:r>
        <w:tab/>
        <w:t xml:space="preserve">[Section 6 amended: No. 97 of 1973 s. 5; No. 79 of 1995 s. 48; No. 19 of 2010 s. 51.] </w:t>
      </w:r>
    </w:p>
    <w:p>
      <w:pPr>
        <w:pStyle w:val="Heading5"/>
        <w:rPr>
          <w:snapToGrid w:val="0"/>
        </w:rPr>
      </w:pPr>
      <w:bookmarkStart w:id="19" w:name="_Toc379207770"/>
      <w:bookmarkStart w:id="20" w:name="_Toc421011743"/>
      <w:r>
        <w:rPr>
          <w:rStyle w:val="CharSectno"/>
        </w:rPr>
        <w:t>7</w:t>
      </w:r>
      <w:r>
        <w:rPr>
          <w:snapToGrid w:val="0"/>
        </w:rPr>
        <w:t>.</w:t>
      </w:r>
      <w:r>
        <w:rPr>
          <w:snapToGrid w:val="0"/>
        </w:rPr>
        <w:tab/>
        <w:t>Employment before commencement of this Act</w:t>
      </w:r>
      <w:bookmarkEnd w:id="19"/>
      <w:bookmarkEnd w:id="20"/>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No. 37 of 1964 s. 4.] </w:t>
      </w:r>
    </w:p>
    <w:p>
      <w:pPr>
        <w:pStyle w:val="Heading2"/>
      </w:pPr>
      <w:bookmarkStart w:id="21" w:name="_Toc379207771"/>
      <w:bookmarkStart w:id="22" w:name="_Toc421011692"/>
      <w:bookmarkStart w:id="23" w:name="_Toc421011744"/>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21"/>
      <w:bookmarkEnd w:id="22"/>
      <w:bookmarkEnd w:id="23"/>
      <w:r>
        <w:rPr>
          <w:rStyle w:val="CharPartText"/>
        </w:rPr>
        <w:t xml:space="preserve"> </w:t>
      </w:r>
    </w:p>
    <w:p>
      <w:pPr>
        <w:pStyle w:val="Heading5"/>
        <w:rPr>
          <w:snapToGrid w:val="0"/>
        </w:rPr>
      </w:pPr>
      <w:bookmarkStart w:id="24" w:name="_Toc379207772"/>
      <w:bookmarkStart w:id="25" w:name="_Toc421011745"/>
      <w:r>
        <w:rPr>
          <w:rStyle w:val="CharSectno"/>
        </w:rPr>
        <w:t>8</w:t>
      </w:r>
      <w:r>
        <w:rPr>
          <w:snapToGrid w:val="0"/>
        </w:rPr>
        <w:t>.</w:t>
      </w:r>
      <w:r>
        <w:rPr>
          <w:snapToGrid w:val="0"/>
        </w:rPr>
        <w:tab/>
        <w:t>Long service leave</w:t>
      </w:r>
      <w:bookmarkEnd w:id="24"/>
      <w:bookmarkEnd w:id="25"/>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No. 37 of 1964 s. 5; amended: No. 79 of 1995 s. 49; No. 36 of 2006 s. 56.] </w:t>
      </w:r>
    </w:p>
    <w:p>
      <w:pPr>
        <w:pStyle w:val="Ednotesection"/>
      </w:pPr>
      <w:r>
        <w:t>[</w:t>
      </w:r>
      <w:r>
        <w:rPr>
          <w:b/>
        </w:rPr>
        <w:t>8A.</w:t>
      </w:r>
      <w:r>
        <w:tab/>
        <w:t>Deleted: No. 36 of 2006 s. 57.]</w:t>
      </w:r>
    </w:p>
    <w:p>
      <w:pPr>
        <w:pStyle w:val="Heading5"/>
        <w:rPr>
          <w:snapToGrid w:val="0"/>
        </w:rPr>
      </w:pPr>
      <w:bookmarkStart w:id="26" w:name="_Toc379207773"/>
      <w:bookmarkStart w:id="27" w:name="_Toc421011746"/>
      <w:r>
        <w:rPr>
          <w:rStyle w:val="CharSectno"/>
        </w:rPr>
        <w:t>9</w:t>
      </w:r>
      <w:r>
        <w:rPr>
          <w:snapToGrid w:val="0"/>
        </w:rPr>
        <w:t>.</w:t>
      </w:r>
      <w:r>
        <w:rPr>
          <w:snapToGrid w:val="0"/>
        </w:rPr>
        <w:tab/>
        <w:t>Commencement of long service leave</w:t>
      </w:r>
      <w:bookmarkEnd w:id="26"/>
      <w:bookmarkEnd w:id="27"/>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No. 37 of 1964 s. 6; No. 79 of 1995 s. 51; No. 36 of 2006 s. 58.] </w:t>
      </w:r>
    </w:p>
    <w:p>
      <w:pPr>
        <w:pStyle w:val="Heading5"/>
        <w:rPr>
          <w:snapToGrid w:val="0"/>
        </w:rPr>
      </w:pPr>
      <w:bookmarkStart w:id="28" w:name="_Toc379207774"/>
      <w:bookmarkStart w:id="29" w:name="_Toc421011747"/>
      <w:r>
        <w:rPr>
          <w:rStyle w:val="CharSectno"/>
        </w:rPr>
        <w:t>10</w:t>
      </w:r>
      <w:r>
        <w:rPr>
          <w:snapToGrid w:val="0"/>
        </w:rPr>
        <w:t>.</w:t>
      </w:r>
      <w:r>
        <w:rPr>
          <w:snapToGrid w:val="0"/>
        </w:rPr>
        <w:tab/>
        <w:t>Taking leave in advance</w:t>
      </w:r>
      <w:bookmarkEnd w:id="28"/>
      <w:bookmarkEnd w:id="29"/>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No. 37 of 1964 s. 7.] </w:t>
      </w:r>
    </w:p>
    <w:p>
      <w:pPr>
        <w:pStyle w:val="Heading2"/>
      </w:pPr>
      <w:bookmarkStart w:id="30" w:name="_Toc379207775"/>
      <w:bookmarkStart w:id="31" w:name="_Toc421011696"/>
      <w:bookmarkStart w:id="32" w:name="_Toc421011748"/>
      <w:r>
        <w:rPr>
          <w:rStyle w:val="CharPartNo"/>
        </w:rPr>
        <w:t>Part IV</w:t>
      </w:r>
      <w:r>
        <w:rPr>
          <w:rStyle w:val="CharDivNo"/>
        </w:rPr>
        <w:t> </w:t>
      </w:r>
      <w:r>
        <w:t>—</w:t>
      </w:r>
      <w:r>
        <w:rPr>
          <w:rStyle w:val="CharDivText"/>
        </w:rPr>
        <w:t> </w:t>
      </w:r>
      <w:r>
        <w:rPr>
          <w:rStyle w:val="CharPartText"/>
        </w:rPr>
        <w:t>Enforcement of the provisions of the Act</w:t>
      </w:r>
      <w:bookmarkEnd w:id="30"/>
      <w:bookmarkEnd w:id="31"/>
      <w:bookmarkEnd w:id="32"/>
    </w:p>
    <w:p>
      <w:pPr>
        <w:pStyle w:val="Footnoteheading"/>
        <w:rPr>
          <w:snapToGrid w:val="0"/>
        </w:rPr>
      </w:pPr>
      <w:r>
        <w:rPr>
          <w:snapToGrid w:val="0"/>
        </w:rPr>
        <w:tab/>
        <w:t>[Heading inserted: No. 79 of 1995 s. 52.]</w:t>
      </w:r>
    </w:p>
    <w:p>
      <w:pPr>
        <w:pStyle w:val="Heading5"/>
        <w:rPr>
          <w:snapToGrid w:val="0"/>
        </w:rPr>
      </w:pPr>
      <w:bookmarkStart w:id="33" w:name="_Toc379207776"/>
      <w:bookmarkStart w:id="34" w:name="_Toc421011749"/>
      <w:r>
        <w:rPr>
          <w:rStyle w:val="CharSectno"/>
        </w:rPr>
        <w:t>11</w:t>
      </w:r>
      <w:r>
        <w:rPr>
          <w:snapToGrid w:val="0"/>
        </w:rPr>
        <w:t>.</w:t>
      </w:r>
      <w:r>
        <w:rPr>
          <w:snapToGrid w:val="0"/>
        </w:rPr>
        <w:tab/>
        <w:t>Industrial magistrate’s courts</w:t>
      </w:r>
      <w:bookmarkEnd w:id="33"/>
      <w:bookmarkEnd w:id="34"/>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No. 79 of 1995 s. 52.] </w:t>
      </w:r>
    </w:p>
    <w:p>
      <w:pPr>
        <w:pStyle w:val="Heading5"/>
      </w:pPr>
      <w:bookmarkStart w:id="35" w:name="_Toc379207777"/>
      <w:bookmarkStart w:id="36" w:name="_Toc421011750"/>
      <w:r>
        <w:rPr>
          <w:rStyle w:val="CharSectno"/>
        </w:rPr>
        <w:t>12</w:t>
      </w:r>
      <w:r>
        <w:t>.</w:t>
      </w:r>
      <w:r>
        <w:tab/>
        <w:t>Industrial inspectors may institute proceedings</w:t>
      </w:r>
      <w:bookmarkEnd w:id="35"/>
      <w:bookmarkEnd w:id="36"/>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No. 36 of 2006 s. 59.]</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37" w:name="_Toc379207778"/>
      <w:bookmarkStart w:id="38" w:name="_Toc421011699"/>
      <w:bookmarkStart w:id="39" w:name="_Toc421011751"/>
      <w:r>
        <w:rPr>
          <w:rStyle w:val="CharPartNo"/>
        </w:rPr>
        <w:t>Part VII</w:t>
      </w:r>
      <w:r>
        <w:t> — </w:t>
      </w:r>
      <w:r>
        <w:rPr>
          <w:rStyle w:val="CharPartText"/>
        </w:rPr>
        <w:t>Miscellaneous provisions</w:t>
      </w:r>
      <w:bookmarkEnd w:id="37"/>
      <w:bookmarkEnd w:id="38"/>
      <w:bookmarkEnd w:id="39"/>
      <w:r>
        <w:rPr>
          <w:rStyle w:val="CharPartText"/>
        </w:rPr>
        <w:t xml:space="preserve"> </w:t>
      </w:r>
    </w:p>
    <w:p>
      <w:pPr>
        <w:pStyle w:val="Ednotedivision"/>
      </w:pPr>
      <w:r>
        <w:t>[Division 1 (s. 25) deleted: No. 79 of 1995 s. 53.]</w:t>
      </w:r>
    </w:p>
    <w:p>
      <w:pPr>
        <w:pStyle w:val="Heading3"/>
        <w:rPr>
          <w:snapToGrid w:val="0"/>
        </w:rPr>
      </w:pPr>
      <w:bookmarkStart w:id="40" w:name="_Toc379207779"/>
      <w:bookmarkStart w:id="41" w:name="_Toc421011700"/>
      <w:bookmarkStart w:id="42" w:name="_Toc421011752"/>
      <w:r>
        <w:rPr>
          <w:rStyle w:val="CharDivNo"/>
        </w:rPr>
        <w:t>Division 2</w:t>
      </w:r>
      <w:r>
        <w:rPr>
          <w:snapToGrid w:val="0"/>
        </w:rPr>
        <w:t> — </w:t>
      </w:r>
      <w:r>
        <w:rPr>
          <w:rStyle w:val="CharDivText"/>
        </w:rPr>
        <w:t>Records of employment</w:t>
      </w:r>
      <w:bookmarkEnd w:id="40"/>
      <w:bookmarkEnd w:id="41"/>
      <w:bookmarkEnd w:id="42"/>
      <w:r>
        <w:rPr>
          <w:rStyle w:val="CharDivText"/>
        </w:rPr>
        <w:t xml:space="preserve"> </w:t>
      </w:r>
    </w:p>
    <w:p>
      <w:pPr>
        <w:pStyle w:val="Heading5"/>
        <w:rPr>
          <w:snapToGrid w:val="0"/>
        </w:rPr>
      </w:pPr>
      <w:bookmarkStart w:id="43" w:name="_Toc379207780"/>
      <w:bookmarkStart w:id="44" w:name="_Toc421011753"/>
      <w:r>
        <w:rPr>
          <w:rStyle w:val="CharSectno"/>
        </w:rPr>
        <w:t>26</w:t>
      </w:r>
      <w:r>
        <w:rPr>
          <w:snapToGrid w:val="0"/>
        </w:rPr>
        <w:t>.</w:t>
      </w:r>
      <w:r>
        <w:rPr>
          <w:snapToGrid w:val="0"/>
        </w:rPr>
        <w:tab/>
        <w:t>Keeping of employment records</w:t>
      </w:r>
      <w:bookmarkEnd w:id="43"/>
      <w:bookmarkEnd w:id="44"/>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No. 79 of 1995 s. 54; amended: No. 36 of 2006 s. 60.] </w:t>
      </w:r>
    </w:p>
    <w:p>
      <w:pPr>
        <w:pStyle w:val="Heading5"/>
        <w:rPr>
          <w:snapToGrid w:val="0"/>
        </w:rPr>
      </w:pPr>
      <w:bookmarkStart w:id="45" w:name="_Toc379207781"/>
      <w:bookmarkStart w:id="46" w:name="_Toc421011754"/>
      <w:r>
        <w:rPr>
          <w:rStyle w:val="CharSectno"/>
        </w:rPr>
        <w:t>26A</w:t>
      </w:r>
      <w:r>
        <w:rPr>
          <w:snapToGrid w:val="0"/>
        </w:rPr>
        <w:t>.</w:t>
      </w:r>
      <w:r>
        <w:rPr>
          <w:snapToGrid w:val="0"/>
        </w:rPr>
        <w:tab/>
        <w:t>Access to records kept by employer</w:t>
      </w:r>
      <w:bookmarkEnd w:id="45"/>
      <w:bookmarkEnd w:id="46"/>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No. 79 of 1995 s. 54; amended: No. 36 of 2006 s. 61.] </w:t>
      </w:r>
    </w:p>
    <w:p>
      <w:pPr>
        <w:pStyle w:val="Heading3"/>
      </w:pPr>
      <w:bookmarkStart w:id="47" w:name="_Toc379207782"/>
      <w:bookmarkStart w:id="48" w:name="_Toc421011703"/>
      <w:bookmarkStart w:id="49" w:name="_Toc421011755"/>
      <w:r>
        <w:rPr>
          <w:rStyle w:val="CharDivNo"/>
        </w:rPr>
        <w:t>Division 3</w:t>
      </w:r>
      <w:r>
        <w:t> — </w:t>
      </w:r>
      <w:r>
        <w:rPr>
          <w:rStyle w:val="CharDivText"/>
        </w:rPr>
        <w:t>Prohibition of employment during long service leave</w:t>
      </w:r>
      <w:bookmarkEnd w:id="47"/>
      <w:bookmarkEnd w:id="48"/>
      <w:bookmarkEnd w:id="49"/>
      <w:r>
        <w:rPr>
          <w:rStyle w:val="CharDivText"/>
        </w:rPr>
        <w:t xml:space="preserve"> </w:t>
      </w:r>
    </w:p>
    <w:p>
      <w:pPr>
        <w:pStyle w:val="Heading5"/>
        <w:rPr>
          <w:snapToGrid w:val="0"/>
        </w:rPr>
      </w:pPr>
      <w:bookmarkStart w:id="50" w:name="_Toc379207783"/>
      <w:bookmarkStart w:id="51" w:name="_Toc421011756"/>
      <w:r>
        <w:rPr>
          <w:rStyle w:val="CharSectno"/>
        </w:rPr>
        <w:t>27</w:t>
      </w:r>
      <w:r>
        <w:rPr>
          <w:snapToGrid w:val="0"/>
        </w:rPr>
        <w:t>.</w:t>
      </w:r>
      <w:r>
        <w:rPr>
          <w:snapToGrid w:val="0"/>
        </w:rPr>
        <w:tab/>
        <w:t>Prohibition of employment during long service leave</w:t>
      </w:r>
      <w:bookmarkEnd w:id="50"/>
      <w:bookmarkEnd w:id="51"/>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deleted: No. 79 of 1995 s. 55.]</w:t>
      </w:r>
    </w:p>
    <w:p>
      <w:pPr>
        <w:pStyle w:val="Ednotedivision"/>
        <w:tabs>
          <w:tab w:val="left" w:pos="1418"/>
        </w:tabs>
      </w:pPr>
      <w:r>
        <w:t>[Division 5:</w:t>
      </w:r>
      <w:r>
        <w:tab/>
        <w:t>s. 32-34 deleted: No. 79 of 1995 s. 56;</w:t>
      </w:r>
      <w:r>
        <w:br/>
      </w:r>
      <w:r>
        <w:tab/>
        <w:t>s. 35 and 36 deleted: No. 36 of 2006 s. 62.]</w:t>
      </w:r>
    </w:p>
    <w:p>
      <w:pPr>
        <w:pStyle w:val="Heading3"/>
      </w:pPr>
      <w:bookmarkStart w:id="52" w:name="_Toc379207784"/>
      <w:bookmarkStart w:id="53" w:name="_Toc421011705"/>
      <w:bookmarkStart w:id="54" w:name="_Toc421011757"/>
      <w:r>
        <w:rPr>
          <w:rStyle w:val="CharDivNo"/>
        </w:rPr>
        <w:t>Division 6</w:t>
      </w:r>
      <w:r>
        <w:t> — </w:t>
      </w:r>
      <w:r>
        <w:rPr>
          <w:rStyle w:val="CharDivText"/>
        </w:rPr>
        <w:t>Representation of parties in proceedings under this Act</w:t>
      </w:r>
      <w:bookmarkEnd w:id="52"/>
      <w:bookmarkEnd w:id="53"/>
      <w:bookmarkEnd w:id="54"/>
      <w:r>
        <w:rPr>
          <w:rStyle w:val="CharDivText"/>
        </w:rPr>
        <w:t xml:space="preserve"> </w:t>
      </w:r>
    </w:p>
    <w:p>
      <w:pPr>
        <w:pStyle w:val="Heading5"/>
        <w:rPr>
          <w:snapToGrid w:val="0"/>
        </w:rPr>
      </w:pPr>
      <w:bookmarkStart w:id="55" w:name="_Toc379207785"/>
      <w:bookmarkStart w:id="56" w:name="_Toc421011758"/>
      <w:r>
        <w:rPr>
          <w:rStyle w:val="CharSectno"/>
        </w:rPr>
        <w:t>37</w:t>
      </w:r>
      <w:r>
        <w:rPr>
          <w:snapToGrid w:val="0"/>
        </w:rPr>
        <w:t>.</w:t>
      </w:r>
      <w:r>
        <w:rPr>
          <w:snapToGrid w:val="0"/>
        </w:rPr>
        <w:tab/>
        <w:t>Representation of parties in proceedings under this Act</w:t>
      </w:r>
      <w:bookmarkEnd w:id="55"/>
      <w:bookmarkEnd w:id="56"/>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No. 79 of 1995 s. 58; No. 65 of 2003 s. 50; No. 21 of 2008 s. 676.] </w:t>
      </w:r>
    </w:p>
    <w:p>
      <w:pPr>
        <w:pStyle w:val="Heading3"/>
        <w:rPr>
          <w:snapToGrid w:val="0"/>
        </w:rPr>
      </w:pPr>
      <w:bookmarkStart w:id="57" w:name="_Toc379207786"/>
      <w:bookmarkStart w:id="58" w:name="_Toc421011707"/>
      <w:bookmarkStart w:id="59" w:name="_Toc421011759"/>
      <w:r>
        <w:rPr>
          <w:rStyle w:val="CharDivNo"/>
        </w:rPr>
        <w:t>Division 7</w:t>
      </w:r>
      <w:r>
        <w:rPr>
          <w:snapToGrid w:val="0"/>
        </w:rPr>
        <w:t> — </w:t>
      </w:r>
      <w:r>
        <w:rPr>
          <w:rStyle w:val="CharDivText"/>
        </w:rPr>
        <w:t>Regulations</w:t>
      </w:r>
      <w:bookmarkEnd w:id="57"/>
      <w:bookmarkEnd w:id="58"/>
      <w:bookmarkEnd w:id="59"/>
      <w:r>
        <w:rPr>
          <w:rStyle w:val="CharDivText"/>
        </w:rPr>
        <w:t xml:space="preserve"> </w:t>
      </w:r>
    </w:p>
    <w:p>
      <w:pPr>
        <w:pStyle w:val="Heading5"/>
        <w:rPr>
          <w:snapToGrid w:val="0"/>
        </w:rPr>
      </w:pPr>
      <w:bookmarkStart w:id="60" w:name="_Toc379207787"/>
      <w:bookmarkStart w:id="61" w:name="_Toc421011760"/>
      <w:r>
        <w:rPr>
          <w:rStyle w:val="CharSectno"/>
        </w:rPr>
        <w:t>38</w:t>
      </w:r>
      <w:r>
        <w:rPr>
          <w:snapToGrid w:val="0"/>
        </w:rPr>
        <w:t>.</w:t>
      </w:r>
      <w:r>
        <w:rPr>
          <w:snapToGrid w:val="0"/>
        </w:rPr>
        <w:tab/>
        <w:t>Regulation making power</w:t>
      </w:r>
      <w:bookmarkEnd w:id="60"/>
      <w:bookmarkEnd w:id="61"/>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No. 113 of 1965 s. 8; No. 79 of 1995 s. 59.] </w:t>
      </w:r>
    </w:p>
    <w:p>
      <w:pPr>
        <w:pStyle w:val="Heading5"/>
        <w:rPr>
          <w:snapToGrid w:val="0"/>
        </w:rPr>
      </w:pPr>
      <w:bookmarkStart w:id="62" w:name="_Toc379207788"/>
      <w:bookmarkStart w:id="63" w:name="_Toc421011761"/>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62"/>
      <w:bookmarkEnd w:id="63"/>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No. 79 of 1995 s. 60.] </w:t>
      </w: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4" w:name="_Toc379207789"/>
      <w:bookmarkStart w:id="65" w:name="_Toc421011710"/>
      <w:bookmarkStart w:id="66" w:name="_Toc421011762"/>
      <w:r>
        <w:t>Notes</w:t>
      </w:r>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79207790"/>
      <w:bookmarkStart w:id="68" w:name="_Toc421011763"/>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2273"/>
        <w:gridCol w:w="1118"/>
        <w:gridCol w:w="20"/>
        <w:gridCol w:w="1114"/>
        <w:gridCol w:w="11"/>
        <w:gridCol w:w="13"/>
        <w:gridCol w:w="2565"/>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8" w:type="dxa"/>
            <w:gridSpan w:val="3"/>
            <w:tcBorders>
              <w:top w:val="single" w:sz="8" w:space="0" w:color="auto"/>
              <w:bottom w:val="single" w:sz="8" w:space="0" w:color="auto"/>
            </w:tcBorders>
          </w:tcPr>
          <w:p>
            <w:pPr>
              <w:pStyle w:val="nTable"/>
              <w:spacing w:after="40"/>
              <w:rPr>
                <w:b/>
              </w:rPr>
            </w:pPr>
            <w:r>
              <w:rPr>
                <w:b/>
              </w:rPr>
              <w:t>Assent</w:t>
            </w:r>
          </w:p>
        </w:tc>
        <w:tc>
          <w:tcPr>
            <w:tcW w:w="2565"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Long Service Leave Act 1958</w:t>
            </w:r>
          </w:p>
        </w:tc>
        <w:tc>
          <w:tcPr>
            <w:tcW w:w="1138" w:type="dxa"/>
            <w:gridSpan w:val="2"/>
          </w:tcPr>
          <w:p>
            <w:pPr>
              <w:pStyle w:val="nTable"/>
              <w:spacing w:after="40"/>
            </w:pPr>
            <w:r>
              <w:t>44 of 1958</w:t>
            </w:r>
            <w:r>
              <w:br/>
              <w:t>(7 Eliz. II No. 44)</w:t>
            </w:r>
          </w:p>
        </w:tc>
        <w:tc>
          <w:tcPr>
            <w:tcW w:w="1138" w:type="dxa"/>
            <w:gridSpan w:val="3"/>
          </w:tcPr>
          <w:p>
            <w:pPr>
              <w:pStyle w:val="nTable"/>
              <w:spacing w:after="40"/>
            </w:pPr>
            <w:r>
              <w:t>12 Dec 1958</w:t>
            </w:r>
          </w:p>
        </w:tc>
        <w:tc>
          <w:tcPr>
            <w:tcW w:w="2565" w:type="dxa"/>
          </w:tcPr>
          <w:p>
            <w:pPr>
              <w:pStyle w:val="nTable"/>
              <w:spacing w:after="40"/>
            </w:pPr>
            <w:r>
              <w:t xml:space="preserve">24 Dec 1958 (see s. 2 and </w:t>
            </w:r>
            <w:r>
              <w:rPr>
                <w:i/>
              </w:rPr>
              <w:t>Gazette</w:t>
            </w:r>
            <w:r>
              <w:t xml:space="preserve"> 24 Dec 1958 p. 3371)</w:t>
            </w:r>
          </w:p>
        </w:tc>
      </w:tr>
      <w:tr>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c>
          <w:tcPr>
            <w:tcW w:w="2273" w:type="dxa"/>
          </w:tcPr>
          <w:p>
            <w:pPr>
              <w:pStyle w:val="nTable"/>
              <w:spacing w:after="40"/>
              <w:rPr>
                <w:i/>
              </w:rPr>
            </w:pPr>
            <w:r>
              <w:rPr>
                <w:i/>
              </w:rPr>
              <w:t>Long Service Leave Act Amendment Act (No. 2) 1964</w:t>
            </w:r>
          </w:p>
        </w:tc>
        <w:tc>
          <w:tcPr>
            <w:tcW w:w="1138" w:type="dxa"/>
            <w:gridSpan w:val="2"/>
          </w:tcPr>
          <w:p>
            <w:pPr>
              <w:pStyle w:val="nTable"/>
              <w:spacing w:after="40"/>
            </w:pPr>
            <w:r>
              <w:t>37 of 1964</w:t>
            </w:r>
            <w:r>
              <w:br/>
              <w:t>(13 Eliz. II No. 37)</w:t>
            </w:r>
          </w:p>
        </w:tc>
        <w:tc>
          <w:tcPr>
            <w:tcW w:w="1138" w:type="dxa"/>
            <w:gridSpan w:val="3"/>
          </w:tcPr>
          <w:p>
            <w:pPr>
              <w:pStyle w:val="nTable"/>
              <w:spacing w:after="40"/>
            </w:pPr>
            <w:r>
              <w:t>12 Nov 1964</w:t>
            </w:r>
          </w:p>
        </w:tc>
        <w:tc>
          <w:tcPr>
            <w:tcW w:w="2565" w:type="dxa"/>
          </w:tcPr>
          <w:p>
            <w:pPr>
              <w:pStyle w:val="nTable"/>
              <w:spacing w:after="40"/>
            </w:pPr>
            <w:r>
              <w:t>12 Nov 1964</w:t>
            </w:r>
          </w:p>
        </w:tc>
      </w:tr>
      <w:tr>
        <w:tc>
          <w:tcPr>
            <w:tcW w:w="2273" w:type="dxa"/>
          </w:tcPr>
          <w:p>
            <w:pPr>
              <w:pStyle w:val="nTable"/>
              <w:spacing w:after="40"/>
              <w:rPr>
                <w:i/>
              </w:rPr>
            </w:pPr>
            <w:r>
              <w:rPr>
                <w:i/>
              </w:rPr>
              <w:t>Decimal Currency Act 1965</w:t>
            </w:r>
          </w:p>
        </w:tc>
        <w:tc>
          <w:tcPr>
            <w:tcW w:w="1138" w:type="dxa"/>
            <w:gridSpan w:val="2"/>
          </w:tcPr>
          <w:p>
            <w:pPr>
              <w:pStyle w:val="nTable"/>
              <w:spacing w:after="40"/>
            </w:pPr>
            <w:r>
              <w:t>113 of 1965</w:t>
            </w:r>
          </w:p>
        </w:tc>
        <w:tc>
          <w:tcPr>
            <w:tcW w:w="1138" w:type="dxa"/>
            <w:gridSpan w:val="3"/>
          </w:tcPr>
          <w:p>
            <w:pPr>
              <w:pStyle w:val="nTable"/>
              <w:spacing w:after="40"/>
            </w:pPr>
            <w:r>
              <w:t>21 Dec 1965</w:t>
            </w:r>
          </w:p>
        </w:tc>
        <w:tc>
          <w:tcPr>
            <w:tcW w:w="2565" w:type="dxa"/>
          </w:tcPr>
          <w:p>
            <w:pPr>
              <w:pStyle w:val="nTable"/>
              <w:spacing w:after="40"/>
            </w:pPr>
            <w:r>
              <w:t>Act other than s. 4-9: 21 Dec 1965 (see s. 2(1));</w:t>
            </w:r>
            <w:r>
              <w:br/>
              <w:t>s. 4-9: 14 Feb 1966 (see s. 2(2))</w:t>
            </w:r>
          </w:p>
        </w:tc>
      </w:tr>
      <w:tr>
        <w:tc>
          <w:tcPr>
            <w:tcW w:w="2273" w:type="dxa"/>
          </w:tcPr>
          <w:p>
            <w:pPr>
              <w:pStyle w:val="nTable"/>
              <w:spacing w:after="40"/>
            </w:pPr>
            <w:r>
              <w:rPr>
                <w:i/>
              </w:rPr>
              <w:t>Long Service Leave Act Amendment Act 1973</w:t>
            </w:r>
          </w:p>
        </w:tc>
        <w:tc>
          <w:tcPr>
            <w:tcW w:w="1138" w:type="dxa"/>
            <w:gridSpan w:val="2"/>
          </w:tcPr>
          <w:p>
            <w:pPr>
              <w:pStyle w:val="nTable"/>
              <w:spacing w:after="40"/>
            </w:pPr>
            <w:r>
              <w:t>97 of 1973</w:t>
            </w:r>
          </w:p>
        </w:tc>
        <w:tc>
          <w:tcPr>
            <w:tcW w:w="1138" w:type="dxa"/>
            <w:gridSpan w:val="3"/>
          </w:tcPr>
          <w:p>
            <w:pPr>
              <w:pStyle w:val="nTable"/>
              <w:spacing w:after="40"/>
            </w:pPr>
            <w:r>
              <w:t>27 Dec 1973</w:t>
            </w:r>
          </w:p>
        </w:tc>
        <w:tc>
          <w:tcPr>
            <w:tcW w:w="2565" w:type="dxa"/>
          </w:tcPr>
          <w:p>
            <w:pPr>
              <w:pStyle w:val="nTable"/>
              <w:spacing w:after="40"/>
            </w:pPr>
            <w:r>
              <w:t xml:space="preserve">1 Mar 1974 (see s. 2 and </w:t>
            </w:r>
            <w:r>
              <w:rPr>
                <w:i/>
              </w:rPr>
              <w:t>Gazette</w:t>
            </w:r>
            <w:r>
              <w:t xml:space="preserve"> 1 Mar 1974 p. 648)</w:t>
            </w:r>
          </w:p>
        </w:tc>
      </w:tr>
      <w:tr>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c>
          <w:tcPr>
            <w:tcW w:w="2273" w:type="dxa"/>
          </w:tcPr>
          <w:p>
            <w:pPr>
              <w:pStyle w:val="nTable"/>
              <w:spacing w:after="40"/>
            </w:pPr>
            <w:r>
              <w:rPr>
                <w:i/>
              </w:rPr>
              <w:t>Acts Amendment (Industrial Magistrate’s Courts) Act 1991</w:t>
            </w:r>
            <w:r>
              <w:t xml:space="preserve"> Pt. 4</w:t>
            </w:r>
          </w:p>
        </w:tc>
        <w:tc>
          <w:tcPr>
            <w:tcW w:w="1138" w:type="dxa"/>
            <w:gridSpan w:val="2"/>
          </w:tcPr>
          <w:p>
            <w:pPr>
              <w:pStyle w:val="nTable"/>
              <w:spacing w:after="40"/>
            </w:pPr>
            <w:r>
              <w:t>44 of 1991</w:t>
            </w:r>
          </w:p>
        </w:tc>
        <w:tc>
          <w:tcPr>
            <w:tcW w:w="1138" w:type="dxa"/>
            <w:gridSpan w:val="3"/>
          </w:tcPr>
          <w:p>
            <w:pPr>
              <w:pStyle w:val="nTable"/>
              <w:spacing w:after="40"/>
            </w:pPr>
            <w:r>
              <w:t>17 Dec 1991</w:t>
            </w:r>
          </w:p>
        </w:tc>
        <w:tc>
          <w:tcPr>
            <w:tcW w:w="2565" w:type="dxa"/>
          </w:tcPr>
          <w:p>
            <w:pPr>
              <w:pStyle w:val="nTable"/>
              <w:spacing w:after="40"/>
            </w:pPr>
            <w:r>
              <w:t xml:space="preserve">3 Jan 1992 (see s. 2 and </w:t>
            </w:r>
            <w:r>
              <w:rPr>
                <w:i/>
              </w:rPr>
              <w:t>Gazette</w:t>
            </w:r>
            <w:r>
              <w:t xml:space="preserve"> 3 Jan 1992 p. 41)</w:t>
            </w:r>
          </w:p>
        </w:tc>
      </w:tr>
      <w:tr>
        <w:tc>
          <w:tcPr>
            <w:tcW w:w="2273" w:type="dxa"/>
          </w:tcPr>
          <w:p>
            <w:pPr>
              <w:pStyle w:val="nTable"/>
              <w:spacing w:after="40"/>
            </w:pPr>
            <w:r>
              <w:rPr>
                <w:i/>
              </w:rPr>
              <w:t>Industrial Relations Legislation Amendment and Repeal Act 1995</w:t>
            </w:r>
            <w:r>
              <w:t xml:space="preserve"> Pt. 8 </w:t>
            </w:r>
            <w:r>
              <w:rPr>
                <w:vertAlign w:val="superscript"/>
              </w:rPr>
              <w:t>5</w:t>
            </w:r>
          </w:p>
        </w:tc>
        <w:tc>
          <w:tcPr>
            <w:tcW w:w="1138" w:type="dxa"/>
            <w:gridSpan w:val="2"/>
          </w:tcPr>
          <w:p>
            <w:pPr>
              <w:pStyle w:val="nTable"/>
              <w:spacing w:after="40"/>
            </w:pPr>
            <w:r>
              <w:t>79 of 1995</w:t>
            </w:r>
          </w:p>
        </w:tc>
        <w:tc>
          <w:tcPr>
            <w:tcW w:w="1138" w:type="dxa"/>
            <w:gridSpan w:val="3"/>
          </w:tcPr>
          <w:p>
            <w:pPr>
              <w:pStyle w:val="nTable"/>
              <w:spacing w:after="40"/>
            </w:pPr>
            <w:r>
              <w:t>16 Jan 1996</w:t>
            </w:r>
          </w:p>
        </w:tc>
        <w:tc>
          <w:tcPr>
            <w:tcW w:w="2565" w:type="dxa"/>
          </w:tcPr>
          <w:p>
            <w:pPr>
              <w:pStyle w:val="nTable"/>
              <w:spacing w:after="40"/>
            </w:pPr>
            <w:r>
              <w:t>16 Jan 1996 (see s. 3(1))</w:t>
            </w:r>
          </w:p>
        </w:tc>
      </w:tr>
      <w:tr>
        <w:tc>
          <w:tcPr>
            <w:tcW w:w="2273" w:type="dxa"/>
          </w:tcPr>
          <w:p>
            <w:pPr>
              <w:pStyle w:val="nTable"/>
              <w:spacing w:after="40"/>
            </w:pPr>
            <w:r>
              <w:rPr>
                <w:i/>
              </w:rPr>
              <w:t>Labour Relations Reform Act 2002</w:t>
            </w:r>
            <w:r>
              <w:t xml:space="preserve"> s. 20</w:t>
            </w:r>
          </w:p>
        </w:tc>
        <w:tc>
          <w:tcPr>
            <w:tcW w:w="1138" w:type="dxa"/>
            <w:gridSpan w:val="2"/>
          </w:tcPr>
          <w:p>
            <w:pPr>
              <w:pStyle w:val="nTable"/>
              <w:spacing w:after="40"/>
            </w:pPr>
            <w:r>
              <w:t>20 of 2002</w:t>
            </w:r>
          </w:p>
        </w:tc>
        <w:tc>
          <w:tcPr>
            <w:tcW w:w="1138" w:type="dxa"/>
            <w:gridSpan w:val="3"/>
          </w:tcPr>
          <w:p>
            <w:pPr>
              <w:pStyle w:val="nTable"/>
              <w:spacing w:after="40"/>
            </w:pPr>
            <w:r>
              <w:t>8 Jul 2002</w:t>
            </w:r>
          </w:p>
        </w:tc>
        <w:tc>
          <w:tcPr>
            <w:tcW w:w="2565" w:type="dxa"/>
          </w:tcPr>
          <w:p>
            <w:pPr>
              <w:pStyle w:val="nTable"/>
              <w:spacing w:after="40"/>
            </w:pPr>
            <w:r>
              <w:t xml:space="preserve">15 Sep 2002 (see s. 2(1) and </w:t>
            </w:r>
            <w:r>
              <w:rPr>
                <w:i/>
              </w:rPr>
              <w:t>Gazette</w:t>
            </w:r>
            <w:r>
              <w:t xml:space="preserve"> 6 Sep 2002 p. 4487)</w:t>
            </w:r>
          </w:p>
        </w:tc>
      </w:tr>
      <w:tr>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rPr>
          <w:cantSplit/>
        </w:trPr>
        <w:tc>
          <w:tcPr>
            <w:tcW w:w="4549" w:type="dxa"/>
            <w:gridSpan w:val="6"/>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65" w:type="dxa"/>
          </w:tcPr>
          <w:p>
            <w:pPr>
              <w:pStyle w:val="nTable"/>
              <w:spacing w:after="40"/>
            </w:pPr>
            <w:r>
              <w:rPr>
                <w:spacing w:val="-2"/>
              </w:rPr>
              <w:t>15 Sep 2003 (see r. 2)</w:t>
            </w:r>
          </w:p>
        </w:tc>
      </w:tr>
      <w:tr>
        <w:tc>
          <w:tcPr>
            <w:tcW w:w="2273" w:type="dxa"/>
          </w:tcPr>
          <w:p>
            <w:pPr>
              <w:pStyle w:val="nTable"/>
              <w:spacing w:after="40"/>
            </w:pPr>
            <w:r>
              <w:rPr>
                <w:i/>
              </w:rPr>
              <w:t>Acts Amendment and Repeal (Courts and Legal Practice) Act 2003</w:t>
            </w:r>
            <w:r>
              <w:t xml:space="preserve"> s. 50</w:t>
            </w:r>
          </w:p>
        </w:tc>
        <w:tc>
          <w:tcPr>
            <w:tcW w:w="1138" w:type="dxa"/>
            <w:gridSpan w:val="2"/>
          </w:tcPr>
          <w:p>
            <w:pPr>
              <w:pStyle w:val="nTable"/>
              <w:spacing w:after="40"/>
            </w:pPr>
            <w:r>
              <w:t>65 of 2003</w:t>
            </w:r>
          </w:p>
        </w:tc>
        <w:tc>
          <w:tcPr>
            <w:tcW w:w="1138" w:type="dxa"/>
            <w:gridSpan w:val="3"/>
          </w:tcPr>
          <w:p>
            <w:pPr>
              <w:pStyle w:val="nTable"/>
              <w:spacing w:after="40"/>
            </w:pPr>
            <w:r>
              <w:t>4 Dec 2003</w:t>
            </w:r>
          </w:p>
        </w:tc>
        <w:tc>
          <w:tcPr>
            <w:tcW w:w="2565" w:type="dxa"/>
          </w:tcPr>
          <w:p>
            <w:pPr>
              <w:pStyle w:val="nTable"/>
              <w:spacing w:after="40"/>
            </w:pPr>
            <w:r>
              <w:t xml:space="preserve">1 Jan 2004 (see s. 2 and </w:t>
            </w:r>
            <w:r>
              <w:rPr>
                <w:i/>
              </w:rPr>
              <w:t>Gazette</w:t>
            </w:r>
            <w:r>
              <w:t xml:space="preserve"> 30 Dec 2003 p. 5722)</w:t>
            </w:r>
          </w:p>
        </w:tc>
      </w:tr>
      <w:tr>
        <w:tc>
          <w:tcPr>
            <w:tcW w:w="2273" w:type="dxa"/>
          </w:tcPr>
          <w:p>
            <w:pPr>
              <w:pStyle w:val="nTable"/>
              <w:keepNext/>
              <w:keepLines/>
              <w:spacing w:after="40"/>
              <w:rPr>
                <w:i/>
              </w:rPr>
            </w:pPr>
            <w:r>
              <w:rPr>
                <w:i/>
                <w:snapToGrid w:val="0"/>
              </w:rPr>
              <w:t>Courts Legislation Amendment and Repeal Act 2004</w:t>
            </w:r>
            <w:r>
              <w:rPr>
                <w:snapToGrid w:val="0"/>
              </w:rPr>
              <w:t xml:space="preserve"> s. 141</w:t>
            </w:r>
          </w:p>
        </w:tc>
        <w:tc>
          <w:tcPr>
            <w:tcW w:w="1138" w:type="dxa"/>
            <w:gridSpan w:val="2"/>
          </w:tcPr>
          <w:p>
            <w:pPr>
              <w:pStyle w:val="nTable"/>
              <w:keepNext/>
              <w:keepLines/>
              <w:spacing w:after="40"/>
            </w:pPr>
            <w:r>
              <w:rPr>
                <w:snapToGrid w:val="0"/>
              </w:rPr>
              <w:t>59 of 2004</w:t>
            </w:r>
          </w:p>
        </w:tc>
        <w:tc>
          <w:tcPr>
            <w:tcW w:w="1138" w:type="dxa"/>
            <w:gridSpan w:val="3"/>
          </w:tcPr>
          <w:p>
            <w:pPr>
              <w:pStyle w:val="nTable"/>
              <w:keepNext/>
              <w:keepLines/>
              <w:spacing w:after="40"/>
            </w:pPr>
            <w:r>
              <w:t>23 Nov 2004</w:t>
            </w:r>
          </w:p>
        </w:tc>
        <w:tc>
          <w:tcPr>
            <w:tcW w:w="2565"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c>
          <w:tcPr>
            <w:tcW w:w="2273" w:type="dxa"/>
          </w:tcPr>
          <w:p>
            <w:pPr>
              <w:pStyle w:val="nTable"/>
              <w:spacing w:after="40"/>
              <w:rPr>
                <w:i/>
                <w:snapToGrid w:val="0"/>
              </w:rPr>
            </w:pPr>
            <w:r>
              <w:rPr>
                <w:i/>
                <w:snapToGrid w:val="0"/>
              </w:rPr>
              <w:t>Labour Relations Legislation Amendment Act 2006</w:t>
            </w:r>
            <w:r>
              <w:rPr>
                <w:snapToGrid w:val="0"/>
              </w:rPr>
              <w:t xml:space="preserve"> Pt. 7 Div. 2 </w:t>
            </w:r>
            <w:r>
              <w:rPr>
                <w:snapToGrid w:val="0"/>
                <w:vertAlign w:val="superscript"/>
              </w:rPr>
              <w:t>6</w:t>
            </w:r>
          </w:p>
        </w:tc>
        <w:tc>
          <w:tcPr>
            <w:tcW w:w="1138" w:type="dxa"/>
            <w:gridSpan w:val="2"/>
          </w:tcPr>
          <w:p>
            <w:pPr>
              <w:pStyle w:val="nTable"/>
              <w:spacing w:after="40"/>
              <w:rPr>
                <w:snapToGrid w:val="0"/>
              </w:rPr>
            </w:pPr>
            <w:r>
              <w:rPr>
                <w:snapToGrid w:val="0"/>
              </w:rPr>
              <w:t>36 of 2006</w:t>
            </w:r>
          </w:p>
        </w:tc>
        <w:tc>
          <w:tcPr>
            <w:tcW w:w="1138" w:type="dxa"/>
            <w:gridSpan w:val="3"/>
          </w:tcPr>
          <w:p>
            <w:pPr>
              <w:pStyle w:val="nTable"/>
              <w:spacing w:after="40"/>
            </w:pPr>
            <w:r>
              <w:t>4 Jul 2006</w:t>
            </w:r>
          </w:p>
        </w:tc>
        <w:tc>
          <w:tcPr>
            <w:tcW w:w="2565" w:type="dxa"/>
          </w:tcPr>
          <w:p>
            <w:pPr>
              <w:pStyle w:val="nTable"/>
              <w:spacing w:after="40"/>
              <w:rPr>
                <w:snapToGrid w:val="0"/>
              </w:rPr>
            </w:pPr>
            <w:r>
              <w:rPr>
                <w:snapToGrid w:val="0"/>
              </w:rPr>
              <w:t>4 Jul 2006 (see s. 2(1))</w:t>
            </w:r>
          </w:p>
        </w:tc>
      </w:tr>
      <w:tr>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8" w:type="dxa"/>
            <w:tcBorders>
              <w:top w:val="nil"/>
              <w:bottom w:val="nil"/>
            </w:tcBorders>
          </w:tcPr>
          <w:p>
            <w:pPr>
              <w:pStyle w:val="nTable"/>
              <w:spacing w:after="40"/>
              <w:rPr>
                <w:snapToGrid w:val="0"/>
              </w:rPr>
            </w:pPr>
            <w:r>
              <w:rPr>
                <w:snapToGrid w:val="0"/>
              </w:rPr>
              <w:t>21 of 2008</w:t>
            </w:r>
          </w:p>
        </w:tc>
        <w:tc>
          <w:tcPr>
            <w:tcW w:w="1134" w:type="dxa"/>
            <w:gridSpan w:val="2"/>
            <w:tcBorders>
              <w:top w:val="nil"/>
              <w:bottom w:val="nil"/>
            </w:tcBorders>
          </w:tcPr>
          <w:p>
            <w:pPr>
              <w:pStyle w:val="nTable"/>
              <w:spacing w:after="40"/>
              <w:rPr>
                <w:snapToGrid w:val="0"/>
              </w:rPr>
            </w:pPr>
            <w:r>
              <w:rPr>
                <w:snapToGrid w:val="0"/>
              </w:rPr>
              <w:t>27 May 2008</w:t>
            </w:r>
          </w:p>
        </w:tc>
        <w:tc>
          <w:tcPr>
            <w:tcW w:w="2589"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8" w:type="dxa"/>
            <w:tcBorders>
              <w:top w:val="nil"/>
              <w:bottom w:val="nil"/>
            </w:tcBorders>
          </w:tcPr>
          <w:p>
            <w:pPr>
              <w:pStyle w:val="nTable"/>
              <w:spacing w:after="40"/>
              <w:rPr>
                <w:snapToGrid w:val="0"/>
              </w:rPr>
            </w:pPr>
            <w:r>
              <w:rPr>
                <w:snapToGrid w:val="0"/>
              </w:rPr>
              <w:t>44 of 2008</w:t>
            </w:r>
          </w:p>
        </w:tc>
        <w:tc>
          <w:tcPr>
            <w:tcW w:w="1134" w:type="dxa"/>
            <w:gridSpan w:val="2"/>
            <w:tcBorders>
              <w:top w:val="nil"/>
              <w:bottom w:val="nil"/>
            </w:tcBorders>
          </w:tcPr>
          <w:p>
            <w:pPr>
              <w:pStyle w:val="nTable"/>
              <w:spacing w:after="40"/>
              <w:rPr>
                <w:snapToGrid w:val="0"/>
              </w:rPr>
            </w:pPr>
            <w:r>
              <w:rPr>
                <w:snapToGrid w:val="0"/>
              </w:rPr>
              <w:t>10 Dec 2003</w:t>
            </w:r>
          </w:p>
        </w:tc>
        <w:tc>
          <w:tcPr>
            <w:tcW w:w="2589" w:type="dxa"/>
            <w:gridSpan w:val="3"/>
            <w:tcBorders>
              <w:top w:val="nil"/>
              <w:bottom w:val="nil"/>
            </w:tcBorders>
          </w:tcPr>
          <w:p>
            <w:pPr>
              <w:pStyle w:val="nTable"/>
              <w:spacing w:after="40"/>
              <w:rPr>
                <w:snapToGrid w:val="0"/>
                <w:spacing w:val="-2"/>
              </w:rPr>
            </w:pPr>
            <w:r>
              <w:rPr>
                <w:snapToGrid w:val="0"/>
                <w:spacing w:val="-2"/>
              </w:rPr>
              <w:t>10 Jun 2009 (see s. 2(2))</w:t>
            </w:r>
          </w:p>
        </w:tc>
      </w:tr>
      <w:tr>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8" w:type="dxa"/>
            <w:tcBorders>
              <w:bottom w:val="single" w:sz="4" w:space="0" w:color="auto"/>
            </w:tcBorders>
          </w:tcPr>
          <w:p>
            <w:pPr>
              <w:pStyle w:val="nTable"/>
              <w:spacing w:after="40"/>
              <w:rPr>
                <w:snapToGrid w:val="0"/>
              </w:rPr>
            </w:pPr>
            <w:r>
              <w:rPr>
                <w:snapToGrid w:val="0"/>
              </w:rPr>
              <w:t>19 of 2010</w:t>
            </w:r>
          </w:p>
        </w:tc>
        <w:tc>
          <w:tcPr>
            <w:tcW w:w="1145" w:type="dxa"/>
            <w:gridSpan w:val="3"/>
            <w:tcBorders>
              <w:bottom w:val="single" w:sz="4" w:space="0" w:color="auto"/>
            </w:tcBorders>
          </w:tcPr>
          <w:p>
            <w:pPr>
              <w:pStyle w:val="nTable"/>
              <w:spacing w:after="40"/>
              <w:rPr>
                <w:snapToGrid w:val="0"/>
              </w:rPr>
            </w:pPr>
            <w:r>
              <w:rPr>
                <w:snapToGrid w:val="0"/>
              </w:rPr>
              <w:t>28 Jun 2010</w:t>
            </w:r>
          </w:p>
        </w:tc>
        <w:tc>
          <w:tcPr>
            <w:tcW w:w="2578"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70" w:name="_Toc421011764"/>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apprentice</w:t>
      </w:r>
      <w:r>
        <w:tab/>
        <w:t>4(1)</w:t>
      </w:r>
    </w:p>
    <w:p>
      <w:pPr>
        <w:pStyle w:val="DefinedTerms"/>
      </w:pPr>
      <w:r>
        <w:t>award</w:t>
      </w:r>
      <w:r>
        <w:tab/>
        <w:t>4(1)</w:t>
      </w:r>
    </w:p>
    <w:p>
      <w:pPr>
        <w:pStyle w:val="DefinedTerms"/>
      </w:pPr>
      <w:r>
        <w:t>business</w:t>
      </w:r>
      <w:r>
        <w:tab/>
        <w:t>4(1)</w:t>
      </w:r>
    </w:p>
    <w:p>
      <w:pPr>
        <w:pStyle w:val="DefinedTerms"/>
      </w:pPr>
      <w:r>
        <w:t>commencement day</w:t>
      </w:r>
      <w:r>
        <w:tab/>
        <w:t>8(10)</w:t>
      </w:r>
    </w:p>
    <w:p>
      <w:pPr>
        <w:pStyle w:val="DefinedTerms"/>
      </w:pPr>
      <w:r>
        <w:t>employee</w:t>
      </w:r>
      <w:r>
        <w:tab/>
        <w:t>4(1)</w:t>
      </w:r>
    </w:p>
    <w:p>
      <w:pPr>
        <w:pStyle w:val="DefinedTerms"/>
      </w:pPr>
      <w:r>
        <w:t>employer</w:t>
      </w:r>
      <w:r>
        <w:tab/>
        <w:t>4(1)</w:t>
      </w:r>
    </w:p>
    <w:p>
      <w:pPr>
        <w:pStyle w:val="DefinedTerms"/>
      </w:pPr>
      <w:r>
        <w:t>industrial agreement</w:t>
      </w:r>
      <w:r>
        <w:tab/>
        <w:t>4(1)</w:t>
      </w:r>
    </w:p>
    <w:p>
      <w:pPr>
        <w:pStyle w:val="DefinedTerms"/>
      </w:pPr>
      <w:r>
        <w:t>industrial inspector</w:t>
      </w:r>
      <w:r>
        <w:tab/>
        <w:t>4(1)</w:t>
      </w:r>
    </w:p>
    <w:p>
      <w:pPr>
        <w:pStyle w:val="DefinedTerms"/>
      </w:pPr>
      <w:r>
        <w:t>industrial magistrate’s court</w:t>
      </w:r>
      <w:r>
        <w:tab/>
        <w:t>4(1)</w:t>
      </w:r>
    </w:p>
    <w:p>
      <w:pPr>
        <w:pStyle w:val="DefinedTerms"/>
      </w:pPr>
      <w:r>
        <w:t>ordinary pay</w:t>
      </w:r>
      <w:r>
        <w:tab/>
        <w:t>4(1)</w:t>
      </w:r>
    </w:p>
    <w:p>
      <w:pPr>
        <w:pStyle w:val="DefinedTerms"/>
      </w:pPr>
      <w:r>
        <w:t>the transmittee</w:t>
      </w:r>
      <w:r>
        <w:tab/>
        <w:t>6(4)</w:t>
      </w:r>
    </w:p>
    <w:p>
      <w:pPr>
        <w:pStyle w:val="DefinedTerms"/>
      </w:pPr>
      <w:r>
        <w:t>the transmittor</w:t>
      </w:r>
      <w:r>
        <w:tab/>
        <w:t>6(4)</w:t>
      </w:r>
    </w:p>
    <w:p>
      <w:pPr>
        <w:pStyle w:val="DefinedTerms"/>
      </w:pPr>
      <w:r>
        <w:t>transmission</w:t>
      </w:r>
      <w:r>
        <w:tab/>
        <w:t>6(5)</w:t>
      </w:r>
    </w:p>
    <w:p>
      <w:pPr>
        <w:pStyle w:val="DefinedTerms"/>
      </w:pPr>
      <w:r>
        <w:t>transmitted</w:t>
      </w:r>
      <w:r>
        <w:tab/>
        <w:t>6(5)</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lvlText w:val="%1."/>
      <w:lvlJc w:val="left"/>
      <w:pPr>
        <w:tabs>
          <w:tab w:val="num" w:pos="1492"/>
        </w:tabs>
        <w:ind w:left="1492" w:hanging="360"/>
      </w:pPr>
    </w:lvl>
  </w:abstractNum>
  <w:abstractNum w:abstractNumId="1">
    <w:nsid w:val="FFFFFF7D"/>
    <w:multiLevelType w:val="singleLevel"/>
    <w:tmpl w:val="8042C362"/>
    <w:lvl w:ilvl="0">
      <w:start w:val="1"/>
      <w:numFmt w:val="decimal"/>
      <w:lvlText w:val="%1."/>
      <w:lvlJc w:val="left"/>
      <w:pPr>
        <w:tabs>
          <w:tab w:val="num" w:pos="1209"/>
        </w:tabs>
        <w:ind w:left="1209" w:hanging="360"/>
      </w:pPr>
    </w:lvl>
  </w:abstractNum>
  <w:abstractNum w:abstractNumId="2">
    <w:nsid w:val="FFFFFF7E"/>
    <w:multiLevelType w:val="singleLevel"/>
    <w:tmpl w:val="49E06E8C"/>
    <w:lvl w:ilvl="0">
      <w:start w:val="1"/>
      <w:numFmt w:val="decimal"/>
      <w:lvlText w:val="%1."/>
      <w:lvlJc w:val="left"/>
      <w:pPr>
        <w:tabs>
          <w:tab w:val="num" w:pos="926"/>
        </w:tabs>
        <w:ind w:left="926" w:hanging="360"/>
      </w:pPr>
    </w:lvl>
  </w:abstractNum>
  <w:abstractNum w:abstractNumId="3">
    <w:nsid w:val="FFFFFF7F"/>
    <w:multiLevelType w:val="singleLevel"/>
    <w:tmpl w:val="4F306670"/>
    <w:lvl w:ilvl="0">
      <w:start w:val="1"/>
      <w:numFmt w:val="decimal"/>
      <w:lvlText w:val="%1."/>
      <w:lvlJc w:val="left"/>
      <w:pPr>
        <w:tabs>
          <w:tab w:val="num" w:pos="643"/>
        </w:tabs>
        <w:ind w:left="643" w:hanging="360"/>
      </w:pPr>
    </w:lvl>
  </w:abstractNum>
  <w:abstractNum w:abstractNumId="4">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lvlText w:val="%1."/>
      <w:lvlJc w:val="left"/>
      <w:pPr>
        <w:tabs>
          <w:tab w:val="num" w:pos="360"/>
        </w:tabs>
        <w:ind w:left="360" w:hanging="360"/>
      </w:pPr>
    </w:lvl>
  </w:abstractNum>
  <w:abstractNum w:abstractNumId="9">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29"/>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6052</Words>
  <Characters>28687</Characters>
  <Application>Microsoft Office Word</Application>
  <DocSecurity>0</DocSecurity>
  <Lines>819</Lines>
  <Paragraphs>434</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1958 - 04-g0-05</dc:title>
  <dc:subject/>
  <dc:creator/>
  <cp:keywords/>
  <dc:description/>
  <cp:lastModifiedBy>svcMRProcess</cp:lastModifiedBy>
  <cp:revision>4</cp:revision>
  <cp:lastPrinted>2006-08-23T05:21:00Z</cp:lastPrinted>
  <dcterms:created xsi:type="dcterms:W3CDTF">2019-01-24T03:24:00Z</dcterms:created>
  <dcterms:modified xsi:type="dcterms:W3CDTF">2019-01-24T03:24:00Z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04-g0-05</vt:lpwstr>
  </property>
</Properties>
</file>