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Maritime Archaeology Act 1973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Maritime Archaeology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_Toc379268143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_Toc379268144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_Toc379268145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Maritime archaeological sites</w:t>
      </w:r>
      <w:r>
        <w:tab/>
      </w:r>
      <w:r>
        <w:fldChar w:fldCharType="begin"/>
      </w:r>
      <w:r>
        <w:instrText xml:space="preserve"> PAGEREF _Toc379268146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does not apply to specified sites or objects</w:t>
      </w:r>
      <w:r>
        <w:tab/>
      </w:r>
      <w:r>
        <w:fldChar w:fldCharType="begin"/>
      </w:r>
      <w:r>
        <w:instrText xml:space="preserve"> PAGEREF _Toc379268147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Vesting of ships and sites</w:t>
      </w:r>
      <w:r>
        <w:tab/>
      </w:r>
      <w:r>
        <w:fldChar w:fldCharType="begin"/>
      </w:r>
      <w:r>
        <w:instrText xml:space="preserve"> PAGEREF _Toc379268148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Compensation and prior vesting</w:t>
      </w:r>
      <w:r>
        <w:tab/>
      </w:r>
      <w:r>
        <w:fldChar w:fldCharType="begin"/>
      </w:r>
      <w:r>
        <w:instrText xml:space="preserve"> PAGEREF _Toc379268149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Offences</w:t>
      </w:r>
      <w:r>
        <w:tab/>
      </w:r>
      <w:r>
        <w:fldChar w:fldCharType="begin"/>
      </w:r>
      <w:r>
        <w:instrText xml:space="preserve"> PAGEREF _Toc379268150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Protected zones</w:t>
      </w:r>
      <w:r>
        <w:tab/>
      </w:r>
      <w:r>
        <w:fldChar w:fldCharType="begin"/>
      </w:r>
      <w:r>
        <w:instrText xml:space="preserve"> PAGEREF _Toc379268151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w:t>
      </w:r>
      <w:r>
        <w:tab/>
      </w:r>
      <w:r>
        <w:fldChar w:fldCharType="begin"/>
      </w:r>
      <w:r>
        <w:instrText xml:space="preserve"> PAGEREF _Toc379268152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Seizure</w:t>
      </w:r>
      <w:r>
        <w:tab/>
      </w:r>
      <w:r>
        <w:fldChar w:fldCharType="begin"/>
      </w:r>
      <w:r>
        <w:instrText xml:space="preserve"> PAGEREF _Toc379268153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Forfeiture</w:t>
      </w:r>
      <w:r>
        <w:tab/>
      </w:r>
      <w:r>
        <w:fldChar w:fldCharType="begin"/>
      </w:r>
      <w:r>
        <w:instrText xml:space="preserve"> PAGEREF _Toc379268154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may order payment of value</w:t>
      </w:r>
      <w:r>
        <w:tab/>
      </w:r>
      <w:r>
        <w:fldChar w:fldCharType="begin"/>
      </w:r>
      <w:r>
        <w:instrText xml:space="preserve"> PAGEREF _Toc379268155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Reward for information as to offences</w:t>
      </w:r>
      <w:r>
        <w:tab/>
      </w:r>
      <w:r>
        <w:fldChar w:fldCharType="begin"/>
      </w:r>
      <w:r>
        <w:instrText xml:space="preserve"> PAGEREF _Toc379268156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Proceedings by Trustees relating to property</w:t>
      </w:r>
      <w:r>
        <w:tab/>
      </w:r>
      <w:r>
        <w:fldChar w:fldCharType="begin"/>
      </w:r>
      <w:r>
        <w:instrText xml:space="preserve"> PAGEREF _Toc379268157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Limitation period for prosecutions</w:t>
      </w:r>
      <w:r>
        <w:tab/>
      </w:r>
      <w:r>
        <w:fldChar w:fldCharType="begin"/>
      </w:r>
      <w:r>
        <w:instrText xml:space="preserve"> PAGEREF _Toc379268158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New finds</w:t>
      </w:r>
      <w:r>
        <w:tab/>
      </w:r>
      <w:r>
        <w:fldChar w:fldCharType="begin"/>
      </w:r>
      <w:r>
        <w:instrText xml:space="preserve"> PAGEREF _Toc379268159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Rewards as to ships and relics found</w:t>
      </w:r>
      <w:r>
        <w:tab/>
      </w:r>
      <w:r>
        <w:fldChar w:fldCharType="begin"/>
      </w:r>
      <w:r>
        <w:instrText xml:space="preserve"> PAGEREF _Toc379268160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Offences as to alleged finds</w:t>
      </w:r>
      <w:r>
        <w:tab/>
      </w:r>
      <w:r>
        <w:fldChar w:fldCharType="begin"/>
      </w:r>
      <w:r>
        <w:instrText xml:space="preserve"> PAGEREF _Toc379268161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Trustees’ powers</w:t>
      </w:r>
      <w:r>
        <w:tab/>
      </w:r>
      <w:r>
        <w:fldChar w:fldCharType="begin"/>
      </w:r>
      <w:r>
        <w:instrText xml:space="preserve"> PAGEREF _Toc379268162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disposal</w:t>
      </w:r>
      <w:r>
        <w:tab/>
      </w:r>
      <w:r>
        <w:fldChar w:fldCharType="begin"/>
      </w:r>
      <w:r>
        <w:instrText xml:space="preserve"> PAGEREF _Toc379268163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property to be made available to Trustees</w:t>
      </w:r>
      <w:r>
        <w:tab/>
      </w:r>
      <w:r>
        <w:fldChar w:fldCharType="begin"/>
      </w:r>
      <w:r>
        <w:instrText xml:space="preserve"> PAGEREF _Toc379268164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_Toc379268165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discoverers of ancient shipwrecks</w:t>
      </w:r>
      <w:r>
        <w:tab/>
      </w:r>
      <w:r>
        <w:fldChar w:fldCharType="begin"/>
      </w:r>
      <w:r>
        <w:instrText xml:space="preserve"> PAGEREF _Toc379268166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First Schedule — Ships notified under Museums Acts</w:t>
      </w:r>
    </w:p>
    <w:p>
      <w:pPr>
        <w:pStyle w:val="TOC2"/>
        <w:tabs>
          <w:tab w:val="right" w:leader="dot" w:pos="7086"/>
        </w:tabs>
        <w:rPr>
          <w:rFonts w:asciiTheme="minorHAnsi" w:eastAsiaTheme="minorEastAsia" w:hAnsiTheme="minorHAnsi" w:cstheme="minorBidi"/>
          <w:b w:val="0"/>
          <w:sz w:val="22"/>
          <w:szCs w:val="22"/>
        </w:rPr>
      </w:pPr>
      <w:r>
        <w:t>Second Schedule — Other ships from which relics are believed to have been recovered prior to 18 December 1964</w:t>
      </w:r>
    </w:p>
    <w:p>
      <w:pPr>
        <w:pStyle w:val="TOC2"/>
        <w:tabs>
          <w:tab w:val="right" w:leader="dot" w:pos="7086"/>
        </w:tabs>
        <w:rPr>
          <w:rFonts w:asciiTheme="minorHAnsi" w:eastAsiaTheme="minorEastAsia" w:hAnsiTheme="minorHAnsi" w:cstheme="minorBidi"/>
          <w:b w:val="0"/>
          <w:sz w:val="22"/>
          <w:szCs w:val="22"/>
        </w:rPr>
      </w:pPr>
      <w:r>
        <w:t>Third Schedule — Register of discoverers of ancient shipwrecks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_Toc379268171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_Toc379268172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spacing w:after="240"/>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37926814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2" w:name="_Toc379268144"/>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3" w:name="_Toc379268145"/>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spacing w:before="180"/>
        <w:rPr>
          <w:snapToGrid w:val="0"/>
        </w:rPr>
      </w:pPr>
      <w:bookmarkStart w:id="4" w:name="_Toc379268146"/>
      <w:r>
        <w:rPr>
          <w:rStyle w:val="CharSectno"/>
        </w:rPr>
        <w:t>4</w:t>
      </w:r>
      <w:r>
        <w:rPr>
          <w:snapToGrid w:val="0"/>
        </w:rPr>
        <w:t>.</w:t>
      </w:r>
      <w:r>
        <w:rPr>
          <w:snapToGrid w:val="0"/>
        </w:rPr>
        <w:tab/>
        <w:t>Maritime archaeological sites</w:t>
      </w:r>
      <w:bookmarkEnd w:id="4"/>
      <w:r>
        <w:rPr>
          <w:snapToGrid w:val="0"/>
        </w:rPr>
        <w:t xml:space="preserve"> </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spacing w:before="120"/>
        <w:rPr>
          <w:snapToGrid w:val="0"/>
        </w:rPr>
      </w:pPr>
      <w:r>
        <w:rPr>
          <w:snapToGrid w:val="0"/>
        </w:rPr>
        <w:tab/>
      </w:r>
      <w:r>
        <w:rPr>
          <w:snapToGrid w:val="0"/>
        </w:rPr>
        <w:tab/>
        <w:t>shall be a maritime archaeological site.</w:t>
      </w:r>
    </w:p>
    <w:p>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5" w:name="_Toc379268147"/>
      <w:r>
        <w:rPr>
          <w:rStyle w:val="CharSectno"/>
        </w:rPr>
        <w:t>5</w:t>
      </w:r>
      <w:r>
        <w:rPr>
          <w:snapToGrid w:val="0"/>
        </w:rPr>
        <w:t>.</w:t>
      </w:r>
      <w:r>
        <w:rPr>
          <w:snapToGrid w:val="0"/>
        </w:rPr>
        <w:tab/>
        <w:t>Act does not apply to specified sites or objects</w:t>
      </w:r>
      <w:bookmarkEnd w:id="5"/>
      <w:r>
        <w:rPr>
          <w:snapToGrid w:val="0"/>
        </w:rPr>
        <w:t xml:space="preserve"> </w:t>
      </w:r>
    </w:p>
    <w:p>
      <w:pPr>
        <w:pStyle w:val="Subsection"/>
        <w:rPr>
          <w:snapToGrid w:val="0"/>
        </w:rPr>
      </w:pPr>
      <w:r>
        <w:rPr>
          <w:snapToGrid w:val="0"/>
        </w:rPr>
        <w:tab/>
        <w:t>(1)</w:t>
      </w:r>
      <w:r>
        <w:rPr>
          <w:snapToGrid w:val="0"/>
        </w:rPr>
        <w:tab/>
        <w:t xml:space="preserve">Where the Director is of the opinion that any site is not of national or local historical interest or of scientific, archaeological, educational or other special national or local interest, he shall advise the Trustees accordingly and the </w:t>
      </w:r>
      <w:r>
        <w:rPr>
          <w:snapToGrid w:val="0"/>
        </w:rPr>
        <w:lastRenderedPageBreak/>
        <w:t>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6" w:name="_Toc379268148"/>
      <w:r>
        <w:rPr>
          <w:rStyle w:val="CharSectno"/>
        </w:rPr>
        <w:t>6</w:t>
      </w:r>
      <w:r>
        <w:rPr>
          <w:snapToGrid w:val="0"/>
        </w:rPr>
        <w:t>.</w:t>
      </w:r>
      <w:r>
        <w:rPr>
          <w:snapToGrid w:val="0"/>
        </w:rPr>
        <w:tab/>
        <w:t>Vesting of ships and sites</w:t>
      </w:r>
      <w:bookmarkEnd w:id="6"/>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7" w:name="_Toc379268149"/>
      <w:r>
        <w:rPr>
          <w:rStyle w:val="CharSectno"/>
        </w:rPr>
        <w:t>7</w:t>
      </w:r>
      <w:r>
        <w:rPr>
          <w:snapToGrid w:val="0"/>
        </w:rPr>
        <w:t>.</w:t>
      </w:r>
      <w:r>
        <w:rPr>
          <w:snapToGrid w:val="0"/>
        </w:rPr>
        <w:tab/>
        <w:t>Compensation and prior vesting</w:t>
      </w:r>
      <w:bookmarkEnd w:id="7"/>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8" w:name="_Toc379268150"/>
      <w:r>
        <w:rPr>
          <w:rStyle w:val="CharSectno"/>
        </w:rPr>
        <w:t>8</w:t>
      </w:r>
      <w:r>
        <w:rPr>
          <w:snapToGrid w:val="0"/>
        </w:rPr>
        <w:t>.</w:t>
      </w:r>
      <w:r>
        <w:rPr>
          <w:snapToGrid w:val="0"/>
        </w:rPr>
        <w:tab/>
        <w:t>Offences</w:t>
      </w:r>
      <w:bookmarkEnd w:id="8"/>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9" w:name="_Toc379268151"/>
      <w:r>
        <w:rPr>
          <w:rStyle w:val="CharSectno"/>
        </w:rPr>
        <w:t>9</w:t>
      </w:r>
      <w:r>
        <w:rPr>
          <w:snapToGrid w:val="0"/>
        </w:rPr>
        <w:t>.</w:t>
      </w:r>
      <w:r>
        <w:rPr>
          <w:snapToGrid w:val="0"/>
        </w:rPr>
        <w:tab/>
        <w:t>Protected zones</w:t>
      </w:r>
      <w:bookmarkEnd w:id="9"/>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10" w:name="_Toc379268152"/>
      <w:r>
        <w:rPr>
          <w:rStyle w:val="CharSectno"/>
        </w:rPr>
        <w:t>10</w:t>
      </w:r>
      <w:r>
        <w:rPr>
          <w:snapToGrid w:val="0"/>
        </w:rPr>
        <w:t>.</w:t>
      </w:r>
      <w:r>
        <w:rPr>
          <w:snapToGrid w:val="0"/>
        </w:rPr>
        <w:tab/>
        <w:t>Evidence</w:t>
      </w:r>
      <w:bookmarkEnd w:id="1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11" w:name="_Toc379268153"/>
      <w:r>
        <w:rPr>
          <w:rStyle w:val="CharSectno"/>
        </w:rPr>
        <w:t>11</w:t>
      </w:r>
      <w:r>
        <w:rPr>
          <w:snapToGrid w:val="0"/>
        </w:rPr>
        <w:t>.</w:t>
      </w:r>
      <w:r>
        <w:rPr>
          <w:snapToGrid w:val="0"/>
        </w:rPr>
        <w:tab/>
        <w:t>Seizure</w:t>
      </w:r>
      <w:bookmarkEnd w:id="11"/>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by No. 59 of 2006 s. 59.]</w:t>
      </w:r>
    </w:p>
    <w:p>
      <w:pPr>
        <w:pStyle w:val="Heading5"/>
        <w:rPr>
          <w:snapToGrid w:val="0"/>
        </w:rPr>
      </w:pPr>
      <w:bookmarkStart w:id="12" w:name="_Toc379268154"/>
      <w:r>
        <w:rPr>
          <w:rStyle w:val="CharSectno"/>
        </w:rPr>
        <w:t>12</w:t>
      </w:r>
      <w:r>
        <w:rPr>
          <w:snapToGrid w:val="0"/>
        </w:rPr>
        <w:t>.</w:t>
      </w:r>
      <w:r>
        <w:rPr>
          <w:snapToGrid w:val="0"/>
        </w:rPr>
        <w:tab/>
        <w:t>Forfeiture</w:t>
      </w:r>
      <w:bookmarkEnd w:id="12"/>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13" w:name="_Toc379268155"/>
      <w:r>
        <w:rPr>
          <w:rStyle w:val="CharSectno"/>
        </w:rPr>
        <w:t>13</w:t>
      </w:r>
      <w:r>
        <w:rPr>
          <w:snapToGrid w:val="0"/>
        </w:rPr>
        <w:t>.</w:t>
      </w:r>
      <w:r>
        <w:rPr>
          <w:snapToGrid w:val="0"/>
        </w:rPr>
        <w:tab/>
        <w:t>Court may order payment of value</w:t>
      </w:r>
      <w:bookmarkEnd w:id="13"/>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14" w:name="_Toc379268156"/>
      <w:r>
        <w:rPr>
          <w:rStyle w:val="CharSectno"/>
        </w:rPr>
        <w:t>14</w:t>
      </w:r>
      <w:r>
        <w:rPr>
          <w:snapToGrid w:val="0"/>
        </w:rPr>
        <w:t>.</w:t>
      </w:r>
      <w:r>
        <w:rPr>
          <w:snapToGrid w:val="0"/>
        </w:rPr>
        <w:tab/>
        <w:t>Reward for information as to offences</w:t>
      </w:r>
      <w:bookmarkEnd w:id="14"/>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15" w:name="_Toc379268157"/>
      <w:r>
        <w:rPr>
          <w:rStyle w:val="CharSectno"/>
        </w:rPr>
        <w:t>15</w:t>
      </w:r>
      <w:r>
        <w:rPr>
          <w:snapToGrid w:val="0"/>
        </w:rPr>
        <w:t>.</w:t>
      </w:r>
      <w:r>
        <w:rPr>
          <w:snapToGrid w:val="0"/>
        </w:rPr>
        <w:tab/>
        <w:t>Proceedings by Trustees relating to property</w:t>
      </w:r>
      <w:bookmarkEnd w:id="15"/>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16" w:name="_Toc379268158"/>
      <w:r>
        <w:rPr>
          <w:rStyle w:val="CharSectno"/>
        </w:rPr>
        <w:t>16</w:t>
      </w:r>
      <w:r>
        <w:rPr>
          <w:snapToGrid w:val="0"/>
        </w:rPr>
        <w:t>.</w:t>
      </w:r>
      <w:r>
        <w:rPr>
          <w:snapToGrid w:val="0"/>
        </w:rPr>
        <w:tab/>
        <w:t>Limitation period for prosecutions</w:t>
      </w:r>
      <w:bookmarkEnd w:id="16"/>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17" w:name="_Toc379268159"/>
      <w:r>
        <w:rPr>
          <w:rStyle w:val="CharSectno"/>
        </w:rPr>
        <w:t>17</w:t>
      </w:r>
      <w:r>
        <w:rPr>
          <w:snapToGrid w:val="0"/>
        </w:rPr>
        <w:t>.</w:t>
      </w:r>
      <w:r>
        <w:rPr>
          <w:snapToGrid w:val="0"/>
        </w:rPr>
        <w:tab/>
        <w:t>New finds</w:t>
      </w:r>
      <w:bookmarkEnd w:id="17"/>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18" w:name="_Toc379268160"/>
      <w:r>
        <w:rPr>
          <w:rStyle w:val="CharSectno"/>
        </w:rPr>
        <w:t>18</w:t>
      </w:r>
      <w:r>
        <w:rPr>
          <w:snapToGrid w:val="0"/>
        </w:rPr>
        <w:t>.</w:t>
      </w:r>
      <w:r>
        <w:rPr>
          <w:snapToGrid w:val="0"/>
        </w:rPr>
        <w:tab/>
        <w:t>Rewards as to ships and relics found</w:t>
      </w:r>
      <w:bookmarkEnd w:id="18"/>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Footnotesection"/>
      </w:pPr>
      <w:r>
        <w:tab/>
        <w:t>[Section 18 amended by No. 55 of 2004 s. 710.]</w:t>
      </w:r>
    </w:p>
    <w:p>
      <w:pPr>
        <w:pStyle w:val="Heading5"/>
        <w:rPr>
          <w:snapToGrid w:val="0"/>
        </w:rPr>
      </w:pPr>
      <w:bookmarkStart w:id="19" w:name="_Toc379268161"/>
      <w:r>
        <w:rPr>
          <w:rStyle w:val="CharSectno"/>
        </w:rPr>
        <w:t>19</w:t>
      </w:r>
      <w:r>
        <w:rPr>
          <w:snapToGrid w:val="0"/>
        </w:rPr>
        <w:t>.</w:t>
      </w:r>
      <w:r>
        <w:rPr>
          <w:snapToGrid w:val="0"/>
        </w:rPr>
        <w:tab/>
        <w:t>Offences as to alleged finds</w:t>
      </w:r>
      <w:bookmarkEnd w:id="19"/>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20" w:name="_Toc379268162"/>
      <w:r>
        <w:rPr>
          <w:rStyle w:val="CharSectno"/>
        </w:rPr>
        <w:t>20</w:t>
      </w:r>
      <w:r>
        <w:rPr>
          <w:snapToGrid w:val="0"/>
        </w:rPr>
        <w:t>.</w:t>
      </w:r>
      <w:r>
        <w:rPr>
          <w:snapToGrid w:val="0"/>
        </w:rPr>
        <w:tab/>
        <w:t>Trustees’ powers</w:t>
      </w:r>
      <w:bookmarkEnd w:id="20"/>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keepNext/>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pPr>
      <w:r>
        <w:tab/>
      </w:r>
      <w:r>
        <w:tab/>
        <w:t>and any such payment, agreement or activity may be made subject to such prior conditions or requirements as the Trustees think fit.</w:t>
      </w:r>
    </w:p>
    <w:p>
      <w:pPr>
        <w:pStyle w:val="Heading5"/>
        <w:rPr>
          <w:snapToGrid w:val="0"/>
        </w:rPr>
      </w:pPr>
      <w:bookmarkStart w:id="21" w:name="_Toc379268163"/>
      <w:r>
        <w:rPr>
          <w:rStyle w:val="CharSectno"/>
        </w:rPr>
        <w:t>21</w:t>
      </w:r>
      <w:r>
        <w:rPr>
          <w:snapToGrid w:val="0"/>
        </w:rPr>
        <w:t>.</w:t>
      </w:r>
      <w:r>
        <w:rPr>
          <w:snapToGrid w:val="0"/>
        </w:rPr>
        <w:tab/>
        <w:t>Power of disposal</w:t>
      </w:r>
      <w:bookmarkEnd w:id="21"/>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keepNext/>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22" w:name="_Toc379268164"/>
      <w:r>
        <w:rPr>
          <w:rStyle w:val="CharSectno"/>
        </w:rPr>
        <w:t>22</w:t>
      </w:r>
      <w:r>
        <w:rPr>
          <w:snapToGrid w:val="0"/>
        </w:rPr>
        <w:t>.</w:t>
      </w:r>
      <w:r>
        <w:rPr>
          <w:snapToGrid w:val="0"/>
        </w:rPr>
        <w:tab/>
        <w:t>Certain property to be made available to Trustees</w:t>
      </w:r>
      <w:bookmarkEnd w:id="22"/>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23" w:name="_Toc379268165"/>
      <w:r>
        <w:rPr>
          <w:rStyle w:val="CharSectno"/>
        </w:rPr>
        <w:t>23</w:t>
      </w:r>
      <w:r>
        <w:rPr>
          <w:snapToGrid w:val="0"/>
        </w:rPr>
        <w:t>.</w:t>
      </w:r>
      <w:r>
        <w:rPr>
          <w:snapToGrid w:val="0"/>
        </w:rPr>
        <w:tab/>
        <w:t>Regulations</w:t>
      </w:r>
      <w:bookmarkEnd w:id="23"/>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24" w:name="_Toc379268166"/>
      <w:r>
        <w:rPr>
          <w:rStyle w:val="CharSectno"/>
        </w:rPr>
        <w:t>24</w:t>
      </w:r>
      <w:r>
        <w:rPr>
          <w:snapToGrid w:val="0"/>
        </w:rPr>
        <w:t>.</w:t>
      </w:r>
      <w:r>
        <w:rPr>
          <w:snapToGrid w:val="0"/>
        </w:rPr>
        <w:tab/>
        <w:t>Register of discoverers of ancient shipwrecks</w:t>
      </w:r>
      <w:bookmarkEnd w:id="24"/>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5" w:name="_Toc379268167"/>
      <w:r>
        <w:rPr>
          <w:rStyle w:val="CharSchNo"/>
        </w:rPr>
        <w:t>First Schedule</w:t>
      </w:r>
      <w:r>
        <w:rPr>
          <w:rStyle w:val="CharSDivNo"/>
        </w:rPr>
        <w:t> </w:t>
      </w:r>
      <w:r>
        <w:t>—</w:t>
      </w:r>
      <w:r>
        <w:rPr>
          <w:rStyle w:val="CharSDivText"/>
        </w:rPr>
        <w:t> </w:t>
      </w:r>
      <w:r>
        <w:rPr>
          <w:rStyle w:val="CharSchText"/>
        </w:rPr>
        <w:t>Ships notified under Museums Acts</w:t>
      </w:r>
      <w:bookmarkEnd w:id="25"/>
    </w:p>
    <w:p>
      <w:pPr>
        <w:pStyle w:val="yShoulderClause"/>
        <w:spacing w:after="60"/>
        <w:rPr>
          <w:snapToGrid w:val="0"/>
        </w:rPr>
      </w:pPr>
      <w:r>
        <w:rPr>
          <w:snapToGrid w:val="0"/>
        </w:rPr>
        <w:t>[s. 6]</w:t>
      </w:r>
    </w:p>
    <w:p>
      <w:pPr>
        <w:pStyle w:val="yFootnoteheading"/>
      </w:pPr>
      <w:r>
        <w:tab/>
        <w:t>[Heading amended by No. 19 of 2010 s. 4.]</w:t>
      </w:r>
    </w:p>
    <w:p>
      <w:pPr>
        <w:pStyle w:val="yFootnoteheading"/>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tc>
          <w:tcPr>
            <w:tcW w:w="3119" w:type="dxa"/>
            <w:tcBorders>
              <w:top w:val="single" w:sz="4" w:space="0" w:color="auto"/>
              <w:bottom w:val="single" w:sz="4" w:space="0" w:color="auto"/>
            </w:tcBorders>
          </w:tcPr>
          <w:p>
            <w:pPr>
              <w:pStyle w:val="yTableNAm"/>
              <w:jc w:val="center"/>
              <w:rPr>
                <w:b/>
                <w:bCs/>
              </w:rPr>
            </w:pPr>
            <w:r>
              <w:rPr>
                <w:b/>
                <w:bCs/>
              </w:rPr>
              <w:t>Name of Ship</w:t>
            </w:r>
          </w:p>
        </w:tc>
        <w:tc>
          <w:tcPr>
            <w:tcW w:w="961" w:type="dxa"/>
            <w:tcBorders>
              <w:top w:val="single" w:sz="4" w:space="0" w:color="auto"/>
              <w:bottom w:val="single" w:sz="4" w:space="0" w:color="auto"/>
            </w:tcBorders>
          </w:tcPr>
          <w:p>
            <w:pPr>
              <w:pStyle w:val="yTableNAm"/>
              <w:jc w:val="center"/>
              <w:rPr>
                <w:b/>
                <w:bCs/>
              </w:rPr>
            </w:pPr>
            <w:r>
              <w:rPr>
                <w:b/>
                <w:bCs/>
              </w:rPr>
              <w:t>Year of loss</w:t>
            </w:r>
          </w:p>
        </w:tc>
        <w:tc>
          <w:tcPr>
            <w:tcW w:w="3120"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3119" w:type="dxa"/>
          </w:tcPr>
          <w:p>
            <w:pPr>
              <w:pStyle w:val="yTableNAm"/>
            </w:pPr>
            <w:r>
              <w:t>Known as the — </w:t>
            </w:r>
          </w:p>
        </w:tc>
        <w:tc>
          <w:tcPr>
            <w:tcW w:w="961" w:type="dxa"/>
          </w:tcPr>
          <w:p>
            <w:pPr>
              <w:pStyle w:val="yTableNAm"/>
            </w:pPr>
          </w:p>
        </w:tc>
        <w:tc>
          <w:tcPr>
            <w:tcW w:w="3120" w:type="dxa"/>
          </w:tcPr>
          <w:p>
            <w:pPr>
              <w:pStyle w:val="yTableNAm"/>
            </w:pPr>
          </w:p>
        </w:tc>
      </w:tr>
      <w:tr>
        <w:tblPrEx>
          <w:tblBorders>
            <w:top w:val="none" w:sz="0" w:space="0" w:color="auto"/>
            <w:bottom w:val="none" w:sz="0" w:space="0" w:color="auto"/>
          </w:tblBorders>
        </w:tblPrEx>
        <w:tc>
          <w:tcPr>
            <w:tcW w:w="3119" w:type="dxa"/>
          </w:tcPr>
          <w:p>
            <w:pPr>
              <w:pStyle w:val="yTableNAm"/>
            </w:pPr>
            <w:r>
              <w:t xml:space="preserve"> “Tryal” .....................................</w:t>
            </w:r>
          </w:p>
        </w:tc>
        <w:tc>
          <w:tcPr>
            <w:tcW w:w="961" w:type="dxa"/>
          </w:tcPr>
          <w:p>
            <w:pPr>
              <w:pStyle w:val="yTableNAm"/>
            </w:pPr>
            <w:r>
              <w:t>1622</w:t>
            </w:r>
          </w:p>
        </w:tc>
        <w:tc>
          <w:tcPr>
            <w:tcW w:w="3120" w:type="dxa"/>
          </w:tcPr>
          <w:p>
            <w:pPr>
              <w:pStyle w:val="yTableNAm"/>
              <w:ind w:left="548" w:hanging="548"/>
            </w:pPr>
            <w:r>
              <w:t>Tryal Rocks, Monte Bello Islands.</w:t>
            </w:r>
          </w:p>
        </w:tc>
      </w:tr>
      <w:tr>
        <w:tblPrEx>
          <w:tblBorders>
            <w:top w:val="none" w:sz="0" w:space="0" w:color="auto"/>
            <w:bottom w:val="none" w:sz="0" w:space="0" w:color="auto"/>
          </w:tblBorders>
        </w:tblPrEx>
        <w:tc>
          <w:tcPr>
            <w:tcW w:w="3119" w:type="dxa"/>
          </w:tcPr>
          <w:p>
            <w:pPr>
              <w:pStyle w:val="yTableNAm"/>
            </w:pPr>
            <w:r>
              <w:t xml:space="preserve"> “Batavia” .................................</w:t>
            </w:r>
          </w:p>
        </w:tc>
        <w:tc>
          <w:tcPr>
            <w:tcW w:w="961" w:type="dxa"/>
          </w:tcPr>
          <w:p>
            <w:pPr>
              <w:pStyle w:val="yTableNAm"/>
            </w:pPr>
            <w:r>
              <w:t>1629</w:t>
            </w:r>
          </w:p>
        </w:tc>
        <w:tc>
          <w:tcPr>
            <w:tcW w:w="3120" w:type="dxa"/>
          </w:tcPr>
          <w:p>
            <w:pPr>
              <w:pStyle w:val="yTableNAm"/>
              <w:ind w:left="548" w:hanging="548"/>
            </w:pPr>
            <w:r>
              <w:t>Beacon Island, Wallabi Group, Houtmans Abrolhos.</w:t>
            </w:r>
          </w:p>
        </w:tc>
      </w:tr>
      <w:tr>
        <w:tblPrEx>
          <w:tblBorders>
            <w:top w:val="none" w:sz="0" w:space="0" w:color="auto"/>
            <w:bottom w:val="none" w:sz="0" w:space="0" w:color="auto"/>
          </w:tblBorders>
        </w:tblPrEx>
        <w:tc>
          <w:tcPr>
            <w:tcW w:w="3119" w:type="dxa"/>
          </w:tcPr>
          <w:p>
            <w:pPr>
              <w:pStyle w:val="yTableNAm"/>
            </w:pPr>
            <w:r>
              <w:t xml:space="preserve"> “Vergulde Draeck” ..................</w:t>
            </w:r>
          </w:p>
        </w:tc>
        <w:tc>
          <w:tcPr>
            <w:tcW w:w="961" w:type="dxa"/>
          </w:tcPr>
          <w:p>
            <w:pPr>
              <w:pStyle w:val="yTableNAm"/>
            </w:pPr>
            <w:r>
              <w:t>1656</w:t>
            </w:r>
          </w:p>
        </w:tc>
        <w:tc>
          <w:tcPr>
            <w:tcW w:w="3120" w:type="dxa"/>
          </w:tcPr>
          <w:p>
            <w:pPr>
              <w:pStyle w:val="yTableNAm"/>
              <w:ind w:left="548" w:hanging="548"/>
            </w:pPr>
            <w:r>
              <w:t>Ledge Point.</w:t>
            </w:r>
          </w:p>
        </w:tc>
      </w:tr>
      <w:tr>
        <w:tblPrEx>
          <w:tblBorders>
            <w:top w:val="none" w:sz="0" w:space="0" w:color="auto"/>
            <w:bottom w:val="none" w:sz="0" w:space="0" w:color="auto"/>
          </w:tblBorders>
        </w:tblPrEx>
        <w:tc>
          <w:tcPr>
            <w:tcW w:w="3119" w:type="dxa"/>
          </w:tcPr>
          <w:p>
            <w:pPr>
              <w:pStyle w:val="yTableNAm"/>
            </w:pPr>
            <w:r>
              <w:t xml:space="preserve"> “Zuytdorp” ...............................</w:t>
            </w:r>
          </w:p>
        </w:tc>
        <w:tc>
          <w:tcPr>
            <w:tcW w:w="961" w:type="dxa"/>
          </w:tcPr>
          <w:p>
            <w:pPr>
              <w:pStyle w:val="yTableNAm"/>
            </w:pPr>
            <w:r>
              <w:t>1712</w:t>
            </w:r>
          </w:p>
        </w:tc>
        <w:tc>
          <w:tcPr>
            <w:tcW w:w="3120" w:type="dxa"/>
          </w:tcPr>
          <w:p>
            <w:pPr>
              <w:pStyle w:val="yTableNAm"/>
              <w:ind w:left="548" w:hanging="548"/>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NAm"/>
            </w:pPr>
            <w:r>
              <w:t xml:space="preserve"> “Zeewyk” .................................</w:t>
            </w:r>
          </w:p>
        </w:tc>
        <w:tc>
          <w:tcPr>
            <w:tcW w:w="961" w:type="dxa"/>
            <w:tcBorders>
              <w:bottom w:val="single" w:sz="4" w:space="0" w:color="auto"/>
            </w:tcBorders>
          </w:tcPr>
          <w:p>
            <w:pPr>
              <w:pStyle w:val="yTableNAm"/>
            </w:pPr>
            <w:r>
              <w:t>1727</w:t>
            </w:r>
          </w:p>
        </w:tc>
        <w:tc>
          <w:tcPr>
            <w:tcW w:w="3120" w:type="dxa"/>
            <w:tcBorders>
              <w:bottom w:val="single" w:sz="4" w:space="0" w:color="auto"/>
            </w:tcBorders>
          </w:tcPr>
          <w:p>
            <w:pPr>
              <w:pStyle w:val="yTableNAm"/>
              <w:ind w:left="548" w:hanging="548"/>
            </w:pPr>
            <w:r>
              <w:t>Gun Island, Pelsart Group, Houtmans Abrolhos.</w:t>
            </w:r>
          </w:p>
        </w:tc>
      </w:tr>
    </w:tbl>
    <w:p>
      <w:pPr>
        <w:pStyle w:val="yFootnotesection"/>
      </w:pPr>
      <w:r>
        <w:tab/>
        <w:t>[First Schedule amended by No. 8 of 2009 s. 90.]</w:t>
      </w:r>
    </w:p>
    <w:p>
      <w:pPr>
        <w:pStyle w:val="yScheduleHeading"/>
      </w:pPr>
      <w:bookmarkStart w:id="26" w:name="_Toc379268168"/>
      <w:r>
        <w:rPr>
          <w:rStyle w:val="CharSchNo"/>
        </w:rPr>
        <w:t>Second Schedule</w:t>
      </w:r>
      <w:r>
        <w:rPr>
          <w:rStyle w:val="CharSDivNo"/>
        </w:rPr>
        <w:t> </w:t>
      </w:r>
      <w:r>
        <w:t>—</w:t>
      </w:r>
      <w:r>
        <w:rPr>
          <w:rStyle w:val="CharSDivText"/>
        </w:rPr>
        <w:t> </w:t>
      </w:r>
      <w:r>
        <w:rPr>
          <w:rStyle w:val="CharSchText"/>
        </w:rPr>
        <w:t>Other ships from which relics are believed to have been recovered prior to 18 December 1964</w:t>
      </w:r>
      <w:bookmarkEnd w:id="26"/>
    </w:p>
    <w:p>
      <w:pPr>
        <w:pStyle w:val="yShoulderClause"/>
        <w:rPr>
          <w:snapToGrid w:val="0"/>
        </w:rPr>
      </w:pPr>
      <w:r>
        <w:rPr>
          <w:snapToGrid w:val="0"/>
        </w:rPr>
        <w:t>[s. 6]</w:t>
      </w:r>
    </w:p>
    <w:p>
      <w:pPr>
        <w:pStyle w:val="yFootnoteheading"/>
      </w:pPr>
      <w:r>
        <w:tab/>
        <w:t>[Heading amended by No. 19 of 2010 s. 4.]</w:t>
      </w:r>
    </w:p>
    <w:p>
      <w:pPr>
        <w:pStyle w:val="yFootnoteheading"/>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NAm"/>
              <w:jc w:val="center"/>
              <w:rPr>
                <w:b/>
                <w:bCs/>
              </w:rPr>
            </w:pPr>
            <w:r>
              <w:rPr>
                <w:b/>
                <w:bCs/>
              </w:rPr>
              <w:t>Name of Ship</w:t>
            </w:r>
          </w:p>
        </w:tc>
        <w:tc>
          <w:tcPr>
            <w:tcW w:w="1134" w:type="dxa"/>
            <w:tcBorders>
              <w:top w:val="single" w:sz="4" w:space="0" w:color="auto"/>
              <w:bottom w:val="single" w:sz="4" w:space="0" w:color="auto"/>
            </w:tcBorders>
          </w:tcPr>
          <w:p>
            <w:pPr>
              <w:pStyle w:val="yTableNAm"/>
              <w:jc w:val="center"/>
              <w:rPr>
                <w:b/>
                <w:bCs/>
              </w:rPr>
            </w:pPr>
            <w:r>
              <w:rPr>
                <w:b/>
                <w:bCs/>
              </w:rPr>
              <w:t>Year of loss</w:t>
            </w:r>
          </w:p>
        </w:tc>
        <w:tc>
          <w:tcPr>
            <w:tcW w:w="3402"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2552" w:type="dxa"/>
          </w:tcPr>
          <w:p>
            <w:pPr>
              <w:pStyle w:val="yTableNAm"/>
            </w:pPr>
            <w:r>
              <w:t>Known as the — </w:t>
            </w:r>
          </w:p>
        </w:tc>
        <w:tc>
          <w:tcPr>
            <w:tcW w:w="1134" w:type="dxa"/>
          </w:tcPr>
          <w:p>
            <w:pPr>
              <w:pStyle w:val="yTableNAm"/>
            </w:pPr>
          </w:p>
        </w:tc>
        <w:tc>
          <w:tcPr>
            <w:tcW w:w="3402" w:type="dxa"/>
          </w:tcPr>
          <w:p>
            <w:pPr>
              <w:pStyle w:val="yTableNAm"/>
            </w:pPr>
          </w:p>
        </w:tc>
      </w:tr>
      <w:tr>
        <w:tblPrEx>
          <w:tblBorders>
            <w:top w:val="none" w:sz="0" w:space="0" w:color="auto"/>
            <w:bottom w:val="none" w:sz="0" w:space="0" w:color="auto"/>
          </w:tblBorders>
        </w:tblPrEx>
        <w:tc>
          <w:tcPr>
            <w:tcW w:w="2552" w:type="dxa"/>
          </w:tcPr>
          <w:p>
            <w:pPr>
              <w:pStyle w:val="yTableNAm"/>
            </w:pPr>
            <w:r>
              <w:t>“Elizabeth”</w:t>
            </w:r>
          </w:p>
        </w:tc>
        <w:tc>
          <w:tcPr>
            <w:tcW w:w="1134" w:type="dxa"/>
          </w:tcPr>
          <w:p>
            <w:pPr>
              <w:pStyle w:val="yTableNAm"/>
            </w:pPr>
            <w:r>
              <w:t>1839</w:t>
            </w:r>
          </w:p>
        </w:tc>
        <w:tc>
          <w:tcPr>
            <w:tcW w:w="3402" w:type="dxa"/>
          </w:tcPr>
          <w:p>
            <w:pPr>
              <w:pStyle w:val="yTableNAm"/>
            </w:pPr>
            <w:r>
              <w:t>South of Cottesloe Beach.</w:t>
            </w:r>
          </w:p>
        </w:tc>
      </w:tr>
      <w:tr>
        <w:tblPrEx>
          <w:tblBorders>
            <w:top w:val="none" w:sz="0" w:space="0" w:color="auto"/>
            <w:bottom w:val="none" w:sz="0" w:space="0" w:color="auto"/>
          </w:tblBorders>
        </w:tblPrEx>
        <w:tc>
          <w:tcPr>
            <w:tcW w:w="2552" w:type="dxa"/>
          </w:tcPr>
          <w:p>
            <w:pPr>
              <w:pStyle w:val="yTableNAm"/>
            </w:pPr>
            <w:r>
              <w:t>“Lancier”</w:t>
            </w:r>
          </w:p>
        </w:tc>
        <w:tc>
          <w:tcPr>
            <w:tcW w:w="1134" w:type="dxa"/>
          </w:tcPr>
          <w:p>
            <w:pPr>
              <w:pStyle w:val="yTableNAm"/>
            </w:pPr>
            <w:r>
              <w:t>1839</w:t>
            </w:r>
          </w:p>
        </w:tc>
        <w:tc>
          <w:tcPr>
            <w:tcW w:w="3402" w:type="dxa"/>
          </w:tcPr>
          <w:p>
            <w:pPr>
              <w:pStyle w:val="yTableNAm"/>
            </w:pPr>
            <w:r>
              <w:t>Stragglers Rocks.</w:t>
            </w:r>
          </w:p>
        </w:tc>
      </w:tr>
      <w:tr>
        <w:tblPrEx>
          <w:tblBorders>
            <w:top w:val="none" w:sz="0" w:space="0" w:color="auto"/>
            <w:bottom w:val="none" w:sz="0" w:space="0" w:color="auto"/>
          </w:tblBorders>
        </w:tblPrEx>
        <w:tc>
          <w:tcPr>
            <w:tcW w:w="2552" w:type="dxa"/>
          </w:tcPr>
          <w:p>
            <w:pPr>
              <w:pStyle w:val="yTableNAm"/>
            </w:pPr>
            <w:r>
              <w:t>“Cervantes”</w:t>
            </w:r>
          </w:p>
        </w:tc>
        <w:tc>
          <w:tcPr>
            <w:tcW w:w="1134" w:type="dxa"/>
          </w:tcPr>
          <w:p>
            <w:pPr>
              <w:pStyle w:val="yTableNAm"/>
            </w:pPr>
            <w:r>
              <w:t>1844</w:t>
            </w:r>
          </w:p>
        </w:tc>
        <w:tc>
          <w:tcPr>
            <w:tcW w:w="3402" w:type="dxa"/>
          </w:tcPr>
          <w:p>
            <w:pPr>
              <w:pStyle w:val="yTableNAm"/>
            </w:pPr>
            <w:r>
              <w:t>Thirsty Point.</w:t>
            </w:r>
          </w:p>
        </w:tc>
      </w:tr>
      <w:tr>
        <w:tblPrEx>
          <w:tblBorders>
            <w:top w:val="none" w:sz="0" w:space="0" w:color="auto"/>
            <w:bottom w:val="none" w:sz="0" w:space="0" w:color="auto"/>
          </w:tblBorders>
        </w:tblPrEx>
        <w:tc>
          <w:tcPr>
            <w:tcW w:w="2552" w:type="dxa"/>
          </w:tcPr>
          <w:p>
            <w:pPr>
              <w:pStyle w:val="yTableNAm"/>
            </w:pPr>
            <w:r>
              <w:t>“Eglinton”</w:t>
            </w:r>
          </w:p>
        </w:tc>
        <w:tc>
          <w:tcPr>
            <w:tcW w:w="1134" w:type="dxa"/>
          </w:tcPr>
          <w:p>
            <w:pPr>
              <w:pStyle w:val="yTableNAm"/>
            </w:pPr>
            <w:r>
              <w:t>1852</w:t>
            </w:r>
          </w:p>
        </w:tc>
        <w:tc>
          <w:tcPr>
            <w:tcW w:w="3402" w:type="dxa"/>
          </w:tcPr>
          <w:p>
            <w:pPr>
              <w:pStyle w:val="yTableNAm"/>
            </w:pPr>
            <w:r>
              <w:t>Eglinton Rocks.</w:t>
            </w:r>
          </w:p>
        </w:tc>
      </w:tr>
      <w:tr>
        <w:tblPrEx>
          <w:tblBorders>
            <w:top w:val="none" w:sz="0" w:space="0" w:color="auto"/>
            <w:bottom w:val="none" w:sz="0" w:space="0" w:color="auto"/>
          </w:tblBorders>
        </w:tblPrEx>
        <w:tc>
          <w:tcPr>
            <w:tcW w:w="2552" w:type="dxa"/>
          </w:tcPr>
          <w:p>
            <w:pPr>
              <w:pStyle w:val="yTableNAm"/>
              <w:ind w:left="579" w:hanging="579"/>
            </w:pPr>
            <w:r>
              <w:t>“Zedora” (formerly believed to be “Lancier”)</w:t>
            </w:r>
          </w:p>
        </w:tc>
        <w:tc>
          <w:tcPr>
            <w:tcW w:w="1134" w:type="dxa"/>
          </w:tcPr>
          <w:p>
            <w:pPr>
              <w:pStyle w:val="yTableNAm"/>
            </w:pPr>
            <w:r>
              <w:t>1875</w:t>
            </w:r>
          </w:p>
        </w:tc>
        <w:tc>
          <w:tcPr>
            <w:tcW w:w="3402" w:type="dxa"/>
          </w:tcPr>
          <w:p>
            <w:pPr>
              <w:pStyle w:val="yTableNAm"/>
            </w:pPr>
            <w:r>
              <w:t>South of Hügel Passage.</w:t>
            </w:r>
          </w:p>
        </w:tc>
      </w:tr>
      <w:tr>
        <w:tblPrEx>
          <w:tblBorders>
            <w:top w:val="none" w:sz="0" w:space="0" w:color="auto"/>
            <w:bottom w:val="none" w:sz="0" w:space="0" w:color="auto"/>
          </w:tblBorders>
        </w:tblPrEx>
        <w:tc>
          <w:tcPr>
            <w:tcW w:w="2552" w:type="dxa"/>
          </w:tcPr>
          <w:p>
            <w:pPr>
              <w:pStyle w:val="yTableNAm"/>
            </w:pPr>
            <w:r>
              <w:t>“Georgette”</w:t>
            </w:r>
          </w:p>
        </w:tc>
        <w:tc>
          <w:tcPr>
            <w:tcW w:w="1134" w:type="dxa"/>
          </w:tcPr>
          <w:p>
            <w:pPr>
              <w:pStyle w:val="yTableNAm"/>
            </w:pPr>
            <w:r>
              <w:t>1876</w:t>
            </w:r>
          </w:p>
        </w:tc>
        <w:tc>
          <w:tcPr>
            <w:tcW w:w="3402" w:type="dxa"/>
          </w:tcPr>
          <w:p>
            <w:pPr>
              <w:pStyle w:val="yTableNAm"/>
            </w:pPr>
            <w:r>
              <w:t>South of Margaret River.</w:t>
            </w:r>
          </w:p>
        </w:tc>
      </w:tr>
      <w:tr>
        <w:tblPrEx>
          <w:tblBorders>
            <w:top w:val="none" w:sz="0" w:space="0" w:color="auto"/>
            <w:bottom w:val="none" w:sz="0" w:space="0" w:color="auto"/>
          </w:tblBorders>
        </w:tblPrEx>
        <w:tc>
          <w:tcPr>
            <w:tcW w:w="2552" w:type="dxa"/>
          </w:tcPr>
          <w:p>
            <w:pPr>
              <w:pStyle w:val="yTableNAm"/>
            </w:pPr>
            <w:r>
              <w:t>“Lady Elizabeth”</w:t>
            </w:r>
          </w:p>
        </w:tc>
        <w:tc>
          <w:tcPr>
            <w:tcW w:w="1134" w:type="dxa"/>
          </w:tcPr>
          <w:p>
            <w:pPr>
              <w:pStyle w:val="yTableNAm"/>
            </w:pPr>
            <w:r>
              <w:t>1878</w:t>
            </w:r>
          </w:p>
        </w:tc>
        <w:tc>
          <w:tcPr>
            <w:tcW w:w="3402" w:type="dxa"/>
          </w:tcPr>
          <w:p>
            <w:pPr>
              <w:pStyle w:val="yTableNAm"/>
            </w:pPr>
            <w:r>
              <w:t>North of Dyer’s Island.</w:t>
            </w:r>
          </w:p>
        </w:tc>
      </w:tr>
      <w:tr>
        <w:tblPrEx>
          <w:tblBorders>
            <w:top w:val="none" w:sz="0" w:space="0" w:color="auto"/>
            <w:bottom w:val="none" w:sz="0" w:space="0" w:color="auto"/>
          </w:tblBorders>
        </w:tblPrEx>
        <w:tc>
          <w:tcPr>
            <w:tcW w:w="2552" w:type="dxa"/>
          </w:tcPr>
          <w:p>
            <w:pPr>
              <w:pStyle w:val="yTableNAm"/>
            </w:pPr>
            <w:r>
              <w:t>“James Service”</w:t>
            </w:r>
          </w:p>
        </w:tc>
        <w:tc>
          <w:tcPr>
            <w:tcW w:w="1134" w:type="dxa"/>
          </w:tcPr>
          <w:p>
            <w:pPr>
              <w:pStyle w:val="yTableNAm"/>
            </w:pPr>
            <w:r>
              <w:t>1878</w:t>
            </w:r>
          </w:p>
        </w:tc>
        <w:tc>
          <w:tcPr>
            <w:tcW w:w="3402" w:type="dxa"/>
          </w:tcPr>
          <w:p>
            <w:pPr>
              <w:pStyle w:val="yTableNAm"/>
            </w:pPr>
            <w:r>
              <w:t>Murray Reef.</w:t>
            </w:r>
          </w:p>
        </w:tc>
      </w:tr>
      <w:tr>
        <w:tblPrEx>
          <w:tblBorders>
            <w:top w:val="none" w:sz="0" w:space="0" w:color="auto"/>
            <w:bottom w:val="none" w:sz="0" w:space="0" w:color="auto"/>
          </w:tblBorders>
        </w:tblPrEx>
        <w:tc>
          <w:tcPr>
            <w:tcW w:w="2552" w:type="dxa"/>
          </w:tcPr>
          <w:p>
            <w:pPr>
              <w:pStyle w:val="yTableNAm"/>
            </w:pPr>
            <w:r>
              <w:t>“Ben Ledi”</w:t>
            </w:r>
          </w:p>
        </w:tc>
        <w:tc>
          <w:tcPr>
            <w:tcW w:w="1134" w:type="dxa"/>
          </w:tcPr>
          <w:p>
            <w:pPr>
              <w:pStyle w:val="yTableNAm"/>
            </w:pPr>
            <w:r>
              <w:t>1879</w:t>
            </w:r>
          </w:p>
        </w:tc>
        <w:tc>
          <w:tcPr>
            <w:tcW w:w="3402" w:type="dxa"/>
          </w:tcPr>
          <w:p>
            <w:pPr>
              <w:pStyle w:val="yTableNAm"/>
            </w:pPr>
            <w:r>
              <w:t>Pelsart Island.</w:t>
            </w:r>
          </w:p>
        </w:tc>
      </w:tr>
      <w:tr>
        <w:tblPrEx>
          <w:tblBorders>
            <w:top w:val="none" w:sz="0" w:space="0" w:color="auto"/>
            <w:bottom w:val="none" w:sz="0" w:space="0" w:color="auto"/>
          </w:tblBorders>
        </w:tblPrEx>
        <w:tc>
          <w:tcPr>
            <w:tcW w:w="2552" w:type="dxa"/>
          </w:tcPr>
          <w:p>
            <w:pPr>
              <w:pStyle w:val="yTableNAm"/>
            </w:pPr>
            <w:r>
              <w:t>“Macedon”</w:t>
            </w:r>
          </w:p>
        </w:tc>
        <w:tc>
          <w:tcPr>
            <w:tcW w:w="1134" w:type="dxa"/>
          </w:tcPr>
          <w:p>
            <w:pPr>
              <w:pStyle w:val="yTableNAm"/>
            </w:pPr>
            <w:r>
              <w:t>1883</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“Mira Flores”</w:t>
            </w:r>
          </w:p>
        </w:tc>
        <w:tc>
          <w:tcPr>
            <w:tcW w:w="1134" w:type="dxa"/>
          </w:tcPr>
          <w:p>
            <w:pPr>
              <w:pStyle w:val="yTableNAm"/>
            </w:pPr>
            <w:r>
              <w:t>1886</w:t>
            </w:r>
          </w:p>
        </w:tc>
        <w:tc>
          <w:tcPr>
            <w:tcW w:w="3402" w:type="dxa"/>
          </w:tcPr>
          <w:p>
            <w:pPr>
              <w:pStyle w:val="yTableNAm"/>
            </w:pPr>
            <w:r>
              <w:t>Narrowneck, Rottnest.</w:t>
            </w:r>
          </w:p>
        </w:tc>
      </w:tr>
      <w:tr>
        <w:tblPrEx>
          <w:tblBorders>
            <w:top w:val="none" w:sz="0" w:space="0" w:color="auto"/>
            <w:bottom w:val="none" w:sz="0" w:space="0" w:color="auto"/>
          </w:tblBorders>
        </w:tblPrEx>
        <w:tc>
          <w:tcPr>
            <w:tcW w:w="2552" w:type="dxa"/>
          </w:tcPr>
          <w:p>
            <w:pPr>
              <w:pStyle w:val="yTableNAm"/>
            </w:pPr>
            <w:r>
              <w:t>“Janet”</w:t>
            </w:r>
          </w:p>
        </w:tc>
        <w:tc>
          <w:tcPr>
            <w:tcW w:w="1134" w:type="dxa"/>
          </w:tcPr>
          <w:p>
            <w:pPr>
              <w:pStyle w:val="yTableNAm"/>
            </w:pPr>
            <w:r>
              <w:t>1887</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“Denton Holme”</w:t>
            </w:r>
          </w:p>
        </w:tc>
        <w:tc>
          <w:tcPr>
            <w:tcW w:w="1134" w:type="dxa"/>
          </w:tcPr>
          <w:p>
            <w:pPr>
              <w:pStyle w:val="yTableNAm"/>
            </w:pPr>
            <w:r>
              <w:t>1890</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“Raven”</w:t>
            </w:r>
          </w:p>
        </w:tc>
        <w:tc>
          <w:tcPr>
            <w:tcW w:w="1134" w:type="dxa"/>
          </w:tcPr>
          <w:p>
            <w:pPr>
              <w:pStyle w:val="yTableNAm"/>
            </w:pPr>
            <w:r>
              <w:t>1891</w:t>
            </w:r>
          </w:p>
        </w:tc>
        <w:tc>
          <w:tcPr>
            <w:tcW w:w="3402" w:type="dxa"/>
          </w:tcPr>
          <w:p>
            <w:pPr>
              <w:pStyle w:val="yTableNAm"/>
            </w:pPr>
            <w:r>
              <w:t>South of Dyer’s Island.</w:t>
            </w:r>
          </w:p>
        </w:tc>
      </w:tr>
      <w:tr>
        <w:tblPrEx>
          <w:tblBorders>
            <w:top w:val="none" w:sz="0" w:space="0" w:color="auto"/>
            <w:bottom w:val="none" w:sz="0" w:space="0" w:color="auto"/>
          </w:tblBorders>
        </w:tblPrEx>
        <w:tc>
          <w:tcPr>
            <w:tcW w:w="2552" w:type="dxa"/>
          </w:tcPr>
          <w:p>
            <w:pPr>
              <w:pStyle w:val="yTableNAm"/>
            </w:pPr>
            <w:r>
              <w:t>“Ulidia”</w:t>
            </w:r>
          </w:p>
        </w:tc>
        <w:tc>
          <w:tcPr>
            <w:tcW w:w="1134" w:type="dxa"/>
          </w:tcPr>
          <w:p>
            <w:pPr>
              <w:pStyle w:val="yTableNAm"/>
            </w:pPr>
            <w:r>
              <w:t>1893</w:t>
            </w:r>
          </w:p>
        </w:tc>
        <w:tc>
          <w:tcPr>
            <w:tcW w:w="3402" w:type="dxa"/>
          </w:tcPr>
          <w:p>
            <w:pPr>
              <w:pStyle w:val="yTableNAm"/>
            </w:pPr>
            <w:r>
              <w:t>North of Stragglers Rocks.</w:t>
            </w:r>
          </w:p>
        </w:tc>
      </w:tr>
      <w:tr>
        <w:tblPrEx>
          <w:tblBorders>
            <w:top w:val="none" w:sz="0" w:space="0" w:color="auto"/>
            <w:bottom w:val="none" w:sz="0" w:space="0" w:color="auto"/>
          </w:tblBorders>
        </w:tblPrEx>
        <w:tc>
          <w:tcPr>
            <w:tcW w:w="2552" w:type="dxa"/>
          </w:tcPr>
          <w:p>
            <w:pPr>
              <w:pStyle w:val="yTableNAm"/>
            </w:pPr>
            <w:r>
              <w:t>“Omeo”</w:t>
            </w:r>
          </w:p>
        </w:tc>
        <w:tc>
          <w:tcPr>
            <w:tcW w:w="1134" w:type="dxa"/>
          </w:tcPr>
          <w:p>
            <w:pPr>
              <w:pStyle w:val="yTableNAm"/>
            </w:pPr>
            <w:r>
              <w:t>1894</w:t>
            </w:r>
          </w:p>
        </w:tc>
        <w:tc>
          <w:tcPr>
            <w:tcW w:w="3402" w:type="dxa"/>
          </w:tcPr>
          <w:p>
            <w:pPr>
              <w:pStyle w:val="yTableNAm"/>
            </w:pPr>
            <w:r>
              <w:t>Owen Anchorage.</w:t>
            </w:r>
          </w:p>
        </w:tc>
      </w:tr>
      <w:tr>
        <w:tblPrEx>
          <w:tblBorders>
            <w:top w:val="none" w:sz="0" w:space="0" w:color="auto"/>
            <w:bottom w:val="none" w:sz="0" w:space="0" w:color="auto"/>
          </w:tblBorders>
        </w:tblPrEx>
        <w:tc>
          <w:tcPr>
            <w:tcW w:w="2552" w:type="dxa"/>
          </w:tcPr>
          <w:p>
            <w:pPr>
              <w:pStyle w:val="yTableNAm"/>
            </w:pPr>
            <w:r>
              <w:t>“Sepia”</w:t>
            </w:r>
          </w:p>
        </w:tc>
        <w:tc>
          <w:tcPr>
            <w:tcW w:w="1134" w:type="dxa"/>
          </w:tcPr>
          <w:p>
            <w:pPr>
              <w:pStyle w:val="yTableNAm"/>
            </w:pPr>
            <w:r>
              <w:t>1898</w:t>
            </w:r>
          </w:p>
        </w:tc>
        <w:tc>
          <w:tcPr>
            <w:tcW w:w="3402" w:type="dxa"/>
          </w:tcPr>
          <w:p>
            <w:pPr>
              <w:pStyle w:val="yTableNAm"/>
              <w:ind w:left="613" w:hanging="600"/>
            </w:pPr>
            <w:r>
              <w:t>Challenger Passage near Carnac Island.</w:t>
            </w:r>
          </w:p>
        </w:tc>
      </w:tr>
      <w:tr>
        <w:tblPrEx>
          <w:tblBorders>
            <w:top w:val="none" w:sz="0" w:space="0" w:color="auto"/>
            <w:bottom w:val="none" w:sz="0" w:space="0" w:color="auto"/>
          </w:tblBorders>
        </w:tblPrEx>
        <w:tc>
          <w:tcPr>
            <w:tcW w:w="2552" w:type="dxa"/>
          </w:tcPr>
          <w:p>
            <w:pPr>
              <w:pStyle w:val="yTableNAm"/>
            </w:pPr>
            <w:r>
              <w:t>“City of York”</w:t>
            </w:r>
          </w:p>
        </w:tc>
        <w:tc>
          <w:tcPr>
            <w:tcW w:w="1134" w:type="dxa"/>
          </w:tcPr>
          <w:p>
            <w:pPr>
              <w:pStyle w:val="yTableNAm"/>
            </w:pPr>
            <w:r>
              <w:t>1899</w:t>
            </w:r>
          </w:p>
        </w:tc>
        <w:tc>
          <w:tcPr>
            <w:tcW w:w="3402" w:type="dxa"/>
          </w:tcPr>
          <w:p>
            <w:pPr>
              <w:pStyle w:val="yTableNAm"/>
            </w:pPr>
            <w:r>
              <w:t>City of York Bay, Rottnest.</w:t>
            </w:r>
          </w:p>
        </w:tc>
      </w:tr>
      <w:tr>
        <w:tblPrEx>
          <w:tblBorders>
            <w:top w:val="none" w:sz="0" w:space="0" w:color="auto"/>
            <w:bottom w:val="none" w:sz="0" w:space="0" w:color="auto"/>
          </w:tblBorders>
        </w:tblPrEx>
        <w:tc>
          <w:tcPr>
            <w:tcW w:w="2552" w:type="dxa"/>
          </w:tcPr>
          <w:p>
            <w:pPr>
              <w:pStyle w:val="yTableNAm"/>
            </w:pPr>
            <w:r>
              <w:t>“Carlisle Castle”</w:t>
            </w:r>
          </w:p>
        </w:tc>
        <w:tc>
          <w:tcPr>
            <w:tcW w:w="1134" w:type="dxa"/>
          </w:tcPr>
          <w:p>
            <w:pPr>
              <w:pStyle w:val="yTableNAm"/>
            </w:pPr>
            <w:r>
              <w:t>1899</w:t>
            </w:r>
          </w:p>
        </w:tc>
        <w:tc>
          <w:tcPr>
            <w:tcW w:w="3402" w:type="dxa"/>
          </w:tcPr>
          <w:p>
            <w:pPr>
              <w:pStyle w:val="yTableNAm"/>
            </w:pPr>
            <w:r>
              <w:t>Coventry Reef.</w:t>
            </w:r>
          </w:p>
        </w:tc>
      </w:tr>
      <w:tr>
        <w:tblPrEx>
          <w:tblBorders>
            <w:top w:val="none" w:sz="0" w:space="0" w:color="auto"/>
            <w:bottom w:val="none" w:sz="0" w:space="0" w:color="auto"/>
          </w:tblBorders>
        </w:tblPrEx>
        <w:tc>
          <w:tcPr>
            <w:tcW w:w="2552" w:type="dxa"/>
          </w:tcPr>
          <w:p>
            <w:pPr>
              <w:pStyle w:val="yTableNAm"/>
            </w:pPr>
            <w:r>
              <w:t>“Dato”</w:t>
            </w:r>
          </w:p>
        </w:tc>
        <w:tc>
          <w:tcPr>
            <w:tcW w:w="1134" w:type="dxa"/>
          </w:tcPr>
          <w:p>
            <w:pPr>
              <w:pStyle w:val="yTableNAm"/>
            </w:pPr>
            <w:r>
              <w:t>1900</w:t>
            </w:r>
          </w:p>
        </w:tc>
        <w:tc>
          <w:tcPr>
            <w:tcW w:w="3402" w:type="dxa"/>
          </w:tcPr>
          <w:p>
            <w:pPr>
              <w:pStyle w:val="yTableNAm"/>
            </w:pPr>
            <w:r>
              <w:t>Careening Bay, Garden Island.</w:t>
            </w:r>
          </w:p>
        </w:tc>
      </w:tr>
      <w:tr>
        <w:tblPrEx>
          <w:tblBorders>
            <w:top w:val="none" w:sz="0" w:space="0" w:color="auto"/>
          </w:tblBorders>
        </w:tblPrEx>
        <w:tc>
          <w:tcPr>
            <w:tcW w:w="2552" w:type="dxa"/>
          </w:tcPr>
          <w:p>
            <w:pPr>
              <w:pStyle w:val="yTableNAm"/>
            </w:pPr>
            <w:r>
              <w:t>Unidentified</w:t>
            </w:r>
          </w:p>
        </w:tc>
        <w:tc>
          <w:tcPr>
            <w:tcW w:w="1134" w:type="dxa"/>
          </w:tcPr>
          <w:p>
            <w:pPr>
              <w:pStyle w:val="yTableNAm"/>
            </w:pPr>
            <w:r>
              <w:t>—</w:t>
            </w:r>
          </w:p>
        </w:tc>
        <w:tc>
          <w:tcPr>
            <w:tcW w:w="3402" w:type="dxa"/>
          </w:tcPr>
          <w:p>
            <w:pPr>
              <w:pStyle w:val="yTableNAm"/>
            </w:pPr>
            <w:r>
              <w:t>Boxer Island.</w:t>
            </w:r>
          </w:p>
        </w:tc>
      </w:tr>
    </w:tbl>
    <w:p>
      <w:pPr>
        <w:pStyle w:val="yScheduleHeading"/>
      </w:pPr>
      <w:bookmarkStart w:id="27" w:name="_Toc379268169"/>
      <w:r>
        <w:rPr>
          <w:rStyle w:val="CharSchNo"/>
        </w:rPr>
        <w:t>Third Schedule</w:t>
      </w:r>
      <w:r>
        <w:rPr>
          <w:rStyle w:val="CharSDivNo"/>
        </w:rPr>
        <w:t> </w:t>
      </w:r>
      <w:r>
        <w:t>—</w:t>
      </w:r>
      <w:r>
        <w:rPr>
          <w:rStyle w:val="CharSDivText"/>
        </w:rPr>
        <w:t> </w:t>
      </w:r>
      <w:r>
        <w:rPr>
          <w:rStyle w:val="CharSchText"/>
        </w:rPr>
        <w:t>Register of discoverers of ancient shipwrecks</w:t>
      </w:r>
      <w:bookmarkEnd w:id="27"/>
    </w:p>
    <w:p>
      <w:pPr>
        <w:pStyle w:val="yShoulderClause"/>
      </w:pPr>
      <w:r>
        <w:t>[s. 24]</w:t>
      </w:r>
    </w:p>
    <w:p>
      <w:pPr>
        <w:pStyle w:val="yFootnoteheading"/>
      </w:pPr>
      <w:r>
        <w:tab/>
        <w:t>[Heading amended by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trPr>
          <w:cantSplit/>
        </w:trPr>
        <w:tc>
          <w:tcPr>
            <w:tcW w:w="2040" w:type="dxa"/>
          </w:tcPr>
          <w:p>
            <w:pPr>
              <w:pStyle w:val="yTableNAm"/>
              <w:jc w:val="center"/>
              <w:rPr>
                <w:b/>
                <w:bCs/>
              </w:rPr>
            </w:pPr>
            <w:r>
              <w:rPr>
                <w:b/>
                <w:bCs/>
              </w:rPr>
              <w:t>Name of Ship</w:t>
            </w:r>
          </w:p>
        </w:tc>
        <w:tc>
          <w:tcPr>
            <w:tcW w:w="2541" w:type="dxa"/>
          </w:tcPr>
          <w:p>
            <w:pPr>
              <w:pStyle w:val="yTableNAm"/>
              <w:jc w:val="center"/>
              <w:rPr>
                <w:b/>
                <w:bCs/>
              </w:rPr>
            </w:pPr>
            <w:r>
              <w:rPr>
                <w:b/>
                <w:bCs/>
              </w:rPr>
              <w:t>Primary Discoverer/s</w:t>
            </w:r>
          </w:p>
        </w:tc>
        <w:tc>
          <w:tcPr>
            <w:tcW w:w="2507" w:type="dxa"/>
            <w:tcBorders>
              <w:bottom w:val="nil"/>
            </w:tcBorders>
          </w:tcPr>
          <w:p>
            <w:pPr>
              <w:pStyle w:val="yTableNAm"/>
              <w:jc w:val="center"/>
              <w:rPr>
                <w:b/>
                <w:bCs/>
              </w:rPr>
            </w:pPr>
            <w:r>
              <w:rPr>
                <w:b/>
                <w:bCs/>
              </w:rPr>
              <w:t>Secondary Discoverer/s</w:t>
            </w:r>
          </w:p>
        </w:tc>
      </w:tr>
      <w:tr>
        <w:tc>
          <w:tcPr>
            <w:tcW w:w="2040" w:type="dxa"/>
          </w:tcPr>
          <w:p>
            <w:pPr>
              <w:pStyle w:val="yTableNAm"/>
            </w:pPr>
            <w:r>
              <w:rPr>
                <w:i/>
              </w:rPr>
              <w:t>Tryal</w:t>
            </w:r>
          </w:p>
        </w:tc>
        <w:tc>
          <w:tcPr>
            <w:tcW w:w="2541" w:type="dxa"/>
          </w:tcPr>
          <w:p>
            <w:pPr>
              <w:pStyle w:val="yTableNAm"/>
            </w:pPr>
            <w:r>
              <w:t>Eric Christiansen</w:t>
            </w:r>
          </w:p>
        </w:tc>
        <w:tc>
          <w:tcPr>
            <w:tcW w:w="2507" w:type="dxa"/>
          </w:tcPr>
          <w:p>
            <w:pPr>
              <w:pStyle w:val="yTableNAm"/>
            </w:pPr>
            <w:r>
              <w:t>Naoom Haimson</w:t>
            </w:r>
          </w:p>
        </w:tc>
      </w:tr>
      <w:tr>
        <w:tc>
          <w:tcPr>
            <w:tcW w:w="2040" w:type="dxa"/>
          </w:tcPr>
          <w:p>
            <w:pPr>
              <w:pStyle w:val="yTableNAm"/>
            </w:pPr>
          </w:p>
        </w:tc>
        <w:tc>
          <w:tcPr>
            <w:tcW w:w="2541" w:type="dxa"/>
          </w:tcPr>
          <w:p>
            <w:pPr>
              <w:pStyle w:val="yTableNAm"/>
            </w:pPr>
          </w:p>
        </w:tc>
        <w:tc>
          <w:tcPr>
            <w:tcW w:w="2507" w:type="dxa"/>
          </w:tcPr>
          <w:p>
            <w:pPr>
              <w:pStyle w:val="yTableNAm"/>
            </w:pPr>
            <w:r>
              <w:t>David Nelley</w:t>
            </w:r>
          </w:p>
        </w:tc>
      </w:tr>
      <w:tr>
        <w:tc>
          <w:tcPr>
            <w:tcW w:w="2040" w:type="dxa"/>
          </w:tcPr>
          <w:p>
            <w:pPr>
              <w:pStyle w:val="yTableNAm"/>
            </w:pPr>
          </w:p>
        </w:tc>
        <w:tc>
          <w:tcPr>
            <w:tcW w:w="2541" w:type="dxa"/>
          </w:tcPr>
          <w:p>
            <w:pPr>
              <w:pStyle w:val="yTableNAm"/>
            </w:pPr>
          </w:p>
        </w:tc>
        <w:tc>
          <w:tcPr>
            <w:tcW w:w="2507" w:type="dxa"/>
          </w:tcPr>
          <w:p>
            <w:pPr>
              <w:pStyle w:val="yTableNAm"/>
            </w:pPr>
            <w:r>
              <w:t>John MacPherson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Batavia</w:t>
            </w:r>
          </w:p>
        </w:tc>
        <w:tc>
          <w:tcPr>
            <w:tcW w:w="2541" w:type="dxa"/>
          </w:tcPr>
          <w:p>
            <w:pPr>
              <w:pStyle w:val="yTableNAm"/>
            </w:pPr>
            <w:r>
              <w:t>Henrietta Drake</w:t>
            </w:r>
            <w:r>
              <w:noBreakHyphen/>
            </w:r>
          </w:p>
          <w:p>
            <w:pPr>
              <w:pStyle w:val="yTableNAm"/>
              <w:tabs>
                <w:tab w:val="clear" w:pos="567"/>
                <w:tab w:val="left" w:pos="372"/>
              </w:tabs>
              <w:spacing w:before="60"/>
            </w:pPr>
            <w:r>
              <w:tab/>
              <w:t>Brockman</w:t>
            </w:r>
          </w:p>
        </w:tc>
        <w:tc>
          <w:tcPr>
            <w:tcW w:w="2507" w:type="dxa"/>
          </w:tcPr>
          <w:p>
            <w:pPr>
              <w:pStyle w:val="yTableNAm"/>
            </w:pPr>
            <w:r>
              <w:t>Greg Allen</w:t>
            </w:r>
          </w:p>
          <w:p>
            <w:pPr>
              <w:pStyle w:val="yTableNAm"/>
              <w:spacing w:before="60"/>
            </w:pPr>
            <w:r>
              <w:t>Graham Cramer</w:t>
            </w:r>
          </w:p>
        </w:tc>
      </w:tr>
      <w:tr>
        <w:tc>
          <w:tcPr>
            <w:tcW w:w="2040" w:type="dxa"/>
          </w:tcPr>
          <w:p>
            <w:pPr>
              <w:pStyle w:val="yTableNAm"/>
            </w:pPr>
          </w:p>
        </w:tc>
        <w:tc>
          <w:tcPr>
            <w:tcW w:w="2541" w:type="dxa"/>
          </w:tcPr>
          <w:p>
            <w:pPr>
              <w:pStyle w:val="yTableNAm"/>
            </w:pPr>
            <w:r>
              <w:t>Max Cramer</w:t>
            </w:r>
          </w:p>
        </w:tc>
        <w:tc>
          <w:tcPr>
            <w:tcW w:w="2507" w:type="dxa"/>
          </w:tcPr>
          <w:p>
            <w:pPr>
              <w:pStyle w:val="yTableNAm"/>
            </w:pPr>
            <w:r>
              <w:t>Bruce Melrose</w:t>
            </w:r>
          </w:p>
        </w:tc>
      </w:tr>
      <w:tr>
        <w:tc>
          <w:tcPr>
            <w:tcW w:w="2040" w:type="dxa"/>
          </w:tcPr>
          <w:p>
            <w:pPr>
              <w:pStyle w:val="yTableNAm"/>
            </w:pPr>
          </w:p>
        </w:tc>
        <w:tc>
          <w:tcPr>
            <w:tcW w:w="2541" w:type="dxa"/>
          </w:tcPr>
          <w:p>
            <w:pPr>
              <w:pStyle w:val="yTableNAm"/>
            </w:pPr>
            <w:r>
              <w:t>Hugh Edwards</w:t>
            </w:r>
          </w:p>
        </w:tc>
        <w:tc>
          <w:tcPr>
            <w:tcW w:w="2507" w:type="dxa"/>
          </w:tcPr>
          <w:p>
            <w:pPr>
              <w:pStyle w:val="yTableNAm"/>
            </w:pPr>
          </w:p>
        </w:tc>
      </w:tr>
      <w:tr>
        <w:tc>
          <w:tcPr>
            <w:tcW w:w="2040" w:type="dxa"/>
          </w:tcPr>
          <w:p>
            <w:pPr>
              <w:pStyle w:val="yTableNAm"/>
            </w:pPr>
          </w:p>
        </w:tc>
        <w:tc>
          <w:tcPr>
            <w:tcW w:w="2541" w:type="dxa"/>
          </w:tcPr>
          <w:p>
            <w:pPr>
              <w:pStyle w:val="yTableNAm"/>
            </w:pPr>
            <w:r>
              <w:t>Dave Johnson</w:t>
            </w:r>
          </w:p>
        </w:tc>
        <w:tc>
          <w:tcPr>
            <w:tcW w:w="2507" w:type="dxa"/>
          </w:tcPr>
          <w:p>
            <w:pPr>
              <w:pStyle w:val="yTableNAm"/>
            </w:pPr>
          </w:p>
        </w:tc>
      </w:tr>
      <w:tr>
        <w:tc>
          <w:tcPr>
            <w:tcW w:w="2040" w:type="dxa"/>
          </w:tcPr>
          <w:p>
            <w:pPr>
              <w:pStyle w:val="yTableNAm"/>
            </w:pPr>
            <w:r>
              <w:rPr>
                <w:i/>
              </w:rPr>
              <w:t>Vergulde Draeck</w:t>
            </w:r>
          </w:p>
        </w:tc>
        <w:tc>
          <w:tcPr>
            <w:tcW w:w="2541" w:type="dxa"/>
          </w:tcPr>
          <w:p>
            <w:pPr>
              <w:pStyle w:val="yTableNAm"/>
            </w:pPr>
            <w:r>
              <w:t>Graeme Henderson</w:t>
            </w:r>
          </w:p>
        </w:tc>
        <w:tc>
          <w:tcPr>
            <w:tcW w:w="2507" w:type="dxa"/>
          </w:tcPr>
          <w:p>
            <w:pPr>
              <w:pStyle w:val="yTableNAm"/>
            </w:pPr>
            <w:r>
              <w:t>John Cowen</w:t>
            </w:r>
          </w:p>
        </w:tc>
      </w:tr>
      <w:tr>
        <w:tc>
          <w:tcPr>
            <w:tcW w:w="2040" w:type="dxa"/>
          </w:tcPr>
          <w:p>
            <w:pPr>
              <w:pStyle w:val="yTableNAm"/>
            </w:pPr>
          </w:p>
        </w:tc>
        <w:tc>
          <w:tcPr>
            <w:tcW w:w="2541" w:type="dxa"/>
          </w:tcPr>
          <w:p>
            <w:pPr>
              <w:pStyle w:val="yTableNAm"/>
            </w:pPr>
          </w:p>
        </w:tc>
        <w:tc>
          <w:tcPr>
            <w:tcW w:w="2507" w:type="dxa"/>
          </w:tcPr>
          <w:p>
            <w:pPr>
              <w:pStyle w:val="yTableNAm"/>
            </w:pPr>
            <w:r>
              <w:t>Alan Henderson</w:t>
            </w:r>
          </w:p>
        </w:tc>
      </w:tr>
      <w:tr>
        <w:tc>
          <w:tcPr>
            <w:tcW w:w="2040" w:type="dxa"/>
          </w:tcPr>
          <w:p>
            <w:pPr>
              <w:pStyle w:val="yTableNAm"/>
            </w:pPr>
          </w:p>
        </w:tc>
        <w:tc>
          <w:tcPr>
            <w:tcW w:w="2541" w:type="dxa"/>
          </w:tcPr>
          <w:p>
            <w:pPr>
              <w:pStyle w:val="yTableNAm"/>
            </w:pPr>
          </w:p>
        </w:tc>
        <w:tc>
          <w:tcPr>
            <w:tcW w:w="2507" w:type="dxa"/>
          </w:tcPr>
          <w:p>
            <w:pPr>
              <w:pStyle w:val="yTableNAm"/>
            </w:pPr>
            <w:r>
              <w:t>James Henderson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Zuytdorp</w:t>
            </w:r>
          </w:p>
        </w:tc>
        <w:tc>
          <w:tcPr>
            <w:tcW w:w="2541" w:type="dxa"/>
          </w:tcPr>
          <w:p>
            <w:pPr>
              <w:pStyle w:val="yTableNAm"/>
            </w:pPr>
            <w:r>
              <w:t>Tom Pepper</w:t>
            </w:r>
          </w:p>
        </w:tc>
        <w:tc>
          <w:tcPr>
            <w:tcW w:w="2507" w:type="dxa"/>
          </w:tcPr>
          <w:p>
            <w:pPr>
              <w:pStyle w:val="yTableNAm"/>
            </w:pPr>
            <w:r>
              <w:t>Tom Brady</w:t>
            </w:r>
          </w:p>
        </w:tc>
      </w:tr>
      <w:tr>
        <w:tc>
          <w:tcPr>
            <w:tcW w:w="2040" w:type="dxa"/>
          </w:tcPr>
          <w:p>
            <w:pPr>
              <w:pStyle w:val="yTableNAm"/>
            </w:pPr>
          </w:p>
        </w:tc>
        <w:tc>
          <w:tcPr>
            <w:tcW w:w="2541" w:type="dxa"/>
          </w:tcPr>
          <w:p>
            <w:pPr>
              <w:pStyle w:val="yTableNAm"/>
            </w:pPr>
            <w:r>
              <w:t>Phillip Playford</w:t>
            </w:r>
          </w:p>
        </w:tc>
        <w:tc>
          <w:tcPr>
            <w:tcW w:w="2507" w:type="dxa"/>
          </w:tcPr>
          <w:p>
            <w:pPr>
              <w:pStyle w:val="yTableNAm"/>
            </w:pPr>
            <w:r>
              <w:t>Graham Cramer</w:t>
            </w:r>
          </w:p>
        </w:tc>
      </w:tr>
      <w:tr>
        <w:tc>
          <w:tcPr>
            <w:tcW w:w="2040" w:type="dxa"/>
          </w:tcPr>
          <w:p>
            <w:pPr>
              <w:pStyle w:val="yTableNAm"/>
            </w:pPr>
          </w:p>
        </w:tc>
        <w:tc>
          <w:tcPr>
            <w:tcW w:w="2541" w:type="dxa"/>
          </w:tcPr>
          <w:p>
            <w:pPr>
              <w:pStyle w:val="yTableNAm"/>
            </w:pPr>
          </w:p>
        </w:tc>
        <w:tc>
          <w:tcPr>
            <w:tcW w:w="2507" w:type="dxa"/>
          </w:tcPr>
          <w:p>
            <w:pPr>
              <w:pStyle w:val="yTableNAm"/>
            </w:pPr>
            <w:r>
              <w:t>Max Cramer</w:t>
            </w:r>
          </w:p>
        </w:tc>
      </w:tr>
      <w:tr>
        <w:tc>
          <w:tcPr>
            <w:tcW w:w="2040" w:type="dxa"/>
          </w:tcPr>
          <w:p>
            <w:pPr>
              <w:pStyle w:val="yTableNAm"/>
            </w:pPr>
          </w:p>
        </w:tc>
        <w:tc>
          <w:tcPr>
            <w:tcW w:w="2541" w:type="dxa"/>
          </w:tcPr>
          <w:p>
            <w:pPr>
              <w:pStyle w:val="yTableNAm"/>
            </w:pPr>
          </w:p>
        </w:tc>
        <w:tc>
          <w:tcPr>
            <w:tcW w:w="2507" w:type="dxa"/>
          </w:tcPr>
          <w:p>
            <w:pPr>
              <w:pStyle w:val="yTableNAm"/>
            </w:pPr>
            <w:r>
              <w:t>Ada Drage</w:t>
            </w:r>
          </w:p>
        </w:tc>
      </w:tr>
      <w:tr>
        <w:tc>
          <w:tcPr>
            <w:tcW w:w="2040" w:type="dxa"/>
          </w:tcPr>
          <w:p>
            <w:pPr>
              <w:pStyle w:val="yTableNAm"/>
            </w:pPr>
            <w:r>
              <w:rPr>
                <w:i/>
              </w:rPr>
              <w:t>Zeewyk</w:t>
            </w:r>
          </w:p>
        </w:tc>
        <w:tc>
          <w:tcPr>
            <w:tcW w:w="2541" w:type="dxa"/>
          </w:tcPr>
          <w:p>
            <w:pPr>
              <w:pStyle w:val="yTableNAm"/>
            </w:pPr>
            <w:r>
              <w:t>Harry Bingham</w:t>
            </w:r>
          </w:p>
        </w:tc>
        <w:tc>
          <w:tcPr>
            <w:tcW w:w="2507" w:type="dxa"/>
          </w:tcPr>
          <w:p>
            <w:pPr>
              <w:pStyle w:val="yTableNAm"/>
            </w:pPr>
            <w:r>
              <w:t>Max Cramer</w:t>
            </w:r>
          </w:p>
        </w:tc>
      </w:tr>
      <w:tr>
        <w:tc>
          <w:tcPr>
            <w:tcW w:w="2040" w:type="dxa"/>
          </w:tcPr>
          <w:p>
            <w:pPr>
              <w:pStyle w:val="yTableNAm"/>
            </w:pPr>
          </w:p>
        </w:tc>
        <w:tc>
          <w:tcPr>
            <w:tcW w:w="2541" w:type="dxa"/>
          </w:tcPr>
          <w:p>
            <w:pPr>
              <w:pStyle w:val="yTableNAm"/>
            </w:pPr>
            <w:r>
              <w:t>Tom Brady</w:t>
            </w:r>
          </w:p>
        </w:tc>
        <w:tc>
          <w:tcPr>
            <w:tcW w:w="2507" w:type="dxa"/>
          </w:tcPr>
          <w:p>
            <w:pPr>
              <w:pStyle w:val="yTableNAm"/>
            </w:pPr>
            <w:r>
              <w:t>Colin Jack</w:t>
            </w:r>
            <w:r>
              <w:noBreakHyphen/>
              <w:t>Hinton</w:t>
            </w:r>
          </w:p>
        </w:tc>
      </w:tr>
      <w:tr>
        <w:tc>
          <w:tcPr>
            <w:tcW w:w="2040" w:type="dxa"/>
          </w:tcPr>
          <w:p>
            <w:pPr>
              <w:pStyle w:val="yTableNAm"/>
            </w:pPr>
          </w:p>
        </w:tc>
        <w:tc>
          <w:tcPr>
            <w:tcW w:w="2541" w:type="dxa"/>
          </w:tcPr>
          <w:p>
            <w:pPr>
              <w:pStyle w:val="yTableNAm"/>
            </w:pPr>
            <w:r>
              <w:t>Hugh Edwards</w:t>
            </w:r>
          </w:p>
        </w:tc>
        <w:tc>
          <w:tcPr>
            <w:tcW w:w="2507" w:type="dxa"/>
          </w:tcPr>
          <w:p>
            <w:pPr>
              <w:pStyle w:val="yTableNAm"/>
            </w:pPr>
            <w:r>
              <w:t>Neil McLaghlan</w:t>
            </w:r>
          </w:p>
        </w:tc>
      </w:tr>
    </w:tbl>
    <w:p>
      <w:pPr>
        <w:pStyle w:val="yFootnotesection"/>
      </w:pPr>
      <w:r>
        <w:tab/>
        <w:t>[Third Schedule inserted by No. 44 of 1997 s. 5.]</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 w:name="_Toc379268170"/>
      <w:r>
        <w:t>Notes</w:t>
      </w:r>
      <w:bookmarkEnd w:id="28"/>
    </w:p>
    <w:p>
      <w:pPr>
        <w:pStyle w:val="nSubsection"/>
        <w:rPr>
          <w:snapToGrid w:val="0"/>
        </w:rPr>
      </w:pPr>
      <w:r>
        <w:rPr>
          <w:snapToGrid w:val="0"/>
          <w:vertAlign w:val="superscript"/>
        </w:rPr>
        <w:t>1</w:t>
      </w:r>
      <w:r>
        <w:rPr>
          <w:snapToGrid w:val="0"/>
        </w:rPr>
        <w:tab/>
        <w:t xml:space="preserve">This is a compilation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 w:name="_Toc379268171"/>
      <w:r>
        <w:rPr>
          <w:snapToGrid w:val="0"/>
        </w:rPr>
        <w:t>Compilation table</w:t>
      </w:r>
      <w:bookmarkEnd w:id="29"/>
    </w:p>
    <w:tbl>
      <w:tblPr>
        <w:tblW w:w="7094" w:type="dxa"/>
        <w:tblInd w:w="154" w:type="dxa"/>
        <w:tblLayout w:type="fixed"/>
        <w:tblCellMar>
          <w:left w:w="56" w:type="dxa"/>
          <w:right w:w="56" w:type="dxa"/>
        </w:tblCellMar>
        <w:tblLook w:val="0000" w:firstRow="0" w:lastRow="0" w:firstColumn="0" w:lastColumn="0" w:noHBand="0" w:noVBand="0"/>
      </w:tblPr>
      <w:tblGrid>
        <w:gridCol w:w="12"/>
        <w:gridCol w:w="2211"/>
        <w:gridCol w:w="6"/>
        <w:gridCol w:w="1113"/>
        <w:gridCol w:w="1112"/>
        <w:gridCol w:w="2615"/>
        <w:gridCol w:w="25"/>
      </w:tblGrid>
      <w:tr>
        <w:trPr>
          <w:gridBefore w:val="1"/>
          <w:wBefore w:w="12" w:type="dxa"/>
          <w:tblHeader/>
        </w:trPr>
        <w:tc>
          <w:tcPr>
            <w:tcW w:w="221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3" w:type="dxa"/>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64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2" w:type="dxa"/>
        </w:trPr>
        <w:tc>
          <w:tcPr>
            <w:tcW w:w="2217" w:type="dxa"/>
            <w:gridSpan w:val="2"/>
          </w:tcPr>
          <w:p>
            <w:pPr>
              <w:pStyle w:val="nTable"/>
              <w:spacing w:after="40"/>
              <w:rPr>
                <w:sz w:val="19"/>
              </w:rPr>
            </w:pPr>
            <w:r>
              <w:rPr>
                <w:i/>
                <w:sz w:val="19"/>
              </w:rPr>
              <w:t>Maritime Archaeology Act 1973</w:t>
            </w:r>
          </w:p>
        </w:tc>
        <w:tc>
          <w:tcPr>
            <w:tcW w:w="1113" w:type="dxa"/>
          </w:tcPr>
          <w:p>
            <w:pPr>
              <w:pStyle w:val="nTable"/>
              <w:spacing w:after="40"/>
              <w:rPr>
                <w:sz w:val="19"/>
              </w:rPr>
            </w:pPr>
            <w:r>
              <w:rPr>
                <w:sz w:val="19"/>
              </w:rPr>
              <w:t>66 of 1973</w:t>
            </w:r>
          </w:p>
        </w:tc>
        <w:tc>
          <w:tcPr>
            <w:tcW w:w="1112" w:type="dxa"/>
          </w:tcPr>
          <w:p>
            <w:pPr>
              <w:pStyle w:val="nTable"/>
              <w:spacing w:after="40"/>
              <w:rPr>
                <w:sz w:val="19"/>
              </w:rPr>
            </w:pPr>
            <w:r>
              <w:rPr>
                <w:sz w:val="19"/>
              </w:rPr>
              <w:t>28 Nov 1973</w:t>
            </w:r>
          </w:p>
        </w:tc>
        <w:tc>
          <w:tcPr>
            <w:tcW w:w="2640"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rPr>
          <w:gridBefore w:val="1"/>
          <w:wBefore w:w="12" w:type="dxa"/>
        </w:trPr>
        <w:tc>
          <w:tcPr>
            <w:tcW w:w="2217" w:type="dxa"/>
            <w:gridSpan w:val="2"/>
          </w:tcPr>
          <w:p>
            <w:pPr>
              <w:pStyle w:val="nTable"/>
              <w:spacing w:after="40"/>
              <w:rPr>
                <w:sz w:val="19"/>
              </w:rPr>
            </w:pPr>
            <w:r>
              <w:rPr>
                <w:i/>
                <w:sz w:val="19"/>
              </w:rPr>
              <w:t xml:space="preserve">Sentencing (Consequential Provisions) Act 1995 </w:t>
            </w:r>
            <w:r>
              <w:rPr>
                <w:sz w:val="19"/>
              </w:rPr>
              <w:t>s. 147</w:t>
            </w:r>
          </w:p>
        </w:tc>
        <w:tc>
          <w:tcPr>
            <w:tcW w:w="1113" w:type="dxa"/>
          </w:tcPr>
          <w:p>
            <w:pPr>
              <w:pStyle w:val="nTable"/>
              <w:spacing w:after="40"/>
              <w:rPr>
                <w:sz w:val="19"/>
              </w:rPr>
            </w:pPr>
            <w:r>
              <w:rPr>
                <w:sz w:val="19"/>
              </w:rPr>
              <w:t>78 of 1995</w:t>
            </w:r>
          </w:p>
        </w:tc>
        <w:tc>
          <w:tcPr>
            <w:tcW w:w="1112" w:type="dxa"/>
          </w:tcPr>
          <w:p>
            <w:pPr>
              <w:pStyle w:val="nTable"/>
              <w:spacing w:after="40"/>
              <w:rPr>
                <w:sz w:val="19"/>
              </w:rPr>
            </w:pPr>
            <w:r>
              <w:rPr>
                <w:sz w:val="19"/>
              </w:rPr>
              <w:t>16 Jan 1996</w:t>
            </w:r>
          </w:p>
        </w:tc>
        <w:tc>
          <w:tcPr>
            <w:tcW w:w="264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2" w:type="dxa"/>
        </w:trPr>
        <w:tc>
          <w:tcPr>
            <w:tcW w:w="2217" w:type="dxa"/>
            <w:gridSpan w:val="2"/>
          </w:tcPr>
          <w:p>
            <w:pPr>
              <w:pStyle w:val="nTable"/>
              <w:spacing w:after="40"/>
              <w:rPr>
                <w:i/>
                <w:sz w:val="19"/>
              </w:rPr>
            </w:pPr>
            <w:r>
              <w:rPr>
                <w:i/>
                <w:sz w:val="19"/>
              </w:rPr>
              <w:t>Maritime Archaeology Amendment Act 1997</w:t>
            </w:r>
          </w:p>
        </w:tc>
        <w:tc>
          <w:tcPr>
            <w:tcW w:w="1113" w:type="dxa"/>
          </w:tcPr>
          <w:p>
            <w:pPr>
              <w:pStyle w:val="nTable"/>
              <w:spacing w:after="40"/>
              <w:rPr>
                <w:sz w:val="19"/>
              </w:rPr>
            </w:pPr>
            <w:r>
              <w:rPr>
                <w:sz w:val="19"/>
              </w:rPr>
              <w:t>44 of 1997</w:t>
            </w:r>
          </w:p>
        </w:tc>
        <w:tc>
          <w:tcPr>
            <w:tcW w:w="1112" w:type="dxa"/>
          </w:tcPr>
          <w:p>
            <w:pPr>
              <w:pStyle w:val="nTable"/>
              <w:spacing w:after="40"/>
              <w:rPr>
                <w:sz w:val="19"/>
              </w:rPr>
            </w:pPr>
            <w:r>
              <w:rPr>
                <w:sz w:val="19"/>
              </w:rPr>
              <w:t>9 Dec 1997</w:t>
            </w:r>
          </w:p>
        </w:tc>
        <w:tc>
          <w:tcPr>
            <w:tcW w:w="2640" w:type="dxa"/>
            <w:gridSpan w:val="2"/>
          </w:tcPr>
          <w:p>
            <w:pPr>
              <w:pStyle w:val="nTable"/>
              <w:spacing w:after="40"/>
              <w:rPr>
                <w:sz w:val="19"/>
              </w:rPr>
            </w:pPr>
            <w:r>
              <w:rPr>
                <w:sz w:val="19"/>
              </w:rPr>
              <w:t>9 Dec 1997 (see s. 2)</w:t>
            </w:r>
          </w:p>
        </w:tc>
      </w:tr>
      <w:tr>
        <w:trPr>
          <w:gridBefore w:val="1"/>
          <w:wBefore w:w="12" w:type="dxa"/>
          <w:cantSplit/>
        </w:trPr>
        <w:tc>
          <w:tcPr>
            <w:tcW w:w="7082" w:type="dxa"/>
            <w:gridSpan w:val="6"/>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rPr>
          <w:gridBefore w:val="1"/>
          <w:wBefore w:w="12" w:type="dxa"/>
        </w:trPr>
        <w:tc>
          <w:tcPr>
            <w:tcW w:w="2217" w:type="dxa"/>
            <w:gridSpan w:val="2"/>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13" w:type="dxa"/>
          </w:tcPr>
          <w:p>
            <w:pPr>
              <w:pStyle w:val="nTable"/>
              <w:spacing w:after="40"/>
              <w:rPr>
                <w:sz w:val="19"/>
              </w:rPr>
            </w:pPr>
            <w:r>
              <w:rPr>
                <w:rFonts w:ascii="Times" w:hAnsi="Times"/>
                <w:sz w:val="19"/>
              </w:rPr>
              <w:t>55 of 2004</w:t>
            </w:r>
          </w:p>
        </w:tc>
        <w:tc>
          <w:tcPr>
            <w:tcW w:w="1112" w:type="dxa"/>
          </w:tcPr>
          <w:p>
            <w:pPr>
              <w:pStyle w:val="nTable"/>
              <w:spacing w:after="40"/>
              <w:rPr>
                <w:sz w:val="19"/>
              </w:rPr>
            </w:pPr>
            <w:r>
              <w:rPr>
                <w:rFonts w:ascii="Times" w:hAnsi="Times"/>
                <w:sz w:val="19"/>
              </w:rPr>
              <w:t>24 Nov 2004</w:t>
            </w:r>
          </w:p>
        </w:tc>
        <w:tc>
          <w:tcPr>
            <w:tcW w:w="2640"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12" w:type="dxa"/>
        </w:trPr>
        <w:tc>
          <w:tcPr>
            <w:tcW w:w="2217" w:type="dxa"/>
            <w:gridSpan w:val="2"/>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 and 82</w:t>
            </w:r>
          </w:p>
        </w:tc>
        <w:tc>
          <w:tcPr>
            <w:tcW w:w="1113" w:type="dxa"/>
          </w:tcPr>
          <w:p>
            <w:pPr>
              <w:pStyle w:val="nTable"/>
              <w:spacing w:after="40"/>
              <w:rPr>
                <w:rFonts w:ascii="Times" w:hAnsi="Times"/>
                <w:sz w:val="19"/>
              </w:rPr>
            </w:pPr>
            <w:r>
              <w:rPr>
                <w:snapToGrid w:val="0"/>
                <w:sz w:val="19"/>
              </w:rPr>
              <w:t>84 of 2004</w:t>
            </w:r>
          </w:p>
        </w:tc>
        <w:tc>
          <w:tcPr>
            <w:tcW w:w="1112" w:type="dxa"/>
          </w:tcPr>
          <w:p>
            <w:pPr>
              <w:pStyle w:val="nTable"/>
              <w:spacing w:after="40"/>
              <w:rPr>
                <w:rFonts w:ascii="Times" w:hAnsi="Times"/>
                <w:sz w:val="19"/>
              </w:rPr>
            </w:pPr>
            <w:r>
              <w:rPr>
                <w:sz w:val="19"/>
              </w:rPr>
              <w:t>16 Dec 2004</w:t>
            </w:r>
          </w:p>
        </w:tc>
        <w:tc>
          <w:tcPr>
            <w:tcW w:w="2640"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Before w:val="1"/>
          <w:wBefore w:w="12" w:type="dxa"/>
          <w:cantSplit/>
        </w:trPr>
        <w:tc>
          <w:tcPr>
            <w:tcW w:w="2217"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11</w:t>
            </w:r>
          </w:p>
        </w:tc>
        <w:tc>
          <w:tcPr>
            <w:tcW w:w="1113" w:type="dxa"/>
          </w:tcPr>
          <w:p>
            <w:pPr>
              <w:pStyle w:val="nTable"/>
              <w:spacing w:after="40"/>
              <w:rPr>
                <w:snapToGrid w:val="0"/>
                <w:sz w:val="19"/>
              </w:rPr>
            </w:pPr>
            <w:r>
              <w:rPr>
                <w:snapToGrid w:val="0"/>
                <w:sz w:val="19"/>
              </w:rPr>
              <w:t>59 of 2006</w:t>
            </w:r>
          </w:p>
        </w:tc>
        <w:tc>
          <w:tcPr>
            <w:tcW w:w="1112" w:type="dxa"/>
          </w:tcPr>
          <w:p>
            <w:pPr>
              <w:pStyle w:val="nTable"/>
              <w:spacing w:after="40"/>
              <w:rPr>
                <w:sz w:val="19"/>
              </w:rPr>
            </w:pPr>
            <w:r>
              <w:rPr>
                <w:sz w:val="19"/>
              </w:rPr>
              <w:t>16 Nov 2006</w:t>
            </w:r>
          </w:p>
        </w:tc>
        <w:tc>
          <w:tcPr>
            <w:tcW w:w="2640"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25" w:type="dxa"/>
          <w:cantSplit/>
        </w:trPr>
        <w:tc>
          <w:tcPr>
            <w:tcW w:w="2223" w:type="dxa"/>
            <w:gridSpan w:val="2"/>
          </w:tcPr>
          <w:p>
            <w:pPr>
              <w:pStyle w:val="nTable"/>
              <w:spacing w:after="40"/>
              <w:ind w:right="113"/>
              <w:rPr>
                <w:iCs/>
                <w:sz w:val="19"/>
              </w:rPr>
            </w:pPr>
            <w:r>
              <w:rPr>
                <w:i/>
                <w:sz w:val="19"/>
              </w:rPr>
              <w:t>Statutes (Repeals and Miscellaneous Amendments) Act 2009</w:t>
            </w:r>
            <w:r>
              <w:rPr>
                <w:iCs/>
                <w:sz w:val="19"/>
              </w:rPr>
              <w:t xml:space="preserve"> s. 90</w:t>
            </w:r>
          </w:p>
        </w:tc>
        <w:tc>
          <w:tcPr>
            <w:tcW w:w="1119" w:type="dxa"/>
            <w:gridSpan w:val="2"/>
          </w:tcPr>
          <w:p>
            <w:pPr>
              <w:pStyle w:val="nTable"/>
              <w:spacing w:after="40"/>
              <w:rPr>
                <w:sz w:val="19"/>
              </w:rPr>
            </w:pPr>
            <w:r>
              <w:rPr>
                <w:sz w:val="19"/>
              </w:rPr>
              <w:t xml:space="preserve">8 of 2009 </w:t>
            </w:r>
          </w:p>
        </w:tc>
        <w:tc>
          <w:tcPr>
            <w:tcW w:w="1112" w:type="dxa"/>
          </w:tcPr>
          <w:p>
            <w:pPr>
              <w:pStyle w:val="nTable"/>
              <w:spacing w:after="40"/>
              <w:ind w:right="-38"/>
              <w:rPr>
                <w:sz w:val="19"/>
              </w:rPr>
            </w:pPr>
            <w:r>
              <w:rPr>
                <w:sz w:val="19"/>
              </w:rPr>
              <w:t>21 May 2009</w:t>
            </w:r>
          </w:p>
        </w:tc>
        <w:tc>
          <w:tcPr>
            <w:tcW w:w="2615" w:type="dxa"/>
          </w:tcPr>
          <w:p>
            <w:pPr>
              <w:pStyle w:val="nTable"/>
              <w:spacing w:after="40"/>
              <w:rPr>
                <w:sz w:val="19"/>
              </w:rPr>
            </w:pPr>
            <w:r>
              <w:rPr>
                <w:sz w:val="19"/>
              </w:rPr>
              <w:t>22 May 2009 (see s. 2(b))</w:t>
            </w:r>
          </w:p>
        </w:tc>
      </w:tr>
      <w:tr>
        <w:trPr>
          <w:gridAfter w:val="1"/>
          <w:wAfter w:w="25" w:type="dxa"/>
          <w:cantSplit/>
        </w:trPr>
        <w:tc>
          <w:tcPr>
            <w:tcW w:w="7069" w:type="dxa"/>
            <w:gridSpan w:val="6"/>
          </w:tcPr>
          <w:p>
            <w:pPr>
              <w:pStyle w:val="nTable"/>
              <w:spacing w:after="40"/>
              <w:rPr>
                <w:sz w:val="19"/>
              </w:rPr>
            </w:pPr>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p>
        </w:tc>
      </w:tr>
      <w:tr>
        <w:trPr>
          <w:gridAfter w:val="1"/>
          <w:wAfter w:w="25" w:type="dxa"/>
          <w:cantSplit/>
        </w:trPr>
        <w:tc>
          <w:tcPr>
            <w:tcW w:w="2223" w:type="dxa"/>
            <w:gridSpan w:val="2"/>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19" w:type="dxa"/>
            <w:gridSpan w:val="2"/>
            <w:tcBorders>
              <w:bottom w:val="single" w:sz="4" w:space="0" w:color="auto"/>
            </w:tcBorders>
          </w:tcPr>
          <w:p>
            <w:pPr>
              <w:pStyle w:val="nTable"/>
              <w:spacing w:after="40"/>
              <w:rPr>
                <w:snapToGrid w:val="0"/>
                <w:sz w:val="19"/>
              </w:rPr>
            </w:pPr>
            <w:r>
              <w:rPr>
                <w:snapToGrid w:val="0"/>
                <w:sz w:val="19"/>
              </w:rPr>
              <w:t>19 of 2010</w:t>
            </w:r>
          </w:p>
        </w:tc>
        <w:tc>
          <w:tcPr>
            <w:tcW w:w="1112" w:type="dxa"/>
            <w:tcBorders>
              <w:bottom w:val="single" w:sz="4" w:space="0" w:color="auto"/>
            </w:tcBorders>
          </w:tcPr>
          <w:p>
            <w:pPr>
              <w:pStyle w:val="nTable"/>
              <w:spacing w:after="40"/>
              <w:rPr>
                <w:snapToGrid w:val="0"/>
                <w:sz w:val="19"/>
              </w:rPr>
            </w:pPr>
            <w:r>
              <w:rPr>
                <w:snapToGrid w:val="0"/>
                <w:sz w:val="19"/>
              </w:rPr>
              <w:t>28 Jun 2010</w:t>
            </w:r>
          </w:p>
        </w:tc>
        <w:tc>
          <w:tcPr>
            <w:tcW w:w="2615"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keepNext/>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0" w:name="_Toc379268172"/>
      <w:r>
        <w:rPr>
          <w:snapToGrid w:val="0"/>
        </w:rPr>
        <w:t>Provisions that have not come into operation</w:t>
      </w:r>
      <w:bookmarkEnd w:id="30"/>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2"/>
        <w:gridCol w:w="2558"/>
      </w:tblGrid>
      <w:tr>
        <w:trPr>
          <w:cantSplit/>
          <w:tblHeader/>
        </w:trPr>
        <w:tc>
          <w:tcPr>
            <w:tcW w:w="2262"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3"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1" w:type="dxa"/>
            <w:tcBorders>
              <w:top w:val="single" w:sz="8" w:space="0" w:color="auto"/>
              <w:bottom w:val="single" w:sz="8" w:space="0" w:color="auto"/>
            </w:tcBorders>
          </w:tcPr>
          <w:p>
            <w:pPr>
              <w:pStyle w:val="nTable"/>
              <w:spacing w:after="40"/>
              <w:ind w:left="32"/>
              <w:rPr>
                <w:b/>
                <w:sz w:val="19"/>
              </w:rPr>
            </w:pPr>
            <w:r>
              <w:rPr>
                <w:b/>
                <w:sz w:val="19"/>
              </w:rPr>
              <w:t>Assent</w:t>
            </w:r>
          </w:p>
        </w:tc>
        <w:tc>
          <w:tcPr>
            <w:tcW w:w="2556"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2" w:type="dxa"/>
            <w:tcBorders>
              <w:top w:val="single" w:sz="8" w:space="0" w:color="auto"/>
              <w:bottom w:val="single" w:sz="4"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8</w:t>
            </w:r>
          </w:p>
        </w:tc>
        <w:tc>
          <w:tcPr>
            <w:tcW w:w="1133" w:type="dxa"/>
            <w:tcBorders>
              <w:top w:val="single" w:sz="8" w:space="0" w:color="auto"/>
              <w:bottom w:val="single" w:sz="4" w:space="0" w:color="auto"/>
            </w:tcBorders>
          </w:tcPr>
          <w:p>
            <w:pPr>
              <w:pStyle w:val="nTable"/>
              <w:keepNext/>
              <w:keepLines/>
              <w:spacing w:after="40"/>
              <w:ind w:left="16"/>
              <w:rPr>
                <w:sz w:val="19"/>
              </w:rPr>
            </w:pPr>
            <w:r>
              <w:rPr>
                <w:sz w:val="19"/>
              </w:rPr>
              <w:t>50 of 2003</w:t>
            </w:r>
          </w:p>
        </w:tc>
        <w:tc>
          <w:tcPr>
            <w:tcW w:w="1131" w:type="dxa"/>
            <w:tcBorders>
              <w:top w:val="single" w:sz="8" w:space="0" w:color="auto"/>
              <w:bottom w:val="single" w:sz="4" w:space="0" w:color="auto"/>
            </w:tcBorders>
          </w:tcPr>
          <w:p>
            <w:pPr>
              <w:pStyle w:val="nTable"/>
              <w:spacing w:after="40"/>
              <w:ind w:left="32"/>
              <w:rPr>
                <w:sz w:val="19"/>
              </w:rPr>
            </w:pPr>
            <w:r>
              <w:rPr>
                <w:sz w:val="19"/>
              </w:rPr>
              <w:t>9 Jul 2003</w:t>
            </w:r>
          </w:p>
        </w:tc>
        <w:tc>
          <w:tcPr>
            <w:tcW w:w="2556" w:type="dxa"/>
            <w:tcBorders>
              <w:top w:val="single" w:sz="8" w:space="0" w:color="auto"/>
              <w:bottom w:val="single" w:sz="4" w:space="0" w:color="auto"/>
            </w:tcBorders>
          </w:tcPr>
          <w:p>
            <w:pPr>
              <w:pStyle w:val="nTable"/>
              <w:spacing w:after="40"/>
              <w:ind w:left="74" w:right="170"/>
              <w:rPr>
                <w:sz w:val="19"/>
                <w:vertAlign w:val="superscript"/>
              </w:rPr>
            </w:pPr>
            <w:r>
              <w:rPr>
                <w:sz w:val="19"/>
              </w:rPr>
              <w:t>To be proclaimed (see s. 2)</w:t>
            </w:r>
          </w:p>
        </w:tc>
      </w:tr>
    </w:tbl>
    <w:p>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tab/>
        <w:t xml:space="preserve">On the date as at which this reprint was prepared, the </w:t>
      </w:r>
      <w:r>
        <w:rPr>
          <w:i/>
        </w:rPr>
        <w:t>Sentencing Legislation Amendment and Repeal Act 2003</w:t>
      </w:r>
      <w:r>
        <w:t xml:space="preserve"> s. 78</w:t>
      </w:r>
      <w:r>
        <w:rPr>
          <w:i/>
        </w:rPr>
        <w:t xml:space="preserve"> </w:t>
      </w:r>
      <w:r>
        <w:t>had not come into operation.  It reads as follows:</w:t>
      </w:r>
    </w:p>
    <w:p>
      <w:pPr>
        <w:pStyle w:val="BlankOpen"/>
      </w:pPr>
    </w:p>
    <w:p>
      <w:pPr>
        <w:pStyle w:val="nzHeading5"/>
        <w:spacing w:before="0"/>
      </w:pPr>
      <w:r>
        <w:rPr>
          <w:rStyle w:val="CharSectno"/>
        </w:rPr>
        <w:t>78</w:t>
      </w:r>
      <w:r>
        <w:t>.</w:t>
      </w:r>
      <w:r>
        <w:tab/>
      </w:r>
      <w:r>
        <w:rPr>
          <w:i/>
        </w:rPr>
        <w:t>Maritime Archaeology Act 1973</w:t>
      </w:r>
      <w:r>
        <w:t xml:space="preserve"> amended</w:t>
      </w:r>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1" w:name="_Toc379268173"/>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ancient shipwreck</w:t>
      </w:r>
      <w:r>
        <w:tab/>
        <w:t>24(2)</w:t>
      </w:r>
    </w:p>
    <w:p>
      <w:pPr>
        <w:pStyle w:val="DefinedTerms"/>
      </w:pPr>
      <w:r>
        <w:t>Board</w:t>
      </w:r>
      <w:r>
        <w:tab/>
        <w:t>3</w:t>
      </w:r>
    </w:p>
    <w:p>
      <w:pPr>
        <w:pStyle w:val="DefinedTerms"/>
      </w:pPr>
      <w:r>
        <w:t>Director</w:t>
      </w:r>
      <w:r>
        <w:tab/>
        <w:t>3</w:t>
      </w:r>
    </w:p>
    <w:p>
      <w:pPr>
        <w:pStyle w:val="DefinedTerms"/>
      </w:pPr>
      <w:r>
        <w:t>historic ship</w:t>
      </w:r>
      <w:r>
        <w:tab/>
        <w:t>3</w:t>
      </w:r>
    </w:p>
    <w:p>
      <w:pPr>
        <w:pStyle w:val="DefinedTerms"/>
      </w:pPr>
      <w:r>
        <w:t>Museum</w:t>
      </w:r>
      <w:r>
        <w:tab/>
        <w:t>3</w:t>
      </w:r>
    </w:p>
    <w:p>
      <w:pPr>
        <w:pStyle w:val="DefinedTerms"/>
      </w:pPr>
      <w:r>
        <w:t>primary discoverer</w:t>
      </w:r>
      <w:r>
        <w:tab/>
        <w:t>24(2)</w:t>
      </w:r>
    </w:p>
    <w:p>
      <w:pPr>
        <w:pStyle w:val="DefinedTerms"/>
      </w:pPr>
      <w:r>
        <w:t>protected zone</w:t>
      </w:r>
      <w:r>
        <w:tab/>
        <w:t>3</w:t>
      </w:r>
    </w:p>
    <w:p>
      <w:pPr>
        <w:pStyle w:val="DefinedTerms"/>
      </w:pPr>
      <w:r>
        <w:t>relic</w:t>
      </w:r>
      <w:r>
        <w:tab/>
        <w:t>3</w:t>
      </w:r>
    </w:p>
    <w:p>
      <w:pPr>
        <w:pStyle w:val="DefinedTerms"/>
      </w:pPr>
      <w:r>
        <w:t>secondary discoverer</w:t>
      </w:r>
      <w:r>
        <w:tab/>
        <w:t>24(2)</w:t>
      </w:r>
    </w:p>
    <w:p>
      <w:pPr>
        <w:pStyle w:val="DefinedTerms"/>
      </w:pPr>
      <w:r>
        <w:t>section</w:t>
      </w:r>
      <w:r>
        <w:tab/>
        <w:t>3</w:t>
      </w:r>
    </w:p>
    <w:p>
      <w:pPr>
        <w:pStyle w:val="DefinedTerms"/>
      </w:pPr>
      <w:r>
        <w:t>ship</w:t>
      </w:r>
      <w:r>
        <w:tab/>
        <w:t>3</w:t>
      </w:r>
    </w:p>
    <w:p>
      <w:pPr>
        <w:pStyle w:val="DefinedTerms"/>
      </w:pPr>
      <w:r>
        <w:t>site</w:t>
      </w:r>
      <w:r>
        <w:tab/>
        <w:t>3</w:t>
      </w:r>
    </w:p>
    <w:p>
      <w:pPr>
        <w:pStyle w:val="DefinedTerms"/>
      </w:pPr>
      <w:r>
        <w:t>Trustees</w:t>
      </w:r>
      <w:r>
        <w:tab/>
        <w:t>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Maritime Archaeology Act 1973</w:t>
            </w:r>
          </w:fldSimple>
        </w:p>
      </w:tc>
    </w:tr>
    <w:tr>
      <w:tc>
        <w:tcPr>
          <w:tcW w:w="1864" w:type="dxa"/>
        </w:tcPr>
        <w:p>
          <w:pPr>
            <w:pStyle w:val="HeaderNumberLeft"/>
            <w:rPr>
              <w:b w:val="0"/>
            </w:rPr>
          </w:pPr>
          <w:r>
            <w:fldChar w:fldCharType="begin"/>
          </w:r>
          <w:r>
            <w:instrText xml:space="preserve"> styleref CharSchno </w:instrText>
          </w:r>
          <w:r>
            <w:rPr>
              <w:noProof/>
            </w:rPr>
            <w:fldChar w:fldCharType="end"/>
          </w:r>
        </w:p>
      </w:tc>
      <w:tc>
        <w:tcPr>
          <w:tcW w:w="5399" w:type="dxa"/>
        </w:tcPr>
        <w:p>
          <w:pPr>
            <w:pStyle w:val="HeaderTextLeft"/>
          </w:pPr>
          <w:fldSimple w:instr=" styleref CharSchText ">
            <w:r>
              <w:rPr>
                <w:noProof/>
              </w:rPr>
              <w:t>Ships notified under Museums Acts</w:t>
            </w:r>
          </w:fldSimple>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78" w:type="dxa"/>
          <w:vAlign w:val="bottom"/>
        </w:tcPr>
        <w:p>
          <w:pPr>
            <w:pStyle w:val="HeaderTextRight"/>
          </w:pPr>
          <w:fldSimple w:instr=" styleref CharSchText ">
            <w:r>
              <w:rPr>
                <w:noProof/>
              </w:rPr>
              <w:t>Ships notified under Museums Acts</w:t>
            </w:r>
          </w:fldSimple>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p>
      </w:tc>
      <w:tc>
        <w:tcPr>
          <w:tcW w:w="1885" w:type="dxa"/>
        </w:tcPr>
        <w:p>
          <w:pPr>
            <w:pStyle w:val="HeaderNumberRight"/>
            <w:ind w:right="17"/>
          </w:pP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Maritime Archaeology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23"/>
    <w:docVar w:name="WAFER_20140204085734" w:val="RemoveTocBookmarks,RemoveUnusedBookmarks,RemoveLanguageTags,UsedStyles,ResetPageSize,UpdateArrangement"/>
    <w:docVar w:name="WAFER_20140204085734_GUID" w:val="4868ab32-e37b-47d7-ae97-f7495a2d8d2a"/>
    <w:docVar w:name="WAFER_20140204090357" w:val="RemoveTocBookmarks,RunningHeaders"/>
    <w:docVar w:name="WAFER_20140204090357_GUID" w:val="61c27122-2f87-40ac-99f6-38d756ecd5ff"/>
    <w:docVar w:name="WAFER_20151208122423" w:val="RemoveTrackChanges"/>
    <w:docVar w:name="WAFER_20151208122423_GUID" w:val="bef4d016-3747-4e2f-a427-41bc2dc94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6183</Words>
  <Characters>29125</Characters>
  <Application>Microsoft Office Word</Application>
  <DocSecurity>0</DocSecurity>
  <Lines>939</Lines>
  <Paragraphs>526</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34782</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1973 - 02-c0-03</dc:title>
  <dc:subject/>
  <dc:creator/>
  <cp:keywords/>
  <dc:description/>
  <cp:lastModifiedBy>svcMRProcess</cp:lastModifiedBy>
  <cp:revision>4</cp:revision>
  <cp:lastPrinted>2010-05-31T00:26:00Z</cp:lastPrinted>
  <dcterms:created xsi:type="dcterms:W3CDTF">2015-12-10T10:12:00Z</dcterms:created>
  <dcterms:modified xsi:type="dcterms:W3CDTF">2015-12-10T10:12:00Z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477</vt:i4>
  </property>
  <property fmtid="{D5CDD505-2E9C-101B-9397-08002B2CF9AE}" pid="6" name="AsAtDate">
    <vt:lpwstr>11 Sep 2010</vt:lpwstr>
  </property>
  <property fmtid="{D5CDD505-2E9C-101B-9397-08002B2CF9AE}" pid="7" name="Suffix">
    <vt:lpwstr>02-c0-03</vt:lpwstr>
  </property>
  <property fmtid="{D5CDD505-2E9C-101B-9397-08002B2CF9AE}" pid="8" name="ReprintNo">
    <vt:lpwstr>2</vt:lpwstr>
  </property>
</Properties>
</file>