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 Australian Trustees Limited (Merger)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 Australian Trustees Limited (Merger) Act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_Toc536182561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_Toc536182562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_Toc536182563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_Toc536182564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Undertaking vested in Perpetual Trustees</w:t>
      </w:r>
      <w:r>
        <w:tab/>
      </w:r>
      <w:r>
        <w:fldChar w:fldCharType="begin"/>
      </w:r>
      <w:r>
        <w:instrText xml:space="preserve"> PAGEREF _Toc536182565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Supplementary provisions as to vesting of undertaking</w:t>
      </w:r>
      <w:r>
        <w:tab/>
      </w:r>
      <w:r>
        <w:fldChar w:fldCharType="begin"/>
      </w:r>
      <w:r>
        <w:instrText xml:space="preserve"> PAGEREF _Toc536182566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Rights in respect of land that is an excluded asset</w:t>
      </w:r>
      <w:r>
        <w:tab/>
      </w:r>
      <w:r>
        <w:fldChar w:fldCharType="begin"/>
      </w:r>
      <w:r>
        <w:instrText xml:space="preserve"> PAGEREF _Toc536182567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w:t>
      </w:r>
      <w:r>
        <w:tab/>
      </w:r>
      <w:r>
        <w:fldChar w:fldCharType="begin"/>
      </w:r>
      <w:r>
        <w:instrText xml:space="preserve"> PAGEREF _Toc536182568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w:t>
      </w:r>
      <w:r>
        <w:tab/>
      </w:r>
      <w:r>
        <w:fldChar w:fldCharType="begin"/>
      </w:r>
      <w:r>
        <w:instrText xml:space="preserve"> PAGEREF _Toc536182569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employees</w:t>
      </w:r>
      <w:r>
        <w:tab/>
      </w:r>
      <w:r>
        <w:fldChar w:fldCharType="begin"/>
      </w:r>
      <w:r>
        <w:instrText xml:space="preserve"> PAGEREF _Toc536182570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of new trustee</w:t>
      </w:r>
      <w:r>
        <w:tab/>
      </w:r>
      <w:r>
        <w:fldChar w:fldCharType="begin"/>
      </w:r>
      <w:r>
        <w:instrText xml:space="preserve"> PAGEREF _Toc536182571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securities</w:t>
      </w:r>
      <w:r>
        <w:tab/>
      </w:r>
      <w:r>
        <w:fldChar w:fldCharType="begin"/>
      </w:r>
      <w:r>
        <w:instrText xml:space="preserve"> PAGEREF _Toc536182572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Officers to register documents</w:t>
      </w:r>
      <w:r>
        <w:tab/>
      </w:r>
      <w:r>
        <w:fldChar w:fldCharType="begin"/>
      </w:r>
      <w:r>
        <w:instrText xml:space="preserve"> PAGEREF _Toc536182573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persons dealing with Perpetual Trustees or WA Trustees</w:t>
      </w:r>
      <w:r>
        <w:tab/>
      </w:r>
      <w:r>
        <w:fldChar w:fldCharType="begin"/>
      </w:r>
      <w:r>
        <w:instrText xml:space="preserve"> PAGEREF _Toc536182574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Transfer of WA Trustees Common Fund to common trust funds of Perpetual Trustees</w:t>
      </w:r>
      <w:r>
        <w:tab/>
      </w:r>
      <w:r>
        <w:fldChar w:fldCharType="begin"/>
      </w:r>
      <w:r>
        <w:instrText xml:space="preserve"> PAGEREF _Toc536182575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Excluded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_Toc536182578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 Australian Trustees Limited (Merger) Act 1989 </w:t>
      </w:r>
    </w:p>
    <w:p>
      <w:pPr>
        <w:pStyle w:val="LongTitle"/>
        <w:rPr>
          <w:snapToGrid w:val="0"/>
        </w:rPr>
      </w:pPr>
      <w:r>
        <w:rPr>
          <w:snapToGrid w:val="0"/>
        </w:rPr>
        <w:t xml:space="preserve">An Act to provide for the transfer to Perpetual Trustees WA Limited of the undertaking of West Australian Trustees Limited, to amend the </w:t>
      </w:r>
      <w:r>
        <w:rPr>
          <w:i/>
          <w:snapToGrid w:val="0"/>
        </w:rPr>
        <w:t>Trustee Companies Act 1987</w:t>
      </w:r>
      <w:r>
        <w:rPr>
          <w:b w:val="0"/>
          <w:snapToGrid w:val="0"/>
          <w:vertAlign w:val="superscript"/>
        </w:rPr>
        <w:t> 2</w:t>
      </w:r>
      <w:r>
        <w:rPr>
          <w:snapToGrid w:val="0"/>
        </w:rPr>
        <w:t xml:space="preserve">, and for connected purposes. </w:t>
      </w:r>
    </w:p>
    <w:p>
      <w:pPr>
        <w:pStyle w:val="Preamble1"/>
        <w:spacing w:before="240"/>
        <w:rPr>
          <w:snapToGrid w:val="0"/>
        </w:rPr>
      </w:pPr>
      <w:r>
        <w:rPr>
          <w:snapToGrid w:val="0"/>
        </w:rPr>
        <w:t>Reasons for enactment</w:t>
      </w:r>
    </w:p>
    <w:p>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WA Limited, another wholly owned subsidiary of Perpetual Trustees Australia Limited, and that all property held by West Australian Trustees Limited as trustee should be vested in Perpetual Trustees WA Limited:</w:t>
      </w:r>
    </w:p>
    <w:p>
      <w:pPr>
        <w:pStyle w:val="Preamble2"/>
        <w:rPr>
          <w:snapToGrid w:val="0"/>
        </w:rPr>
      </w:pPr>
      <w:r>
        <w:rPr>
          <w:snapToGrid w:val="0"/>
        </w:rPr>
        <w:t>And because it is expedient that the transfer and vesting be effected by Act of the Parliament:</w:t>
      </w:r>
    </w:p>
    <w:p>
      <w:pPr>
        <w:pStyle w:val="Enactment"/>
        <w:rPr>
          <w:snapToGrid w:val="0"/>
        </w:rPr>
      </w:pPr>
      <w:r>
        <w:rPr>
          <w:snapToGrid w:val="0"/>
        </w:rPr>
        <w:t xml:space="preserve">The Parliament of Western Australia enacts as follows: </w:t>
      </w:r>
    </w:p>
    <w:p>
      <w:pPr>
        <w:pStyle w:val="Heading5"/>
        <w:rPr>
          <w:snapToGrid w:val="0"/>
        </w:rPr>
      </w:pPr>
      <w:bookmarkStart w:id="3" w:name="_Toc379277954"/>
      <w:bookmarkStart w:id="4" w:name="_Toc53618256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vertAlign w:val="superscript"/>
        </w:rPr>
        <w:t> 1</w:t>
      </w:r>
      <w:r>
        <w:rPr>
          <w:snapToGrid w:val="0"/>
        </w:rPr>
        <w:t>.</w:t>
      </w:r>
    </w:p>
    <w:p>
      <w:pPr>
        <w:pStyle w:val="Heading5"/>
        <w:rPr>
          <w:snapToGrid w:val="0"/>
        </w:rPr>
      </w:pPr>
      <w:bookmarkStart w:id="5" w:name="_Toc379277955"/>
      <w:bookmarkStart w:id="6" w:name="_Toc5361825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Section 16(2) shall come into operation on the day on which this Act receives the Royal Assent.</w:t>
      </w:r>
    </w:p>
    <w:p>
      <w:pPr>
        <w:pStyle w:val="Heading5"/>
        <w:rPr>
          <w:snapToGrid w:val="0"/>
        </w:rPr>
      </w:pPr>
      <w:bookmarkStart w:id="7" w:name="_Toc379277956"/>
      <w:bookmarkStart w:id="8" w:name="_Toc536182563"/>
      <w:r>
        <w:rPr>
          <w:rStyle w:val="CharSectno"/>
        </w:rPr>
        <w:t>3</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appointment</w:t>
      </w:r>
      <w:r>
        <w:t xml:space="preserve"> means the appointment of WA Trustees as executor, manager, trustee, agent or attorney made — </w:t>
      </w:r>
    </w:p>
    <w:p>
      <w:pPr>
        <w:pStyle w:val="Defpara"/>
      </w:pPr>
      <w:r>
        <w:tab/>
        <w:t>(a)</w:t>
      </w:r>
      <w:r>
        <w:tab/>
        <w:t>by will, codicil, deed, agreement, declaration, nomination or other instrument;</w:t>
      </w:r>
    </w:p>
    <w:p>
      <w:pPr>
        <w:pStyle w:val="Defpara"/>
      </w:pPr>
      <w:r>
        <w:tab/>
        <w:t>(b)</w:t>
      </w:r>
      <w:r>
        <w:tab/>
        <w:t>by the Supreme Court; or</w:t>
      </w:r>
    </w:p>
    <w:p>
      <w:pPr>
        <w:pStyle w:val="Defpara"/>
      </w:pPr>
      <w:r>
        <w:tab/>
        <w:t>(c)</w:t>
      </w:r>
      <w:r>
        <w:tab/>
        <w:t>under any written law,</w:t>
      </w:r>
    </w:p>
    <w:p>
      <w:pPr>
        <w:pStyle w:val="Defstart"/>
      </w:pPr>
      <w:r>
        <w:tab/>
        <w:t>and includes the appointment of WA Trustees as one of 2 or more executors, managers, trustees, agents or attorneys;</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 </w:t>
      </w:r>
    </w:p>
    <w:p>
      <w:pPr>
        <w:pStyle w:val="Defpara"/>
      </w:pPr>
      <w:r>
        <w:tab/>
        <w:t>(a)</w:t>
      </w:r>
      <w:r>
        <w:tab/>
        <w:t>documents required by law to be kept by WA Trustees; and</w:t>
      </w:r>
    </w:p>
    <w:p>
      <w:pPr>
        <w:pStyle w:val="Defpara"/>
      </w:pPr>
      <w:r>
        <w:tab/>
        <w:t>(b)</w:t>
      </w:r>
      <w:r>
        <w:tab/>
        <w:t>land referred to in Schedule 1 and buildings or structures on that land;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Perpetual Trustees</w:t>
      </w:r>
      <w:r>
        <w:t xml:space="preserve"> means Perpetual Trustees W.A. Ltd;</w:t>
      </w:r>
    </w:p>
    <w:p>
      <w:pPr>
        <w:pStyle w:val="Defstart"/>
      </w:pPr>
      <w:r>
        <w:rPr>
          <w:b/>
        </w:rPr>
        <w:tab/>
      </w:r>
      <w:r>
        <w:rPr>
          <w:rStyle w:val="CharDefText"/>
        </w:rPr>
        <w:t>prescribed securities</w:t>
      </w:r>
      <w:r>
        <w:t xml:space="preserve"> means securities within the meaning of the </w:t>
      </w:r>
      <w:r>
        <w:rPr>
          <w:i/>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pPr>
        <w:pStyle w:val="Defstart"/>
      </w:pPr>
      <w:r>
        <w:rPr>
          <w:b/>
        </w:rPr>
        <w:tab/>
      </w:r>
      <w:r>
        <w:rPr>
          <w:rStyle w:val="CharDefText"/>
        </w:rPr>
        <w:t>subsidiary</w:t>
      </w:r>
      <w:r>
        <w:t xml:space="preserve"> has the same meaning as in the </w:t>
      </w:r>
      <w:r>
        <w:rPr>
          <w:i/>
        </w:rPr>
        <w:t>Companies (Western Australia) Code</w:t>
      </w:r>
      <w:r>
        <w:t>;</w:t>
      </w:r>
    </w:p>
    <w:p>
      <w:pPr>
        <w:pStyle w:val="Defstart"/>
      </w:pPr>
      <w:r>
        <w:rPr>
          <w:b/>
        </w:rPr>
        <w:tab/>
      </w:r>
      <w:r>
        <w:rPr>
          <w:rStyle w:val="CharDefText"/>
        </w:rPr>
        <w:t>the appointed day</w:t>
      </w:r>
      <w:r>
        <w:t xml:space="preserve"> means the day of coming into operation of section 5;</w:t>
      </w:r>
    </w:p>
    <w:p>
      <w:pPr>
        <w:pStyle w:val="Defstart"/>
      </w:pPr>
      <w:r>
        <w:rPr>
          <w:b/>
        </w:rPr>
        <w:tab/>
      </w:r>
      <w:r>
        <w:rPr>
          <w:rStyle w:val="CharDefText"/>
        </w:rPr>
        <w:t>transferred employee</w:t>
      </w:r>
      <w:r>
        <w:t xml:space="preserve"> means an employee of WA Trustees who becomes an employee of Perpetual Trustees by virtue of this Act;</w:t>
      </w:r>
    </w:p>
    <w:p>
      <w:pPr>
        <w:pStyle w:val="Defstart"/>
      </w:pPr>
      <w:r>
        <w:rPr>
          <w:b/>
        </w:rPr>
        <w:tab/>
      </w:r>
      <w:r>
        <w:rPr>
          <w:rStyle w:val="CharDefText"/>
        </w:rPr>
        <w:t>undertaking</w:t>
      </w:r>
      <w:r>
        <w:t xml:space="preserve"> in relation to WA Trustees means — </w:t>
      </w:r>
    </w:p>
    <w:p>
      <w:pPr>
        <w:pStyle w:val="Defpara"/>
      </w:pPr>
      <w:r>
        <w:tab/>
        <w:t>(a)</w:t>
      </w:r>
      <w:r>
        <w:tab/>
        <w:t>all property of WA Trustees (apart from excluded assets);</w:t>
      </w:r>
    </w:p>
    <w:p>
      <w:pPr>
        <w:pStyle w:val="Defpara"/>
      </w:pPr>
      <w:r>
        <w:tab/>
        <w:t>(b)</w:t>
      </w:r>
      <w:r>
        <w:tab/>
        <w:t>all rights and liabilities of WA Trustees (apart from rights and liabilities relating to excluded assets); and</w:t>
      </w:r>
    </w:p>
    <w:p>
      <w:pPr>
        <w:pStyle w:val="Defpara"/>
      </w:pPr>
      <w:r>
        <w:tab/>
        <w:t>(c)</w:t>
      </w:r>
      <w:r>
        <w:tab/>
        <w:t>all appointments;</w:t>
      </w:r>
    </w:p>
    <w:p>
      <w:pPr>
        <w:pStyle w:val="Defstart"/>
      </w:pPr>
      <w:r>
        <w:rPr>
          <w:b/>
        </w:rPr>
        <w:tab/>
      </w:r>
      <w:r>
        <w:rPr>
          <w:rStyle w:val="CharDefText"/>
        </w:rPr>
        <w:t>WA Trustees</w:t>
      </w:r>
      <w:r>
        <w:t xml:space="preserve"> means West Australian Trustees Limited.</w:t>
      </w:r>
    </w:p>
    <w:p>
      <w:pPr>
        <w:pStyle w:val="Heading5"/>
        <w:rPr>
          <w:snapToGrid w:val="0"/>
        </w:rPr>
      </w:pPr>
      <w:bookmarkStart w:id="9" w:name="_Toc379277957"/>
      <w:bookmarkStart w:id="10" w:name="_Toc536182564"/>
      <w:r>
        <w:rPr>
          <w:rStyle w:val="CharSectno"/>
        </w:rPr>
        <w:t>4</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379277958"/>
      <w:bookmarkStart w:id="12" w:name="_Toc536182565"/>
      <w:r>
        <w:rPr>
          <w:rStyle w:val="CharSectno"/>
        </w:rPr>
        <w:t>5</w:t>
      </w:r>
      <w:r>
        <w:rPr>
          <w:snapToGrid w:val="0"/>
        </w:rPr>
        <w:t>.</w:t>
      </w:r>
      <w:r>
        <w:rPr>
          <w:snapToGrid w:val="0"/>
        </w:rPr>
        <w:tab/>
        <w:t>Undertaking vested in Perpetual Trustees</w:t>
      </w:r>
      <w:bookmarkEnd w:id="11"/>
      <w:bookmarkEnd w:id="12"/>
      <w:r>
        <w:rPr>
          <w:snapToGrid w:val="0"/>
        </w:rPr>
        <w:t xml:space="preserve"> </w:t>
      </w:r>
    </w:p>
    <w:p>
      <w:pPr>
        <w:pStyle w:val="Subsection"/>
        <w:rPr>
          <w:snapToGrid w:val="0"/>
        </w:rPr>
      </w:pPr>
      <w:r>
        <w:rPr>
          <w:snapToGrid w:val="0"/>
        </w:rPr>
        <w:tab/>
        <w:t>(1)</w:t>
      </w:r>
      <w:r>
        <w:rPr>
          <w:snapToGrid w:val="0"/>
        </w:rPr>
        <w:tab/>
        <w:t>On the appointed day the undertaking of WA Trustees is vested in Perpetual Trustees.</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pPr>
        <w:pStyle w:val="Heading5"/>
        <w:rPr>
          <w:snapToGrid w:val="0"/>
        </w:rPr>
      </w:pPr>
      <w:bookmarkStart w:id="13" w:name="_Toc379277959"/>
      <w:bookmarkStart w:id="14" w:name="_Toc536182566"/>
      <w:r>
        <w:rPr>
          <w:rStyle w:val="CharSectno"/>
        </w:rPr>
        <w:t>6</w:t>
      </w:r>
      <w:r>
        <w:rPr>
          <w:snapToGrid w:val="0"/>
        </w:rPr>
        <w:t>.</w:t>
      </w:r>
      <w:r>
        <w:rPr>
          <w:snapToGrid w:val="0"/>
        </w:rPr>
        <w:tab/>
        <w:t>Supplementary provisions as to vesting of undertaking</w:t>
      </w:r>
      <w:bookmarkEnd w:id="13"/>
      <w:bookmarkEnd w:id="14"/>
      <w:r>
        <w:rPr>
          <w:snapToGrid w:val="0"/>
        </w:rPr>
        <w:t xml:space="preserve"> </w:t>
      </w:r>
    </w:p>
    <w:p>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5(3));</w:t>
      </w:r>
    </w:p>
    <w:p>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keepNext/>
        <w:rPr>
          <w:snapToGrid w:val="0"/>
        </w:rPr>
      </w:pPr>
      <w:r>
        <w:rPr>
          <w:snapToGrid w:val="0"/>
        </w:rPr>
        <w:tab/>
      </w:r>
      <w:r>
        <w:rPr>
          <w:snapToGrid w:val="0"/>
        </w:rPr>
        <w:tab/>
        <w:t>and</w:t>
      </w:r>
    </w:p>
    <w:p>
      <w:pPr>
        <w:pStyle w:val="Indenta"/>
        <w:keepNext/>
        <w:rPr>
          <w:snapToGrid w:val="0"/>
        </w:rPr>
      </w:pPr>
      <w:r>
        <w:rPr>
          <w:snapToGrid w:val="0"/>
        </w:rPr>
        <w:tab/>
        <w:t>(k)</w:t>
      </w:r>
      <w:r>
        <w:rPr>
          <w:snapToGrid w:val="0"/>
        </w:rPr>
        <w:tab/>
        <w:t>nothing done or suffered by WA Trustees or Perpetual Trustees under this Act — </w:t>
      </w:r>
    </w:p>
    <w:p>
      <w:pPr>
        <w:pStyle w:val="Indenti"/>
        <w:rPr>
          <w:snapToGrid w:val="0"/>
        </w:rPr>
      </w:pPr>
      <w:r>
        <w:rPr>
          <w:snapToGrid w:val="0"/>
        </w:rPr>
        <w:tab/>
        <w:t>(i)</w:t>
      </w:r>
      <w:r>
        <w:rPr>
          <w:snapToGrid w:val="0"/>
        </w:rPr>
        <w:tab/>
        <w:t>shall be regarded as a breach of trust, contract or confidence or otherwise as a civil wrong;</w:t>
      </w:r>
    </w:p>
    <w:p>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WA Trustees if this Act had not been enacted.</w:t>
      </w:r>
    </w:p>
    <w:p>
      <w:pPr>
        <w:pStyle w:val="Heading5"/>
        <w:rPr>
          <w:snapToGrid w:val="0"/>
        </w:rPr>
      </w:pPr>
      <w:bookmarkStart w:id="15" w:name="_Toc379277960"/>
      <w:bookmarkStart w:id="16" w:name="_Toc536182567"/>
      <w:r>
        <w:rPr>
          <w:rStyle w:val="CharSectno"/>
        </w:rPr>
        <w:t>7</w:t>
      </w:r>
      <w:r>
        <w:rPr>
          <w:snapToGrid w:val="0"/>
        </w:rPr>
        <w:t>.</w:t>
      </w:r>
      <w:r>
        <w:rPr>
          <w:snapToGrid w:val="0"/>
        </w:rPr>
        <w:tab/>
        <w:t>Rights in respect of land that is an excluded asset</w:t>
      </w:r>
      <w:bookmarkEnd w:id="15"/>
      <w:bookmarkEnd w:id="16"/>
      <w:r>
        <w:rPr>
          <w:snapToGrid w:val="0"/>
        </w:rPr>
        <w:t xml:space="preserve"> </w:t>
      </w:r>
    </w:p>
    <w:p>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pPr>
        <w:pStyle w:val="Heading5"/>
        <w:rPr>
          <w:snapToGrid w:val="0"/>
        </w:rPr>
      </w:pPr>
      <w:bookmarkStart w:id="17" w:name="_Toc379277961"/>
      <w:bookmarkStart w:id="18" w:name="_Toc536182568"/>
      <w:r>
        <w:rPr>
          <w:rStyle w:val="CharSectno"/>
        </w:rPr>
        <w:t>8</w:t>
      </w:r>
      <w:r>
        <w:rPr>
          <w:snapToGrid w:val="0"/>
        </w:rPr>
        <w:t>.</w:t>
      </w:r>
      <w:r>
        <w:rPr>
          <w:snapToGrid w:val="0"/>
        </w:rPr>
        <w:tab/>
        <w:t>Proceedings</w:t>
      </w:r>
      <w:bookmarkEnd w:id="17"/>
      <w:bookmarkEnd w:id="18"/>
      <w:r>
        <w:rPr>
          <w:snapToGrid w:val="0"/>
        </w:rPr>
        <w:t xml:space="preserve"> </w:t>
      </w:r>
    </w:p>
    <w:p>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pPr>
        <w:pStyle w:val="Heading5"/>
        <w:rPr>
          <w:snapToGrid w:val="0"/>
        </w:rPr>
      </w:pPr>
      <w:bookmarkStart w:id="19" w:name="_Toc379277962"/>
      <w:bookmarkStart w:id="20" w:name="_Toc536182569"/>
      <w:r>
        <w:rPr>
          <w:rStyle w:val="CharSectno"/>
        </w:rPr>
        <w:t>9</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pPr>
        <w:pStyle w:val="Heading5"/>
        <w:rPr>
          <w:snapToGrid w:val="0"/>
        </w:rPr>
      </w:pPr>
      <w:bookmarkStart w:id="21" w:name="_Toc379277963"/>
      <w:bookmarkStart w:id="22" w:name="_Toc536182570"/>
      <w:r>
        <w:rPr>
          <w:rStyle w:val="CharSectno"/>
        </w:rPr>
        <w:t>10</w:t>
      </w:r>
      <w:r>
        <w:rPr>
          <w:snapToGrid w:val="0"/>
        </w:rPr>
        <w:t>.</w:t>
      </w:r>
      <w:r>
        <w:rPr>
          <w:snapToGrid w:val="0"/>
        </w:rPr>
        <w:tab/>
        <w:t>Transfer of employees</w:t>
      </w:r>
      <w:bookmarkEnd w:id="21"/>
      <w:bookmarkEnd w:id="22"/>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of each such employee, the employee’s contract of employment shall be deemed to be unbroken and the period of the employee’s service with WA Trustees shall be deemed to have been a period of service with Perpetual Trustees;</w:t>
      </w:r>
    </w:p>
    <w:p>
      <w:pPr>
        <w:pStyle w:val="Indenta"/>
        <w:rPr>
          <w:snapToGrid w:val="0"/>
        </w:rPr>
      </w:pPr>
      <w:r>
        <w:rPr>
          <w:snapToGrid w:val="0"/>
        </w:rPr>
        <w:tab/>
        <w:t>(b)</w:t>
      </w:r>
      <w:r>
        <w:rPr>
          <w:snapToGrid w:val="0"/>
        </w:rPr>
        <w:tab/>
        <w:t>the terms and conditions of the employment of each transferred employee with Perpetual Trustees shall — </w:t>
      </w:r>
    </w:p>
    <w:p>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pPr>
        <w:pStyle w:val="Heading5"/>
        <w:rPr>
          <w:snapToGrid w:val="0"/>
        </w:rPr>
      </w:pPr>
      <w:bookmarkStart w:id="23" w:name="_Toc379277964"/>
      <w:bookmarkStart w:id="24" w:name="_Toc536182571"/>
      <w:r>
        <w:rPr>
          <w:rStyle w:val="CharSectno"/>
        </w:rPr>
        <w:t>11</w:t>
      </w:r>
      <w:r>
        <w:rPr>
          <w:snapToGrid w:val="0"/>
        </w:rPr>
        <w:t>.</w:t>
      </w:r>
      <w:r>
        <w:rPr>
          <w:snapToGrid w:val="0"/>
        </w:rPr>
        <w:tab/>
        <w:t>Appointment of new trustee</w:t>
      </w:r>
      <w:bookmarkEnd w:id="23"/>
      <w:bookmarkEnd w:id="24"/>
      <w:r>
        <w:rPr>
          <w:snapToGrid w:val="0"/>
        </w:rPr>
        <w:t xml:space="preserve"> </w:t>
      </w:r>
    </w:p>
    <w:p>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 </w:t>
      </w:r>
      <w:r>
        <w:rPr>
          <w:snapToGrid w:val="0"/>
        </w:rPr>
        <w:t>— </w:t>
      </w:r>
    </w:p>
    <w:p>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pPr>
        <w:pStyle w:val="Heading5"/>
        <w:rPr>
          <w:snapToGrid w:val="0"/>
        </w:rPr>
      </w:pPr>
      <w:bookmarkStart w:id="25" w:name="_Toc379277965"/>
      <w:bookmarkStart w:id="26" w:name="_Toc536182572"/>
      <w:r>
        <w:rPr>
          <w:rStyle w:val="CharSectno"/>
        </w:rPr>
        <w:t>12</w:t>
      </w:r>
      <w:r>
        <w:rPr>
          <w:snapToGrid w:val="0"/>
        </w:rPr>
        <w:t>.</w:t>
      </w:r>
      <w:r>
        <w:rPr>
          <w:snapToGrid w:val="0"/>
        </w:rPr>
        <w:tab/>
        <w:t>Prescribed securities</w:t>
      </w:r>
      <w:bookmarkEnd w:id="25"/>
      <w:bookmarkEnd w:id="26"/>
      <w:r>
        <w:rPr>
          <w:snapToGrid w:val="0"/>
        </w:rPr>
        <w:t xml:space="preserve"> </w:t>
      </w:r>
    </w:p>
    <w:p>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Perpetual Trustees, will be held by way of security; or</w:t>
      </w:r>
    </w:p>
    <w:p>
      <w:pPr>
        <w:pStyle w:val="Indenta"/>
        <w:rPr>
          <w:snapToGrid w:val="0"/>
        </w:rPr>
      </w:pPr>
      <w:r>
        <w:rPr>
          <w:snapToGrid w:val="0"/>
        </w:rPr>
        <w:tab/>
        <w:t>(b)</w:t>
      </w:r>
      <w:r>
        <w:rPr>
          <w:snapToGrid w:val="0"/>
        </w:rPr>
        <w:tab/>
        <w:t>which are vested in a subsidiary of Perpetual Trustees by the operation of section 11.</w:t>
      </w:r>
    </w:p>
    <w:p>
      <w:pPr>
        <w:pStyle w:val="Heading5"/>
        <w:rPr>
          <w:snapToGrid w:val="0"/>
        </w:rPr>
      </w:pPr>
      <w:bookmarkStart w:id="27" w:name="_Toc379277966"/>
      <w:bookmarkStart w:id="28" w:name="_Toc536182573"/>
      <w:r>
        <w:rPr>
          <w:rStyle w:val="CharSectno"/>
        </w:rPr>
        <w:t>13</w:t>
      </w:r>
      <w:r>
        <w:rPr>
          <w:snapToGrid w:val="0"/>
        </w:rPr>
        <w:t>.</w:t>
      </w:r>
      <w:r>
        <w:rPr>
          <w:snapToGrid w:val="0"/>
        </w:rPr>
        <w:tab/>
        <w:t>Officers to register documents</w:t>
      </w:r>
      <w:bookmarkEnd w:id="27"/>
      <w:bookmarkEnd w:id="28"/>
      <w:r>
        <w:rPr>
          <w:snapToGrid w:val="0"/>
        </w:rPr>
        <w:t xml:space="preserve"> </w:t>
      </w:r>
    </w:p>
    <w:p>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authorised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29" w:name="_Toc379277967"/>
      <w:bookmarkStart w:id="30" w:name="_Toc536182574"/>
      <w:r>
        <w:rPr>
          <w:rStyle w:val="CharSectno"/>
        </w:rPr>
        <w:t>14</w:t>
      </w:r>
      <w:r>
        <w:rPr>
          <w:snapToGrid w:val="0"/>
        </w:rPr>
        <w:t>.</w:t>
      </w:r>
      <w:r>
        <w:rPr>
          <w:snapToGrid w:val="0"/>
        </w:rPr>
        <w:tab/>
        <w:t>Protection of persons dealing with Perpetual Trustees or WA Trustees</w:t>
      </w:r>
      <w:bookmarkEnd w:id="29"/>
      <w:bookmarkEnd w:id="30"/>
      <w:r>
        <w:rPr>
          <w:snapToGrid w:val="0"/>
        </w:rPr>
        <w:t xml:space="preserve"> </w:t>
      </w:r>
    </w:p>
    <w:p>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pPr>
        <w:pStyle w:val="Heading5"/>
        <w:rPr>
          <w:snapToGrid w:val="0"/>
        </w:rPr>
      </w:pPr>
      <w:bookmarkStart w:id="31" w:name="_Toc379277968"/>
      <w:bookmarkStart w:id="32" w:name="_Toc536182575"/>
      <w:r>
        <w:rPr>
          <w:rStyle w:val="CharSectno"/>
        </w:rPr>
        <w:t>15</w:t>
      </w:r>
      <w:r>
        <w:rPr>
          <w:snapToGrid w:val="0"/>
        </w:rPr>
        <w:t>.</w:t>
      </w:r>
      <w:r>
        <w:rPr>
          <w:snapToGrid w:val="0"/>
        </w:rPr>
        <w:tab/>
        <w:t>Transfer of WA Trustees Common Fund to common trust funds of Perpetual Trustees</w:t>
      </w:r>
      <w:bookmarkEnd w:id="31"/>
      <w:bookmarkEnd w:id="32"/>
      <w:r>
        <w:rPr>
          <w:snapToGrid w:val="0"/>
        </w:rPr>
        <w:t xml:space="preserve"> </w:t>
      </w:r>
    </w:p>
    <w:p>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vertAlign w:val="superscript"/>
        </w:rPr>
        <w:t> 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pPr>
        <w:pStyle w:val="Ednotesection"/>
      </w:pPr>
      <w:r>
        <w:t>[</w:t>
      </w:r>
      <w:r>
        <w:rPr>
          <w:rStyle w:val="CharSectno"/>
          <w:b/>
          <w:bCs/>
        </w:rPr>
        <w:t>16</w:t>
      </w:r>
      <w:r>
        <w:rPr>
          <w:b/>
          <w:bCs/>
        </w:rPr>
        <w:t>.</w:t>
      </w:r>
      <w:r>
        <w:tab/>
        <w:t>Omitted under the Reprints Act 1984 s. 7(4)(e).]</w:t>
      </w:r>
    </w:p>
    <w:p>
      <w:pPr>
        <w:pStyle w:val="MiscClose"/>
        <w:rPr>
          <w:snapToGrid w:val="0"/>
        </w:rPr>
      </w:pPr>
    </w:p>
    <w:p>
      <w:pPr>
        <w:pStyle w:val="Footnotesection"/>
        <w:keepLines w:val="0"/>
        <w:widowControl w:val="0"/>
        <w:spacing w:before="0"/>
        <w:ind w:left="890" w:hanging="890"/>
      </w:pPr>
      <w:r>
        <w:tab/>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 w:name="_Toc379277969"/>
      <w:bookmarkStart w:id="34" w:name="_Toc424568146"/>
      <w:bookmarkStart w:id="35" w:name="_Toc536182576"/>
      <w:r>
        <w:rPr>
          <w:rStyle w:val="CharSchNo"/>
        </w:rPr>
        <w:t>Schedule 1</w:t>
      </w:r>
      <w:r>
        <w:t> — Excluded land</w:t>
      </w:r>
      <w:bookmarkEnd w:id="33"/>
      <w:bookmarkEnd w:id="34"/>
      <w:bookmarkEnd w:id="35"/>
    </w:p>
    <w:p>
      <w:pPr>
        <w:pStyle w:val="yShoulderClause"/>
        <w:rPr>
          <w:snapToGrid w:val="0"/>
        </w:rPr>
      </w:pPr>
      <w:r>
        <w:rPr>
          <w:snapToGrid w:val="0"/>
        </w:rPr>
        <w:t>[s. 3]</w:t>
      </w:r>
    </w:p>
    <w:p>
      <w:pPr>
        <w:pStyle w:val="yFootnoteheading"/>
        <w:rPr>
          <w:snapToGrid w:val="0"/>
        </w:rPr>
      </w:pPr>
      <w:r>
        <w:tab/>
        <w:t>[Heading amended: No. 19 of 2010 s. 4.]</w:t>
      </w:r>
    </w:p>
    <w:p>
      <w:pPr>
        <w:pStyle w:val="yNumberedItem"/>
        <w:rPr>
          <w:snapToGrid w:val="0"/>
        </w:rPr>
      </w:pPr>
      <w:r>
        <w:rPr>
          <w:snapToGrid w:val="0"/>
        </w:rPr>
        <w:tab/>
        <w:t>Portion of Perth Town Lot G10 being Lot 101 on Diagram 58700 being the whole of the land in Certificate of Title Volume 1827 Folio 510.</w:t>
      </w:r>
    </w:p>
    <w:p>
      <w:pPr>
        <w:pStyle w:val="yNumberedItem"/>
        <w:rPr>
          <w:snapToGrid w:val="0"/>
        </w:rPr>
      </w:pPr>
      <w:r>
        <w:rPr>
          <w:snapToGrid w:val="0"/>
        </w:rPr>
        <w:tab/>
        <w:t>Leschanault Location 26 and being Lot 341 on Plan 12361 and being the whole of the land in Certificate of Title Volume 1497 Folio 685.</w:t>
      </w:r>
    </w:p>
    <w:p>
      <w:pPr>
        <w:pStyle w:val="yNumberedItem"/>
        <w:rPr>
          <w:snapToGrid w:val="0"/>
        </w:rPr>
      </w:pPr>
      <w:r>
        <w:rPr>
          <w:snapToGrid w:val="0"/>
        </w:rPr>
        <w:tab/>
        <w:t>Leschanault Location 26 and being Lot 30 on Diagram 52788 and being the whole of the land in Certificate of Title Volume 1488 Folio 75.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7" w:name="_Toc379277970"/>
      <w:bookmarkStart w:id="38" w:name="_Toc424568147"/>
      <w:bookmarkStart w:id="39" w:name="_Toc536182577"/>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West Australian Trustees Limited (Merger) Act 1989 </w:t>
      </w:r>
      <w:r>
        <w:rPr>
          <w:snapToGrid w:val="0"/>
        </w:rPr>
        <w:t xml:space="preserve">and includes the amendments made by the other written laws referred to in the following table.  The table also contains information about any reprint. </w:t>
      </w:r>
    </w:p>
    <w:p>
      <w:pPr>
        <w:pStyle w:val="nHeading3"/>
        <w:rPr>
          <w:snapToGrid w:val="0"/>
        </w:rPr>
      </w:pPr>
      <w:bookmarkStart w:id="40" w:name="_Toc379277971"/>
      <w:bookmarkStart w:id="41" w:name="_Toc536182578"/>
      <w:r>
        <w:rPr>
          <w:snapToGrid w:val="0"/>
        </w:rPr>
        <w:t>Compilation table</w:t>
      </w:r>
      <w:bookmarkEnd w:id="40"/>
      <w:bookmarkEnd w:id="4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gridSpan w:val="2"/>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West Australian Trustees Limited (Merger) Act 1989</w:t>
            </w:r>
          </w:p>
        </w:tc>
        <w:tc>
          <w:tcPr>
            <w:tcW w:w="1133" w:type="dxa"/>
            <w:tcBorders>
              <w:top w:val="single" w:sz="8" w:space="0" w:color="auto"/>
              <w:bottom w:val="nil"/>
            </w:tcBorders>
          </w:tcPr>
          <w:p>
            <w:pPr>
              <w:pStyle w:val="nTable"/>
              <w:spacing w:after="40"/>
            </w:pPr>
            <w:r>
              <w:t>38 of 1989</w:t>
            </w:r>
          </w:p>
        </w:tc>
        <w:tc>
          <w:tcPr>
            <w:tcW w:w="1131" w:type="dxa"/>
            <w:tcBorders>
              <w:top w:val="single" w:sz="8" w:space="0" w:color="auto"/>
              <w:bottom w:val="nil"/>
            </w:tcBorders>
          </w:tcPr>
          <w:p>
            <w:pPr>
              <w:pStyle w:val="nTable"/>
              <w:spacing w:after="40"/>
            </w:pPr>
            <w:r>
              <w:t>22 Dec 1989</w:t>
            </w:r>
          </w:p>
        </w:tc>
        <w:tc>
          <w:tcPr>
            <w:tcW w:w="2556" w:type="dxa"/>
            <w:gridSpan w:val="2"/>
            <w:tcBorders>
              <w:top w:val="single" w:sz="8" w:space="0" w:color="auto"/>
              <w:bottom w:val="nil"/>
            </w:tcBorders>
          </w:tcPr>
          <w:p>
            <w:pPr>
              <w:pStyle w:val="nTable"/>
              <w:spacing w:after="40"/>
            </w:pPr>
            <w:r>
              <w:t xml:space="preserve">s. 1 and 2: 22 Dec 1989; s. 16(2): 22 Dec 1989 (see s. 2(2)); </w:t>
            </w:r>
            <w:r>
              <w:br/>
              <w:t xml:space="preserve">balance: 31 Jan 1990 (see s. 2(1) and </w:t>
            </w:r>
            <w:r>
              <w:rPr>
                <w:i/>
              </w:rPr>
              <w:t>Gazette</w:t>
            </w:r>
            <w:r>
              <w:t xml:space="preserve"> 19 Jan 1990 p. 203)</w:t>
            </w:r>
          </w:p>
        </w:tc>
      </w:tr>
      <w:tr>
        <w:trPr>
          <w:cantSplit/>
        </w:trPr>
        <w:tc>
          <w:tcPr>
            <w:tcW w:w="7082" w:type="dxa"/>
            <w:gridSpan w:val="5"/>
            <w:tcBorders>
              <w:top w:val="nil"/>
              <w:bottom w:val="nil"/>
            </w:tcBorders>
          </w:tcPr>
          <w:p>
            <w:pPr>
              <w:pStyle w:val="nTable"/>
              <w:spacing w:after="40"/>
            </w:pPr>
            <w:r>
              <w:rPr>
                <w:b/>
                <w:bCs/>
              </w:rPr>
              <w:t xml:space="preserve">Reprint 1: The </w:t>
            </w:r>
            <w:r>
              <w:rPr>
                <w:b/>
                <w:bCs/>
                <w:i/>
              </w:rPr>
              <w:t>West Australian Trustees Limited (Merger) Act 1989</w:t>
            </w:r>
            <w:r>
              <w:rPr>
                <w:b/>
                <w:bCs/>
              </w:rPr>
              <w:t xml:space="preserve"> as at 16 Nov 2007</w:t>
            </w:r>
          </w:p>
        </w:tc>
      </w:tr>
      <w:tr>
        <w:tblPrEx>
          <w:tblBorders>
            <w:top w:val="none" w:sz="0" w:space="0" w:color="auto"/>
            <w:bottom w:val="none" w:sz="0" w:space="0" w:color="auto"/>
            <w:insideH w:val="none" w:sz="0" w:space="0" w:color="auto"/>
          </w:tblBorders>
        </w:tblPrEx>
        <w:trPr>
          <w:gridAfter w:val="1"/>
          <w:wAfter w:w="16" w:type="dxa"/>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60"/>
        <w:ind w:left="425" w:hanging="425"/>
        <w:rPr>
          <w:i/>
          <w:iCs/>
        </w:rPr>
      </w:pPr>
      <w:r>
        <w:rPr>
          <w:vertAlign w:val="superscript"/>
        </w:rPr>
        <w:t>2</w:t>
      </w:r>
      <w:r>
        <w:rPr>
          <w:i/>
          <w:iCs/>
        </w:rPr>
        <w:tab/>
      </w:r>
      <w:r>
        <w:t>The provision of this Act amending that Act has been omitted under the</w:t>
      </w:r>
      <w:r>
        <w:rPr>
          <w:i/>
          <w:iCs/>
        </w:rPr>
        <w:t xml:space="preserve"> Reprints Act 1984 </w:t>
      </w:r>
      <w:r>
        <w:t>s. 7(4)(e).</w:t>
      </w:r>
    </w:p>
    <w:p>
      <w:pPr>
        <w:pStyle w:val="nSubsection"/>
        <w:ind w:left="426" w:hanging="426"/>
        <w:rPr>
          <w:i/>
          <w:snapToGrid w:val="0"/>
        </w:rPr>
      </w:pPr>
      <w:r>
        <w:rPr>
          <w:vertAlign w:val="superscript"/>
        </w:rPr>
        <w:t>3</w:t>
      </w:r>
      <w:r>
        <w:rPr>
          <w:i/>
          <w:iCs/>
        </w:rPr>
        <w:tab/>
      </w:r>
      <w:r>
        <w:t xml:space="preserve">Repealed by the </w:t>
      </w:r>
      <w:r>
        <w:rPr>
          <w:i/>
          <w:iCs/>
        </w:rPr>
        <w:t>Trustee Companies Act 1987</w:t>
      </w:r>
      <w:r>
        <w:t xml:space="preserve"> s. 46(1).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3" w:name="_Toc536182579"/>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appointment</w:t>
      </w:r>
      <w:r>
        <w:tab/>
        <w:t>3</w:t>
      </w:r>
    </w:p>
    <w:p>
      <w:pPr>
        <w:pStyle w:val="DefinedTerms"/>
      </w:pPr>
      <w:r>
        <w:t>corporation</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Perpetual Trustees</w:t>
      </w:r>
      <w:r>
        <w:tab/>
        <w:t>3</w:t>
      </w:r>
    </w:p>
    <w:p>
      <w:pPr>
        <w:pStyle w:val="DefinedTerms"/>
      </w:pPr>
      <w:r>
        <w:t>prescribed securities</w:t>
      </w:r>
      <w:r>
        <w:tab/>
        <w:t>3</w:t>
      </w:r>
    </w:p>
    <w:p>
      <w:pPr>
        <w:pStyle w:val="DefinedTerms"/>
      </w:pPr>
      <w:r>
        <w:t>property</w:t>
      </w:r>
      <w:r>
        <w:tab/>
        <w:t>3</w:t>
      </w:r>
    </w:p>
    <w:p>
      <w:pPr>
        <w:pStyle w:val="DefinedTerms"/>
      </w:pPr>
      <w:r>
        <w:t>rights</w:t>
      </w:r>
      <w:r>
        <w:tab/>
        <w:t>3</w:t>
      </w:r>
    </w:p>
    <w:p>
      <w:pPr>
        <w:pStyle w:val="DefinedTerms"/>
      </w:pPr>
      <w:r>
        <w:t>security</w:t>
      </w:r>
      <w:r>
        <w:tab/>
        <w:t>3</w:t>
      </w:r>
    </w:p>
    <w:p>
      <w:pPr>
        <w:pStyle w:val="DefinedTerms"/>
      </w:pPr>
      <w:r>
        <w:t>subsidiary</w:t>
      </w:r>
      <w:r>
        <w:tab/>
        <w:t>3</w:t>
      </w:r>
    </w:p>
    <w:p>
      <w:pPr>
        <w:pStyle w:val="DefinedTerms"/>
      </w:pPr>
      <w:r>
        <w:t>the appointed day</w:t>
      </w:r>
      <w:r>
        <w:tab/>
        <w:t>3</w:t>
      </w:r>
    </w:p>
    <w:p>
      <w:pPr>
        <w:pStyle w:val="DefinedTerms"/>
      </w:pPr>
      <w:r>
        <w:t>transferred employee</w:t>
      </w:r>
      <w:r>
        <w:tab/>
        <w:t>3</w:t>
      </w:r>
    </w:p>
    <w:p>
      <w:pPr>
        <w:pStyle w:val="DefinedTerms"/>
      </w:pPr>
      <w:r>
        <w:t>undertaking</w:t>
      </w:r>
      <w:r>
        <w:tab/>
        <w:t>3</w:t>
      </w:r>
    </w:p>
    <w:p>
      <w:pPr>
        <w:pStyle w:val="DefinedTerms"/>
      </w:pPr>
      <w:r>
        <w:t>WA Trustees</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 Australian Trustees Limited (Merger)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 Australian Trustees Limited (Merger)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 Australian Trustees Limited (Merger)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 Australian Trustees Limited (Merger)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C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CBF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46F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B81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C6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86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4E1E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8260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38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C80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60EA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658"/>
    <w:docVar w:name="WAFER_20140204112835" w:val="RemoveTocBookmarks,RemoveUnusedBookmarks,RemoveLanguageTags,UsedStyles,ResetPageSize,UpdateArrangement"/>
    <w:docVar w:name="WAFER_20140204112835_GUID" w:val="ed8e0474-34d7-4896-92c4-a33d47e180ae"/>
    <w:docVar w:name="WAFER_20140204114519" w:val="RemoveTocBookmarks,RunningHeaders"/>
    <w:docVar w:name="WAFER_20140204114519_GUID" w:val="f66b5347-c101-4ad9-b0ab-b3cd2827bd4f"/>
    <w:docVar w:name="WAFER_20150713160159" w:val="ResetPageSize,UpdateArrangement,UpdateNTable"/>
    <w:docVar w:name="WAFER_20150713160159_GUID" w:val="6c6ba7ac-1494-4ec1-a15e-25b7e79fdd76"/>
    <w:docVar w:name="WAFER_20151110115658" w:val="UpdateStyles,UsedStyles"/>
    <w:docVar w:name="WAFER_20151110115658_GUID" w:val="e9c0dac9-29fb-4aa8-9441-d90ba90bb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4184</Words>
  <Characters>20840</Characters>
  <Application>Microsoft Office Word</Application>
  <DocSecurity>0</DocSecurity>
  <Lines>548</Lines>
  <Paragraphs>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1989 - 01-c0-05</dc:title>
  <dc:subject/>
  <dc:creator/>
  <cp:keywords/>
  <dc:description/>
  <cp:lastModifiedBy>svcMRProcess</cp:lastModifiedBy>
  <cp:revision>4</cp:revision>
  <cp:lastPrinted>2007-11-12T06:10:00Z</cp:lastPrinted>
  <dcterms:created xsi:type="dcterms:W3CDTF">2019-01-25T05:00:00Z</dcterms:created>
  <dcterms:modified xsi:type="dcterms:W3CDTF">2019-01-25T05:00:00Z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AsAtDate">
    <vt:lpwstr>11 Sep 2010</vt:lpwstr>
  </property>
  <property fmtid="{D5CDD505-2E9C-101B-9397-08002B2CF9AE}" pid="8" name="Suffix">
    <vt:lpwstr>01-c0-05</vt:lpwstr>
  </property>
</Properties>
</file>