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Superannuation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_Toc272241168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_Toc272241169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_Toc272241170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_Toc272241171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_Toc272241173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_Toc272241174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_Toc272241175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_Toc272241177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_Toc272241178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_Toc272241180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Terms used in this Part</w:t>
      </w:r>
      <w:r>
        <w:tab/>
      </w:r>
      <w:r>
        <w:fldChar w:fldCharType="begin"/>
      </w:r>
      <w:r>
        <w:instrText xml:space="preserve"> PAGEREF _Toc272241182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_Toc272241183 \h </w:instrText>
      </w:r>
      <w:r>
        <w:fldChar w:fldCharType="separate"/>
      </w:r>
      <w:r>
        <w:t>12</w:t>
      </w:r>
      <w:r>
        <w:fldChar w:fldCharType="end"/>
      </w:r>
    </w:p>
    <w:p>
      <w:pPr>
        <w:pStyle w:val="TOC8"/>
        <w:rPr>
          <w:sz w:val="24"/>
          <w:szCs w:val="24"/>
        </w:rPr>
      </w:pPr>
      <w:r>
        <w:rPr>
          <w:szCs w:val="24"/>
        </w:rPr>
        <w:t>15B</w:t>
      </w:r>
      <w:r>
        <w:rPr>
          <w:snapToGrid w:val="0"/>
          <w:szCs w:val="24"/>
        </w:rPr>
        <w:t>.</w:t>
      </w:r>
      <w:r>
        <w:rPr>
          <w:snapToGrid w:val="0"/>
          <w:szCs w:val="24"/>
        </w:rPr>
        <w:tab/>
        <w:t>Increases in pensions which first become payable after 1/1/1976</w:t>
      </w:r>
      <w:r>
        <w:tab/>
      </w:r>
      <w:r>
        <w:fldChar w:fldCharType="begin"/>
      </w:r>
      <w:r>
        <w:instrText xml:space="preserve"> PAGEREF _Toc272241184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Commutation of certain pensions</w:t>
      </w:r>
      <w:r>
        <w:tab/>
      </w:r>
      <w:r>
        <w:fldChar w:fldCharType="begin"/>
      </w:r>
      <w:r>
        <w:instrText xml:space="preserve"> PAGEREF _Toc272241185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Reduction of pension in certain cases</w:t>
      </w:r>
      <w:r>
        <w:tab/>
      </w:r>
      <w:r>
        <w:fldChar w:fldCharType="begin"/>
      </w:r>
      <w:r>
        <w:instrText xml:space="preserve"> PAGEREF _Toc272241186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_Toc272241187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_Toc272241188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_Toc272241189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_Toc272241190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_Toc272241191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_Toc272241192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_Toc272241193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_Toc272241194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_Toc272241195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_Toc272241196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_Toc272241197 \h </w:instrText>
      </w:r>
      <w:r>
        <w:fldChar w:fldCharType="separate"/>
      </w:r>
      <w:r>
        <w:t>29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_Toc272241199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Account</w:t>
      </w:r>
      <w:r>
        <w:tab/>
      </w:r>
      <w:r>
        <w:fldChar w:fldCharType="begin"/>
      </w:r>
      <w:r>
        <w:instrText xml:space="preserve"> PAGEREF _Toc272241200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_Toc272241201 \h </w:instrText>
      </w:r>
      <w:r>
        <w:fldChar w:fldCharType="separate"/>
      </w:r>
      <w:r>
        <w:t>30</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_Toc272241202 \h </w:instrText>
      </w:r>
      <w:r>
        <w:fldChar w:fldCharType="separate"/>
      </w:r>
      <w:r>
        <w:t>31</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_Toc272241203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_Toc272241204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_Toc272241205 \h </w:instrText>
      </w:r>
      <w:r>
        <w:fldChar w:fldCharType="separate"/>
      </w:r>
      <w:r>
        <w:t>35</w:t>
      </w:r>
      <w:r>
        <w:fldChar w:fldCharType="end"/>
      </w:r>
    </w:p>
    <w:p>
      <w:pPr>
        <w:pStyle w:val="TOC2"/>
        <w:tabs>
          <w:tab w:val="right" w:leader="dot" w:pos="7086"/>
        </w:tabs>
        <w:rPr>
          <w:b w:val="0"/>
          <w:sz w:val="24"/>
          <w:szCs w:val="24"/>
        </w:rPr>
      </w:pPr>
      <w:r>
        <w:rPr>
          <w:szCs w:val="28"/>
        </w:rPr>
        <w:t>Schedule — Title of 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_Toc272241208 \h </w:instrText>
      </w:r>
      <w:r>
        <w:fldChar w:fldCharType="separate"/>
      </w:r>
      <w:r>
        <w:t>37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7237068"/>
      <w:bookmarkStart w:id="18" w:name="_Toc38858448"/>
      <w:bookmarkStart w:id="19" w:name="_Toc125257611"/>
      <w:bookmarkStart w:id="20" w:name="_Toc27224116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1" w:name="_Toc7237069"/>
      <w:bookmarkStart w:id="22" w:name="_Toc38858449"/>
      <w:bookmarkStart w:id="23" w:name="_Toc125257612"/>
      <w:bookmarkStart w:id="24" w:name="_Toc27224116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5" w:name="_Toc7237070"/>
      <w:bookmarkStart w:id="26" w:name="_Toc38858450"/>
      <w:bookmarkStart w:id="27" w:name="_Toc125257613"/>
      <w:bookmarkStart w:id="28" w:name="_Toc272241170"/>
      <w:r>
        <w:rPr>
          <w:rStyle w:val="CharSectno"/>
        </w:rPr>
        <w:t>4</w:t>
      </w:r>
      <w:r>
        <w:rPr>
          <w:snapToGrid w:val="0"/>
        </w:rPr>
        <w:t>.</w:t>
      </w:r>
      <w:r>
        <w:rPr>
          <w:snapToGrid w:val="0"/>
        </w:rPr>
        <w:tab/>
        <w:t>Repeal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9" w:name="_Toc7237071"/>
      <w:bookmarkStart w:id="30" w:name="_Toc38858451"/>
      <w:bookmarkStart w:id="31" w:name="_Toc125257614"/>
      <w:bookmarkStart w:id="32" w:name="_Toc272241171"/>
      <w:r>
        <w:rPr>
          <w:rStyle w:val="CharSectno"/>
        </w:rPr>
        <w:t>5</w:t>
      </w:r>
      <w:r>
        <w:rPr>
          <w:snapToGrid w:val="0"/>
        </w:rPr>
        <w:t>.</w:t>
      </w:r>
      <w:r>
        <w:rPr>
          <w:snapToGrid w:val="0"/>
        </w:rPr>
        <w:tab/>
      </w:r>
      <w:bookmarkEnd w:id="29"/>
      <w:bookmarkEnd w:id="30"/>
      <w:bookmarkEnd w:id="31"/>
      <w:r>
        <w:rPr>
          <w:snapToGrid w:val="0"/>
        </w:rPr>
        <w:t>Terms used in this Act</w:t>
      </w:r>
      <w:bookmarkEnd w:id="32"/>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33" w:name="_Toc125257615"/>
      <w:bookmarkStart w:id="34" w:name="_Toc137009298"/>
      <w:bookmarkStart w:id="35" w:name="_Toc137021375"/>
      <w:bookmarkStart w:id="36" w:name="_Toc139707505"/>
      <w:bookmarkStart w:id="37" w:name="_Toc157928233"/>
      <w:bookmarkStart w:id="38" w:name="_Toc200335631"/>
      <w:bookmarkStart w:id="39" w:name="_Toc200335752"/>
      <w:bookmarkStart w:id="40" w:name="_Toc202167063"/>
      <w:bookmarkStart w:id="41" w:name="_Toc202167148"/>
      <w:bookmarkStart w:id="42" w:name="_Toc202167346"/>
      <w:bookmarkStart w:id="43" w:name="_Toc203368180"/>
      <w:bookmarkStart w:id="44" w:name="_Toc268184040"/>
      <w:bookmarkStart w:id="45" w:name="_Toc268680259"/>
      <w:bookmarkStart w:id="46" w:name="_Toc268680302"/>
      <w:bookmarkStart w:id="47" w:name="_Toc272241127"/>
      <w:bookmarkStart w:id="48" w:name="_Toc272241172"/>
      <w:r>
        <w:rPr>
          <w:rStyle w:val="CharPartNo"/>
        </w:rPr>
        <w:t>Part II</w:t>
      </w:r>
      <w:r>
        <w:t xml:space="preserve"> — </w:t>
      </w:r>
      <w:r>
        <w:rPr>
          <w:rStyle w:val="CharPartText"/>
        </w:rPr>
        <w:t>The Parliamentary Superannuation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49" w:name="_Toc7237072"/>
      <w:bookmarkStart w:id="50" w:name="_Toc38858452"/>
      <w:bookmarkStart w:id="51" w:name="_Toc125257616"/>
      <w:bookmarkStart w:id="52" w:name="_Toc272241173"/>
      <w:r>
        <w:rPr>
          <w:rStyle w:val="CharSectno"/>
        </w:rPr>
        <w:t>6</w:t>
      </w:r>
      <w:r>
        <w:rPr>
          <w:snapToGrid w:val="0"/>
        </w:rPr>
        <w:t>.</w:t>
      </w:r>
      <w:r>
        <w:rPr>
          <w:snapToGrid w:val="0"/>
        </w:rPr>
        <w:tab/>
        <w:t>The Board</w:t>
      </w:r>
      <w:bookmarkEnd w:id="49"/>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53" w:name="_Toc7237073"/>
      <w:bookmarkStart w:id="54" w:name="_Toc38858453"/>
      <w:bookmarkStart w:id="55" w:name="_Toc125257617"/>
      <w:bookmarkStart w:id="56" w:name="_Toc272241174"/>
      <w:r>
        <w:rPr>
          <w:rStyle w:val="CharSectno"/>
        </w:rPr>
        <w:t>7</w:t>
      </w:r>
      <w:r>
        <w:rPr>
          <w:snapToGrid w:val="0"/>
        </w:rPr>
        <w:t>.</w:t>
      </w:r>
      <w:r>
        <w:rPr>
          <w:snapToGrid w:val="0"/>
        </w:rPr>
        <w:tab/>
        <w:t>Proceedings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57" w:name="_Toc7237074"/>
      <w:bookmarkStart w:id="58" w:name="_Toc38858454"/>
      <w:bookmarkStart w:id="59" w:name="_Toc125257618"/>
      <w:bookmarkStart w:id="60" w:name="_Toc272241175"/>
      <w:r>
        <w:rPr>
          <w:rStyle w:val="CharSectno"/>
        </w:rPr>
        <w:t>8</w:t>
      </w:r>
      <w:r>
        <w:t>.</w:t>
      </w:r>
      <w:r>
        <w:tab/>
        <w:t>Administrative assistance for the Board</w:t>
      </w:r>
      <w:bookmarkEnd w:id="57"/>
      <w:bookmarkEnd w:id="58"/>
      <w:bookmarkEnd w:id="59"/>
      <w:bookmarkEnd w:id="60"/>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1" w:name="_Toc125257619"/>
      <w:bookmarkStart w:id="62" w:name="_Toc137009302"/>
      <w:bookmarkStart w:id="63" w:name="_Toc137021379"/>
      <w:bookmarkStart w:id="64" w:name="_Toc139707509"/>
      <w:bookmarkStart w:id="65" w:name="_Toc157928237"/>
      <w:bookmarkStart w:id="66" w:name="_Toc200335635"/>
      <w:bookmarkStart w:id="67" w:name="_Toc200335756"/>
      <w:bookmarkStart w:id="68" w:name="_Toc202167067"/>
      <w:bookmarkStart w:id="69" w:name="_Toc202167152"/>
      <w:bookmarkStart w:id="70" w:name="_Toc202167350"/>
      <w:bookmarkStart w:id="71" w:name="_Toc203368184"/>
      <w:bookmarkStart w:id="72" w:name="_Toc268184044"/>
      <w:bookmarkStart w:id="73" w:name="_Toc268680263"/>
      <w:bookmarkStart w:id="74" w:name="_Toc268680306"/>
      <w:bookmarkStart w:id="75" w:name="_Toc272241131"/>
      <w:bookmarkStart w:id="76" w:name="_Toc272241176"/>
      <w:r>
        <w:rPr>
          <w:rStyle w:val="CharPartNo"/>
        </w:rPr>
        <w:t>Part IIA</w:t>
      </w:r>
      <w:r>
        <w:t> — </w:t>
      </w:r>
      <w:r>
        <w:rPr>
          <w:rStyle w:val="CharPartText"/>
        </w:rPr>
        <w:t>Scheme participants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37 of 2000 s. 7.]</w:t>
      </w:r>
    </w:p>
    <w:p>
      <w:pPr>
        <w:pStyle w:val="Heading5"/>
      </w:pPr>
      <w:bookmarkStart w:id="77" w:name="_Toc7237075"/>
      <w:bookmarkStart w:id="78" w:name="_Toc38858455"/>
      <w:bookmarkStart w:id="79" w:name="_Toc125257620"/>
      <w:bookmarkStart w:id="80" w:name="_Toc272241177"/>
      <w:r>
        <w:rPr>
          <w:rStyle w:val="CharSectno"/>
        </w:rPr>
        <w:t>9</w:t>
      </w:r>
      <w:r>
        <w:t>.</w:t>
      </w:r>
      <w:r>
        <w:tab/>
        <w:t>Scheme closed to members elected after closing day</w:t>
      </w:r>
      <w:bookmarkEnd w:id="77"/>
      <w:bookmarkEnd w:id="78"/>
      <w:bookmarkEnd w:id="79"/>
      <w:bookmarkEnd w:id="80"/>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81" w:name="_Toc7237076"/>
      <w:bookmarkStart w:id="82" w:name="_Toc38858456"/>
      <w:bookmarkStart w:id="83" w:name="_Toc125257621"/>
      <w:bookmarkStart w:id="84" w:name="_Toc272241178"/>
      <w:r>
        <w:rPr>
          <w:rStyle w:val="CharSectno"/>
        </w:rPr>
        <w:t>10</w:t>
      </w:r>
      <w:r>
        <w:t>.</w:t>
      </w:r>
      <w:r>
        <w:tab/>
        <w:t>Certain participants may withdraw from scheme</w:t>
      </w:r>
      <w:bookmarkEnd w:id="81"/>
      <w:bookmarkEnd w:id="82"/>
      <w:bookmarkEnd w:id="83"/>
      <w:bookmarkEnd w:id="84"/>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85" w:name="_Toc125257622"/>
      <w:bookmarkStart w:id="86" w:name="_Toc137009305"/>
      <w:bookmarkStart w:id="87" w:name="_Toc137021382"/>
      <w:bookmarkStart w:id="88" w:name="_Toc139707512"/>
      <w:bookmarkStart w:id="89" w:name="_Toc157928240"/>
      <w:bookmarkStart w:id="90" w:name="_Toc200335638"/>
      <w:bookmarkStart w:id="91" w:name="_Toc200335759"/>
      <w:bookmarkStart w:id="92" w:name="_Toc202167070"/>
      <w:bookmarkStart w:id="93" w:name="_Toc202167155"/>
      <w:bookmarkStart w:id="94" w:name="_Toc202167353"/>
      <w:bookmarkStart w:id="95" w:name="_Toc203368187"/>
      <w:bookmarkStart w:id="96" w:name="_Toc268184047"/>
      <w:bookmarkStart w:id="97" w:name="_Toc268680266"/>
      <w:bookmarkStart w:id="98" w:name="_Toc268680309"/>
      <w:bookmarkStart w:id="99" w:name="_Toc272241134"/>
      <w:bookmarkStart w:id="100" w:name="_Toc272241179"/>
      <w:r>
        <w:rPr>
          <w:rStyle w:val="CharPartNo"/>
        </w:rPr>
        <w:t>Part III</w:t>
      </w:r>
      <w:r>
        <w:t> — </w:t>
      </w:r>
      <w:r>
        <w:rPr>
          <w:rStyle w:val="CharPartText"/>
        </w:rPr>
        <w:t>Contributions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w:t>
      </w:r>
    </w:p>
    <w:p>
      <w:pPr>
        <w:pStyle w:val="Footnoteheading"/>
        <w:tabs>
          <w:tab w:val="left" w:pos="851"/>
        </w:tabs>
      </w:pPr>
      <w:r>
        <w:tab/>
        <w:t>[Heading inserted by No. 37 of 2000 s. 8(1).]</w:t>
      </w:r>
    </w:p>
    <w:p>
      <w:pPr>
        <w:pStyle w:val="Heading5"/>
      </w:pPr>
      <w:bookmarkStart w:id="101" w:name="_Toc7237077"/>
      <w:bookmarkStart w:id="102" w:name="_Toc38858457"/>
      <w:bookmarkStart w:id="103" w:name="_Toc125257623"/>
      <w:bookmarkStart w:id="104" w:name="_Toc272241180"/>
      <w:r>
        <w:rPr>
          <w:rStyle w:val="CharSectno"/>
        </w:rPr>
        <w:t>11</w:t>
      </w:r>
      <w:r>
        <w:t>.</w:t>
      </w:r>
      <w:r>
        <w:tab/>
        <w:t>Contributions in respect of members</w:t>
      </w:r>
      <w:bookmarkEnd w:id="101"/>
      <w:bookmarkEnd w:id="102"/>
      <w:bookmarkEnd w:id="103"/>
      <w:bookmarkEnd w:id="10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105" w:name="_Toc125257624"/>
      <w:bookmarkStart w:id="106" w:name="_Toc137009307"/>
      <w:bookmarkStart w:id="107" w:name="_Toc137021384"/>
      <w:bookmarkStart w:id="108" w:name="_Toc139707514"/>
      <w:bookmarkStart w:id="109" w:name="_Toc157928242"/>
      <w:bookmarkStart w:id="110" w:name="_Toc200335640"/>
      <w:bookmarkStart w:id="111" w:name="_Toc200335761"/>
      <w:bookmarkStart w:id="112" w:name="_Toc202167072"/>
      <w:bookmarkStart w:id="113" w:name="_Toc202167157"/>
      <w:bookmarkStart w:id="114" w:name="_Toc202167355"/>
      <w:bookmarkStart w:id="115" w:name="_Toc203368189"/>
      <w:bookmarkStart w:id="116" w:name="_Toc268184049"/>
      <w:bookmarkStart w:id="117" w:name="_Toc268680268"/>
      <w:bookmarkStart w:id="118" w:name="_Toc268680311"/>
      <w:bookmarkStart w:id="119" w:name="_Toc272241136"/>
      <w:bookmarkStart w:id="120" w:name="_Toc272241181"/>
      <w:r>
        <w:rPr>
          <w:rStyle w:val="CharPartNo"/>
        </w:rPr>
        <w:t>Part IV</w:t>
      </w:r>
      <w:r>
        <w:rPr>
          <w:rStyle w:val="CharDivNo"/>
        </w:rPr>
        <w:t> </w:t>
      </w:r>
      <w:r>
        <w:t>—</w:t>
      </w:r>
      <w:r>
        <w:rPr>
          <w:rStyle w:val="CharDivText"/>
        </w:rPr>
        <w:t> </w:t>
      </w:r>
      <w:r>
        <w:rPr>
          <w:rStyle w:val="CharPartText"/>
        </w:rPr>
        <w:t>Pensions and other benefits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7237078"/>
      <w:bookmarkStart w:id="122" w:name="_Toc38858458"/>
      <w:bookmarkStart w:id="123" w:name="_Toc125257625"/>
      <w:bookmarkStart w:id="124" w:name="_Toc272241182"/>
      <w:r>
        <w:rPr>
          <w:rStyle w:val="CharSectno"/>
        </w:rPr>
        <w:t>13</w:t>
      </w:r>
      <w:r>
        <w:rPr>
          <w:snapToGrid w:val="0"/>
        </w:rPr>
        <w:t>.</w:t>
      </w:r>
      <w:r>
        <w:rPr>
          <w:snapToGrid w:val="0"/>
        </w:rPr>
        <w:tab/>
      </w:r>
      <w:bookmarkEnd w:id="121"/>
      <w:bookmarkEnd w:id="122"/>
      <w:bookmarkEnd w:id="123"/>
      <w:r>
        <w:rPr>
          <w:snapToGrid w:val="0"/>
        </w:rPr>
        <w:t>Terms used in this Part</w:t>
      </w:r>
      <w:bookmarkEnd w:id="124"/>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25" w:name="_Toc7237079"/>
      <w:bookmarkStart w:id="126" w:name="_Toc38858459"/>
      <w:bookmarkStart w:id="127" w:name="_Toc125257626"/>
      <w:bookmarkStart w:id="128" w:name="_Toc272241183"/>
      <w:r>
        <w:rPr>
          <w:rStyle w:val="CharSectno"/>
        </w:rPr>
        <w:t>14</w:t>
      </w:r>
      <w:r>
        <w:rPr>
          <w:snapToGrid w:val="0"/>
        </w:rPr>
        <w:t>.</w:t>
      </w:r>
      <w:r>
        <w:rPr>
          <w:snapToGrid w:val="0"/>
        </w:rPr>
        <w:tab/>
        <w:t>Members’ superannuation benefits etc</w:t>
      </w:r>
      <w:bookmarkEnd w:id="125"/>
      <w:r>
        <w:rPr>
          <w:snapToGrid w:val="0"/>
        </w:rPr>
        <w:t>.</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1" o:title=""/>
          </v:shape>
          <o:OLEObject Type="Embed" ProgID="Equation.3" ShapeID="_x0000_i1025" DrawAspect="Content" ObjectID="_1643526824"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8.25pt;height:31.5pt" o:ole="" fillcolor="window">
            <v:imagedata r:id="rId23" o:title=""/>
          </v:shape>
          <o:OLEObject Type="Embed" ProgID="Equation.3" ShapeID="_x0000_i1026" DrawAspect="Content" ObjectID="_1643526825" r:id="rId24"/>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29" w:name="_Toc7237080"/>
      <w:bookmarkStart w:id="130" w:name="_Toc38858460"/>
      <w:bookmarkStart w:id="131" w:name="_Toc125257627"/>
      <w:bookmarkStart w:id="132" w:name="_Toc272241184"/>
      <w:r>
        <w:rPr>
          <w:rStyle w:val="CharSectno"/>
        </w:rPr>
        <w:t>15B</w:t>
      </w:r>
      <w:r>
        <w:rPr>
          <w:snapToGrid w:val="0"/>
        </w:rPr>
        <w:t>.</w:t>
      </w:r>
      <w:r>
        <w:rPr>
          <w:snapToGrid w:val="0"/>
        </w:rPr>
        <w:tab/>
        <w:t>Increases in pensions which first become payable after 1/1/1976</w:t>
      </w:r>
      <w:bookmarkEnd w:id="129"/>
      <w:bookmarkEnd w:id="130"/>
      <w:bookmarkEnd w:id="131"/>
      <w:bookmarkEnd w:id="132"/>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33" w:name="_Toc7237081"/>
      <w:bookmarkStart w:id="134" w:name="_Toc38858461"/>
      <w:bookmarkStart w:id="135" w:name="_Toc125257628"/>
      <w:bookmarkStart w:id="136" w:name="_Toc272241185"/>
      <w:r>
        <w:rPr>
          <w:rStyle w:val="CharSectno"/>
        </w:rPr>
        <w:t>16</w:t>
      </w:r>
      <w:r>
        <w:rPr>
          <w:snapToGrid w:val="0"/>
        </w:rPr>
        <w:t>.</w:t>
      </w:r>
      <w:r>
        <w:rPr>
          <w:snapToGrid w:val="0"/>
        </w:rPr>
        <w:tab/>
        <w:t>Commutation of certain pensions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37" w:name="_Toc7237082"/>
      <w:bookmarkStart w:id="138" w:name="_Toc38858462"/>
      <w:bookmarkStart w:id="139" w:name="_Toc125257629"/>
      <w:bookmarkStart w:id="140" w:name="_Toc272241186"/>
      <w:r>
        <w:rPr>
          <w:rStyle w:val="CharSectno"/>
        </w:rPr>
        <w:t>17</w:t>
      </w:r>
      <w:r>
        <w:rPr>
          <w:snapToGrid w:val="0"/>
        </w:rPr>
        <w:t>.</w:t>
      </w:r>
      <w:r>
        <w:rPr>
          <w:snapToGrid w:val="0"/>
        </w:rPr>
        <w:tab/>
        <w:t>Reduction of pension in certain cases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41" w:name="_Toc7237083"/>
      <w:bookmarkStart w:id="142" w:name="_Toc38858463"/>
      <w:bookmarkStart w:id="143" w:name="_Toc125257630"/>
      <w:bookmarkStart w:id="144" w:name="_Toc272241187"/>
      <w:r>
        <w:rPr>
          <w:rStyle w:val="CharSectno"/>
        </w:rPr>
        <w:t>18</w:t>
      </w:r>
      <w:r>
        <w:rPr>
          <w:snapToGrid w:val="0"/>
        </w:rPr>
        <w:t>.</w:t>
      </w:r>
      <w:r>
        <w:rPr>
          <w:snapToGrid w:val="0"/>
        </w:rPr>
        <w:tab/>
        <w:t xml:space="preserve">Pensions payable to certain </w:t>
      </w:r>
      <w:bookmarkEnd w:id="141"/>
      <w:r>
        <w:t>spouses or de facto partners</w:t>
      </w:r>
      <w:bookmarkEnd w:id="142"/>
      <w:bookmarkEnd w:id="143"/>
      <w:bookmarkEnd w:id="144"/>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45" w:name="_Toc7237084"/>
      <w:bookmarkStart w:id="146" w:name="_Toc38858464"/>
      <w:bookmarkStart w:id="147" w:name="_Toc125257631"/>
      <w:bookmarkStart w:id="148" w:name="_Toc272241188"/>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45"/>
      <w:bookmarkEnd w:id="146"/>
      <w:bookmarkEnd w:id="147"/>
      <w:bookmarkEnd w:id="148"/>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49" w:name="_Toc7237085"/>
      <w:bookmarkStart w:id="150" w:name="_Toc38858465"/>
      <w:bookmarkStart w:id="151" w:name="_Toc125257632"/>
      <w:bookmarkStart w:id="152" w:name="_Toc272241189"/>
      <w:r>
        <w:rPr>
          <w:rStyle w:val="CharSectno"/>
        </w:rPr>
        <w:t>18B</w:t>
      </w:r>
      <w:r>
        <w:rPr>
          <w:snapToGrid w:val="0"/>
        </w:rPr>
        <w:t>.</w:t>
      </w:r>
      <w:r>
        <w:rPr>
          <w:snapToGrid w:val="0"/>
        </w:rPr>
        <w:tab/>
        <w:t>Adjustment of certain widows’ pensions</w:t>
      </w:r>
      <w:bookmarkEnd w:id="149"/>
      <w:bookmarkEnd w:id="150"/>
      <w:bookmarkEnd w:id="151"/>
      <w:bookmarkEnd w:id="152"/>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53" w:name="_Toc7237086"/>
      <w:bookmarkStart w:id="154" w:name="_Toc38858466"/>
      <w:bookmarkStart w:id="155" w:name="_Toc125257633"/>
      <w:bookmarkStart w:id="156" w:name="_Toc272241190"/>
      <w:r>
        <w:rPr>
          <w:rStyle w:val="CharSectno"/>
        </w:rPr>
        <w:t>19</w:t>
      </w:r>
      <w:r>
        <w:rPr>
          <w:snapToGrid w:val="0"/>
        </w:rPr>
        <w:t>.</w:t>
      </w:r>
      <w:r>
        <w:rPr>
          <w:snapToGrid w:val="0"/>
        </w:rPr>
        <w:tab/>
        <w:t>Payment of pensions to spouses or de facto partners generally</w:t>
      </w:r>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57" w:name="_Toc7237088"/>
      <w:bookmarkStart w:id="158" w:name="_Toc38858467"/>
      <w:bookmarkStart w:id="159" w:name="_Toc125257634"/>
      <w:bookmarkStart w:id="160" w:name="_Toc272241191"/>
      <w:r>
        <w:rPr>
          <w:rStyle w:val="CharSectno"/>
        </w:rPr>
        <w:t>19B</w:t>
      </w:r>
      <w:r>
        <w:rPr>
          <w:snapToGrid w:val="0"/>
        </w:rPr>
        <w:t>.</w:t>
      </w:r>
      <w:r>
        <w:rPr>
          <w:snapToGrid w:val="0"/>
        </w:rPr>
        <w:tab/>
        <w:t>Commutation of certain spouses’ or de facto partners’ pensions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61" w:name="_Toc7237089"/>
      <w:bookmarkStart w:id="162" w:name="_Toc38858468"/>
      <w:bookmarkStart w:id="163" w:name="_Toc125257635"/>
      <w:bookmarkStart w:id="164" w:name="_Toc272241192"/>
      <w:r>
        <w:rPr>
          <w:rStyle w:val="CharSectno"/>
        </w:rPr>
        <w:t>20</w:t>
      </w:r>
      <w:r>
        <w:rPr>
          <w:snapToGrid w:val="0"/>
        </w:rPr>
        <w:t>.</w:t>
      </w:r>
      <w:r>
        <w:rPr>
          <w:snapToGrid w:val="0"/>
        </w:rPr>
        <w:tab/>
        <w:t>Repayments to Fund of amounts previously paid to contributor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65" w:name="_Toc7237090"/>
      <w:bookmarkStart w:id="166" w:name="_Toc38858469"/>
      <w:bookmarkStart w:id="167" w:name="_Toc125257636"/>
      <w:bookmarkStart w:id="168" w:name="_Toc272241193"/>
      <w:r>
        <w:rPr>
          <w:rStyle w:val="CharSectno"/>
        </w:rPr>
        <w:t>21</w:t>
      </w:r>
      <w:r>
        <w:rPr>
          <w:snapToGrid w:val="0"/>
        </w:rPr>
        <w:t>.</w:t>
      </w:r>
      <w:r>
        <w:rPr>
          <w:snapToGrid w:val="0"/>
        </w:rPr>
        <w:tab/>
        <w:t>Termination of pension if recipient becomes member of Parliament</w:t>
      </w:r>
      <w:bookmarkEnd w:id="165"/>
      <w:bookmarkEnd w:id="166"/>
      <w:bookmarkEnd w:id="167"/>
      <w:bookmarkEnd w:id="168"/>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69" w:name="_Toc7237091"/>
      <w:bookmarkStart w:id="170" w:name="_Toc38858470"/>
      <w:bookmarkStart w:id="171" w:name="_Toc125257637"/>
      <w:bookmarkStart w:id="172" w:name="_Toc272241194"/>
      <w:r>
        <w:rPr>
          <w:rStyle w:val="CharSectno"/>
        </w:rPr>
        <w:t>22</w:t>
      </w:r>
      <w:r>
        <w:rPr>
          <w:snapToGrid w:val="0"/>
        </w:rPr>
        <w:t>.</w:t>
      </w:r>
      <w:r>
        <w:rPr>
          <w:snapToGrid w:val="0"/>
        </w:rPr>
        <w:tab/>
        <w:t>Reduction of pensions in certain cases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73" w:name="_Toc7237092"/>
      <w:bookmarkStart w:id="174" w:name="_Toc38858471"/>
      <w:bookmarkStart w:id="175" w:name="_Toc125257638"/>
      <w:bookmarkStart w:id="176" w:name="_Toc272241195"/>
      <w:r>
        <w:rPr>
          <w:rStyle w:val="CharSectno"/>
        </w:rPr>
        <w:t>23</w:t>
      </w:r>
      <w:r>
        <w:rPr>
          <w:snapToGrid w:val="0"/>
        </w:rPr>
        <w:t>.</w:t>
      </w:r>
      <w:r>
        <w:rPr>
          <w:snapToGrid w:val="0"/>
        </w:rPr>
        <w:tab/>
        <w:t>Childrens’ allowances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77" w:name="_Toc7237093"/>
      <w:bookmarkStart w:id="178" w:name="_Toc38858472"/>
      <w:bookmarkStart w:id="179" w:name="_Toc125257639"/>
      <w:bookmarkStart w:id="180" w:name="_Toc272241196"/>
      <w:r>
        <w:rPr>
          <w:rStyle w:val="CharSectno"/>
        </w:rPr>
        <w:t>23A</w:t>
      </w:r>
      <w:r>
        <w:rPr>
          <w:snapToGrid w:val="0"/>
        </w:rPr>
        <w:t>.</w:t>
      </w:r>
      <w:r>
        <w:rPr>
          <w:snapToGrid w:val="0"/>
        </w:rPr>
        <w:tab/>
        <w:t>Spouse or de facto partner and children not entitled to more than one pension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81" w:name="_Toc7237094"/>
      <w:bookmarkStart w:id="182" w:name="_Toc38858473"/>
      <w:bookmarkStart w:id="183" w:name="_Toc125257640"/>
      <w:bookmarkStart w:id="184" w:name="_Toc272241197"/>
      <w:r>
        <w:rPr>
          <w:rStyle w:val="CharSectno"/>
        </w:rPr>
        <w:t>24</w:t>
      </w:r>
      <w:r>
        <w:t>.</w:t>
      </w:r>
      <w:r>
        <w:tab/>
        <w:t>Minimum benefits</w:t>
      </w:r>
      <w:bookmarkEnd w:id="181"/>
      <w:bookmarkEnd w:id="182"/>
      <w:bookmarkEnd w:id="183"/>
      <w:bookmarkEnd w:id="184"/>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85" w:name="_Toc125257641"/>
      <w:bookmarkStart w:id="186" w:name="_Toc137009324"/>
      <w:bookmarkStart w:id="187" w:name="_Toc137021401"/>
      <w:bookmarkStart w:id="188" w:name="_Toc139707531"/>
      <w:bookmarkStart w:id="189" w:name="_Toc157928259"/>
      <w:bookmarkStart w:id="190" w:name="_Toc200335657"/>
      <w:bookmarkStart w:id="191" w:name="_Toc200335778"/>
      <w:bookmarkStart w:id="192" w:name="_Toc202167089"/>
      <w:bookmarkStart w:id="193" w:name="_Toc202167174"/>
      <w:bookmarkStart w:id="194" w:name="_Toc202167372"/>
      <w:bookmarkStart w:id="195" w:name="_Toc203368206"/>
      <w:bookmarkStart w:id="196" w:name="_Toc268184066"/>
      <w:bookmarkStart w:id="197" w:name="_Toc268680285"/>
      <w:bookmarkStart w:id="198" w:name="_Toc268680328"/>
      <w:bookmarkStart w:id="199" w:name="_Toc272241153"/>
      <w:bookmarkStart w:id="200" w:name="_Toc272241198"/>
      <w:r>
        <w:rPr>
          <w:rStyle w:val="CharPartNo"/>
        </w:rPr>
        <w:t>Part V</w:t>
      </w:r>
      <w:r>
        <w:rPr>
          <w:rStyle w:val="CharDivNo"/>
        </w:rPr>
        <w:t> </w:t>
      </w:r>
      <w:r>
        <w:t>—</w:t>
      </w:r>
      <w:r>
        <w:rPr>
          <w:rStyle w:val="CharDivText"/>
        </w:rPr>
        <w:t> </w:t>
      </w:r>
      <w:r>
        <w:rPr>
          <w:rStyle w:val="CharPartText"/>
        </w:rPr>
        <w:t>Miscellaneous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7237095"/>
      <w:bookmarkStart w:id="202" w:name="_Toc38858474"/>
      <w:bookmarkStart w:id="203" w:name="_Toc125257642"/>
      <w:bookmarkStart w:id="204" w:name="_Toc272241199"/>
      <w:r>
        <w:rPr>
          <w:rStyle w:val="CharSectno"/>
        </w:rPr>
        <w:t>25</w:t>
      </w:r>
      <w:r>
        <w:rPr>
          <w:snapToGrid w:val="0"/>
        </w:rPr>
        <w:t>.</w:t>
      </w:r>
      <w:r>
        <w:rPr>
          <w:snapToGrid w:val="0"/>
        </w:rPr>
        <w:tab/>
        <w:t>Pensions payable fortnightly etc</w:t>
      </w:r>
      <w:bookmarkEnd w:id="201"/>
      <w:r>
        <w:rPr>
          <w:snapToGrid w:val="0"/>
        </w:rPr>
        <w:t>.</w:t>
      </w:r>
      <w:bookmarkEnd w:id="202"/>
      <w:bookmarkEnd w:id="203"/>
      <w:bookmarkEnd w:id="204"/>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05" w:name="_Toc7237096"/>
      <w:bookmarkStart w:id="206" w:name="_Toc38858475"/>
      <w:bookmarkStart w:id="207" w:name="_Toc125257643"/>
      <w:bookmarkStart w:id="208" w:name="_Toc272241200"/>
      <w:r>
        <w:rPr>
          <w:rStyle w:val="CharSectno"/>
        </w:rPr>
        <w:t>26</w:t>
      </w:r>
      <w:r>
        <w:rPr>
          <w:snapToGrid w:val="0"/>
        </w:rPr>
        <w:t>.</w:t>
      </w:r>
      <w:r>
        <w:rPr>
          <w:snapToGrid w:val="0"/>
        </w:rPr>
        <w:tab/>
        <w:t xml:space="preserve">Payments to be made from </w:t>
      </w:r>
      <w:bookmarkEnd w:id="205"/>
      <w:bookmarkEnd w:id="206"/>
      <w:bookmarkEnd w:id="207"/>
      <w:r>
        <w:rPr>
          <w:snapToGrid w:val="0"/>
        </w:rPr>
        <w:t>Consolidated Account</w:t>
      </w:r>
      <w:bookmarkEnd w:id="208"/>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09" w:name="_Toc7237097"/>
      <w:bookmarkStart w:id="210" w:name="_Toc38858476"/>
      <w:bookmarkStart w:id="211" w:name="_Toc125257644"/>
      <w:bookmarkStart w:id="212" w:name="_Toc272241201"/>
      <w:r>
        <w:rPr>
          <w:rStyle w:val="CharSectno"/>
        </w:rPr>
        <w:t>27</w:t>
      </w:r>
      <w:r>
        <w:rPr>
          <w:snapToGrid w:val="0"/>
        </w:rPr>
        <w:t>.</w:t>
      </w:r>
      <w:r>
        <w:rPr>
          <w:snapToGrid w:val="0"/>
        </w:rPr>
        <w:tab/>
        <w:t>Actuarial investigation</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13" w:name="_Toc7237098"/>
      <w:bookmarkStart w:id="214" w:name="_Toc38858477"/>
      <w:bookmarkStart w:id="215" w:name="_Toc125257645"/>
      <w:bookmarkStart w:id="216" w:name="_Toc272241202"/>
      <w:r>
        <w:rPr>
          <w:rStyle w:val="CharSectno"/>
        </w:rPr>
        <w:t>28</w:t>
      </w:r>
      <w:r>
        <w:t>.</w:t>
      </w:r>
      <w:r>
        <w:tab/>
        <w:t>Tribunal may change the scheme</w:t>
      </w:r>
      <w:bookmarkEnd w:id="213"/>
      <w:bookmarkEnd w:id="214"/>
      <w:bookmarkEnd w:id="215"/>
      <w:bookmarkEnd w:id="216"/>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17" w:name="_Toc7237099"/>
      <w:bookmarkStart w:id="218" w:name="_Toc38858478"/>
      <w:bookmarkStart w:id="219" w:name="_Toc125257646"/>
      <w:bookmarkStart w:id="220" w:name="_Toc272241203"/>
      <w:r>
        <w:rPr>
          <w:rStyle w:val="CharSectno"/>
        </w:rPr>
        <w:t>29</w:t>
      </w:r>
      <w:r>
        <w:t>.</w:t>
      </w:r>
      <w:r>
        <w:tab/>
        <w:t>State contributions for MPs who are not participants in the scheme</w:t>
      </w:r>
      <w:bookmarkEnd w:id="217"/>
      <w:bookmarkEnd w:id="218"/>
      <w:bookmarkEnd w:id="219"/>
      <w:bookmarkEnd w:id="220"/>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221" w:name="_Toc7237100"/>
      <w:bookmarkStart w:id="222" w:name="_Toc38858479"/>
      <w:bookmarkStart w:id="223" w:name="_Toc125257647"/>
      <w:bookmarkStart w:id="224" w:name="_Toc272241204"/>
      <w:r>
        <w:rPr>
          <w:rStyle w:val="CharSectno"/>
        </w:rPr>
        <w:t>30</w:t>
      </w:r>
      <w:r>
        <w:rPr>
          <w:snapToGrid w:val="0"/>
        </w:rPr>
        <w:t>.</w:t>
      </w:r>
      <w:r>
        <w:rPr>
          <w:snapToGrid w:val="0"/>
        </w:rPr>
        <w:tab/>
        <w:t>Pensions etc. not assignable etc</w:t>
      </w:r>
      <w:bookmarkEnd w:id="221"/>
      <w:r>
        <w:rPr>
          <w:snapToGrid w:val="0"/>
        </w:rPr>
        <w:t>.</w:t>
      </w:r>
      <w:bookmarkEnd w:id="222"/>
      <w:bookmarkEnd w:id="223"/>
      <w:bookmarkEnd w:id="224"/>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25" w:name="_Toc7237101"/>
      <w:bookmarkStart w:id="226" w:name="_Toc38858480"/>
      <w:bookmarkStart w:id="227" w:name="_Toc125257648"/>
      <w:bookmarkStart w:id="228" w:name="_Toc272241205"/>
      <w:r>
        <w:rPr>
          <w:rStyle w:val="CharSectno"/>
        </w:rPr>
        <w:t>31</w:t>
      </w:r>
      <w:r>
        <w:rPr>
          <w:snapToGrid w:val="0"/>
        </w:rPr>
        <w:t>.</w:t>
      </w:r>
      <w:r>
        <w:rPr>
          <w:snapToGrid w:val="0"/>
        </w:rPr>
        <w:tab/>
        <w:t>Regulations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229" w:name="_Toc38858481"/>
      <w:bookmarkStart w:id="230" w:name="_Toc125257649"/>
      <w:bookmarkStart w:id="231" w:name="_Toc137009332"/>
      <w:bookmarkStart w:id="232" w:name="_Toc137021409"/>
      <w:bookmarkStart w:id="233" w:name="_Toc139707539"/>
      <w:bookmarkStart w:id="234" w:name="_Toc157928267"/>
      <w:bookmarkStart w:id="235" w:name="_Toc200335665"/>
      <w:bookmarkStart w:id="236" w:name="_Toc200335786"/>
      <w:bookmarkStart w:id="237" w:name="_Toc202167097"/>
      <w:bookmarkStart w:id="238" w:name="_Toc202167182"/>
      <w:bookmarkStart w:id="239" w:name="_Toc202167380"/>
      <w:bookmarkStart w:id="240" w:name="_Toc203368214"/>
      <w:bookmarkStart w:id="241" w:name="_Toc268184074"/>
      <w:bookmarkStart w:id="242" w:name="_Toc268680293"/>
      <w:bookmarkStart w:id="243" w:name="_Toc268680336"/>
      <w:bookmarkStart w:id="244" w:name="_Toc272241161"/>
      <w:bookmarkStart w:id="245" w:name="_Toc272241206"/>
      <w:r>
        <w:rPr>
          <w:rStyle w:val="CharSchNo"/>
        </w:rPr>
        <w:t>Schedule</w:t>
      </w:r>
      <w:bookmarkEnd w:id="229"/>
      <w:bookmarkEnd w:id="230"/>
      <w:bookmarkEnd w:id="231"/>
      <w:bookmarkEnd w:id="232"/>
      <w:bookmarkEnd w:id="233"/>
      <w:bookmarkEnd w:id="234"/>
      <w:bookmarkEnd w:id="235"/>
      <w:bookmarkEnd w:id="236"/>
      <w:bookmarkEnd w:id="237"/>
      <w:bookmarkEnd w:id="238"/>
      <w:bookmarkEnd w:id="239"/>
      <w:bookmarkEnd w:id="240"/>
      <w:r>
        <w:t> — </w:t>
      </w:r>
      <w:r>
        <w:rPr>
          <w:rStyle w:val="CharSchText"/>
        </w:rPr>
        <w:t>Title of Act</w:t>
      </w:r>
      <w:bookmarkEnd w:id="241"/>
      <w:bookmarkEnd w:id="242"/>
      <w:bookmarkEnd w:id="243"/>
      <w:bookmarkEnd w:id="244"/>
      <w:bookmarkEnd w:id="245"/>
    </w:p>
    <w:p>
      <w:pPr>
        <w:pStyle w:val="yShoulderClause"/>
      </w:pPr>
      <w:r>
        <w:t>[s. 4]</w:t>
      </w:r>
    </w:p>
    <w:p>
      <w:pPr>
        <w:pStyle w:val="yFootnoteheading"/>
        <w:rPr>
          <w:i w:val="0"/>
          <w:iCs/>
          <w:snapToGrid w:val="0"/>
          <w:u w:val="words"/>
        </w:rPr>
      </w:pPr>
      <w:r>
        <w:tab/>
        <w:t>[Heading amended by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246" w:name="_Toc125257650"/>
      <w:bookmarkStart w:id="247" w:name="_Toc137009333"/>
      <w:bookmarkStart w:id="248" w:name="_Toc137021410"/>
      <w:bookmarkStart w:id="249" w:name="_Toc139707540"/>
      <w:bookmarkStart w:id="250" w:name="_Toc157928268"/>
      <w:bookmarkStart w:id="251" w:name="_Toc200335666"/>
      <w:bookmarkStart w:id="252" w:name="_Toc200335787"/>
      <w:bookmarkStart w:id="253" w:name="_Toc202167098"/>
      <w:bookmarkStart w:id="254" w:name="_Toc202167183"/>
      <w:bookmarkStart w:id="255" w:name="_Toc202167381"/>
      <w:bookmarkStart w:id="256" w:name="_Toc203368215"/>
      <w:bookmarkStart w:id="257" w:name="_Toc268184075"/>
      <w:bookmarkStart w:id="258" w:name="_Toc268680294"/>
      <w:bookmarkStart w:id="259" w:name="_Toc268680337"/>
      <w:bookmarkStart w:id="260" w:name="_Toc272241162"/>
      <w:bookmarkStart w:id="261" w:name="_Toc272241207"/>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272241208"/>
      <w:r>
        <w:rPr>
          <w:snapToGrid w:val="0"/>
        </w:rPr>
        <w:t>Compilation table</w:t>
      </w:r>
      <w:bookmarkEnd w:id="262"/>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Parliamentary Superannuation Act 1970</w:t>
            </w:r>
          </w:p>
        </w:tc>
        <w:tc>
          <w:tcPr>
            <w:tcW w:w="1134" w:type="dxa"/>
            <w:gridSpan w:val="2"/>
          </w:tcPr>
          <w:p>
            <w:pPr>
              <w:pStyle w:val="nTable"/>
              <w:spacing w:after="40"/>
              <w:rPr>
                <w:sz w:val="19"/>
              </w:rPr>
            </w:pPr>
            <w:r>
              <w:rPr>
                <w:sz w:val="19"/>
              </w:rPr>
              <w:t>36 of 1970</w:t>
            </w:r>
          </w:p>
        </w:tc>
        <w:tc>
          <w:tcPr>
            <w:tcW w:w="1134" w:type="dxa"/>
            <w:gridSpan w:val="2"/>
          </w:tcPr>
          <w:p>
            <w:pPr>
              <w:pStyle w:val="nTable"/>
              <w:spacing w:after="40"/>
              <w:rPr>
                <w:sz w:val="19"/>
              </w:rPr>
            </w:pPr>
            <w:r>
              <w:rPr>
                <w:sz w:val="19"/>
              </w:rPr>
              <w:t>27 May 1970</w:t>
            </w:r>
          </w:p>
        </w:tc>
        <w:tc>
          <w:tcPr>
            <w:tcW w:w="2551" w:type="dxa"/>
            <w:gridSpan w:val="2"/>
          </w:tcPr>
          <w:p>
            <w:pPr>
              <w:pStyle w:val="nTable"/>
              <w:spacing w:after="40"/>
              <w:rPr>
                <w:sz w:val="19"/>
              </w:rPr>
            </w:pPr>
            <w:r>
              <w:rPr>
                <w:sz w:val="19"/>
              </w:rPr>
              <w:t>Pt. IV: 1 Jan 1970 (see s. 2(2));</w:t>
            </w:r>
            <w:r>
              <w:rPr>
                <w:sz w:val="19"/>
              </w:rPr>
              <w:br/>
              <w:t>Act other than Pt. IV: 27 May 1970 (see s. 2(1))</w:t>
            </w:r>
          </w:p>
        </w:tc>
      </w:tr>
      <w:tr>
        <w:tc>
          <w:tcPr>
            <w:tcW w:w="2268" w:type="dxa"/>
            <w:gridSpan w:val="2"/>
          </w:tcPr>
          <w:p>
            <w:pPr>
              <w:pStyle w:val="nTable"/>
              <w:spacing w:after="40"/>
              <w:rPr>
                <w:sz w:val="19"/>
              </w:rPr>
            </w:pPr>
            <w:r>
              <w:rPr>
                <w:i/>
                <w:sz w:val="19"/>
              </w:rPr>
              <w:t>Parliamentary Superannuation Act Amendment Act 1971</w:t>
            </w:r>
          </w:p>
        </w:tc>
        <w:tc>
          <w:tcPr>
            <w:tcW w:w="1134" w:type="dxa"/>
            <w:gridSpan w:val="2"/>
          </w:tcPr>
          <w:p>
            <w:pPr>
              <w:pStyle w:val="nTable"/>
              <w:spacing w:after="40"/>
              <w:rPr>
                <w:sz w:val="19"/>
              </w:rPr>
            </w:pPr>
            <w:r>
              <w:rPr>
                <w:sz w:val="19"/>
              </w:rPr>
              <w:t>22 of 1971</w:t>
            </w:r>
          </w:p>
        </w:tc>
        <w:tc>
          <w:tcPr>
            <w:tcW w:w="1134" w:type="dxa"/>
            <w:gridSpan w:val="2"/>
          </w:tcPr>
          <w:p>
            <w:pPr>
              <w:pStyle w:val="nTable"/>
              <w:spacing w:after="40"/>
              <w:rPr>
                <w:sz w:val="19"/>
              </w:rPr>
            </w:pPr>
            <w:r>
              <w:rPr>
                <w:sz w:val="19"/>
              </w:rPr>
              <w:t>1 Dec 1971</w:t>
            </w:r>
          </w:p>
        </w:tc>
        <w:tc>
          <w:tcPr>
            <w:tcW w:w="2551" w:type="dxa"/>
            <w:gridSpan w:val="2"/>
          </w:tcPr>
          <w:p>
            <w:pPr>
              <w:pStyle w:val="nTable"/>
              <w:spacing w:after="40"/>
              <w:rPr>
                <w:sz w:val="19"/>
              </w:rPr>
            </w:pPr>
            <w:r>
              <w:rPr>
                <w:sz w:val="19"/>
              </w:rPr>
              <w:t>30 Dec 1970 (see s. 2)</w:t>
            </w:r>
          </w:p>
        </w:tc>
      </w:tr>
      <w:tr>
        <w:tc>
          <w:tcPr>
            <w:tcW w:w="2268" w:type="dxa"/>
            <w:gridSpan w:val="2"/>
          </w:tcPr>
          <w:p>
            <w:pPr>
              <w:pStyle w:val="nTable"/>
              <w:spacing w:after="40"/>
              <w:rPr>
                <w:sz w:val="19"/>
              </w:rPr>
            </w:pPr>
            <w:r>
              <w:rPr>
                <w:i/>
                <w:sz w:val="19"/>
              </w:rPr>
              <w:t>Parliamentary Superannuation Act Amendment Act 1975</w:t>
            </w:r>
          </w:p>
        </w:tc>
        <w:tc>
          <w:tcPr>
            <w:tcW w:w="1134" w:type="dxa"/>
            <w:gridSpan w:val="2"/>
          </w:tcPr>
          <w:p>
            <w:pPr>
              <w:pStyle w:val="nTable"/>
              <w:spacing w:after="40"/>
              <w:rPr>
                <w:sz w:val="19"/>
              </w:rPr>
            </w:pPr>
            <w:r>
              <w:rPr>
                <w:sz w:val="19"/>
              </w:rPr>
              <w:t>94 of 1975</w:t>
            </w:r>
          </w:p>
        </w:tc>
        <w:tc>
          <w:tcPr>
            <w:tcW w:w="1134" w:type="dxa"/>
            <w:gridSpan w:val="2"/>
          </w:tcPr>
          <w:p>
            <w:pPr>
              <w:pStyle w:val="nTable"/>
              <w:spacing w:after="40"/>
              <w:rPr>
                <w:sz w:val="19"/>
              </w:rPr>
            </w:pPr>
            <w:r>
              <w:rPr>
                <w:sz w:val="19"/>
              </w:rPr>
              <w:t>20 Nov 1975</w:t>
            </w:r>
          </w:p>
        </w:tc>
        <w:tc>
          <w:tcPr>
            <w:tcW w:w="2551" w:type="dxa"/>
            <w:gridSpan w:val="2"/>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gridSpan w:val="2"/>
          </w:tcPr>
          <w:p>
            <w:pPr>
              <w:pStyle w:val="nTable"/>
              <w:spacing w:after="40"/>
              <w:rPr>
                <w:sz w:val="19"/>
              </w:rPr>
            </w:pPr>
            <w:r>
              <w:rPr>
                <w:i/>
                <w:sz w:val="19"/>
              </w:rPr>
              <w:t>Parliamentary Superannuation Act Amendment Act 1976</w:t>
            </w:r>
          </w:p>
        </w:tc>
        <w:tc>
          <w:tcPr>
            <w:tcW w:w="1134" w:type="dxa"/>
            <w:gridSpan w:val="2"/>
          </w:tcPr>
          <w:p>
            <w:pPr>
              <w:pStyle w:val="nTable"/>
              <w:spacing w:after="40"/>
              <w:rPr>
                <w:sz w:val="19"/>
              </w:rPr>
            </w:pPr>
            <w:r>
              <w:rPr>
                <w:sz w:val="19"/>
              </w:rPr>
              <w:t>115 of 1976</w:t>
            </w:r>
          </w:p>
        </w:tc>
        <w:tc>
          <w:tcPr>
            <w:tcW w:w="1134" w:type="dxa"/>
            <w:gridSpan w:val="2"/>
          </w:tcPr>
          <w:p>
            <w:pPr>
              <w:pStyle w:val="nTable"/>
              <w:spacing w:after="40"/>
              <w:rPr>
                <w:sz w:val="19"/>
              </w:rPr>
            </w:pPr>
            <w:r>
              <w:rPr>
                <w:sz w:val="19"/>
              </w:rPr>
              <w:t>1 Dec 1976</w:t>
            </w:r>
          </w:p>
        </w:tc>
        <w:tc>
          <w:tcPr>
            <w:tcW w:w="2551" w:type="dxa"/>
            <w:gridSpan w:val="2"/>
          </w:tcPr>
          <w:p>
            <w:pPr>
              <w:pStyle w:val="nTable"/>
              <w:spacing w:after="40"/>
              <w:rPr>
                <w:sz w:val="19"/>
              </w:rPr>
            </w:pPr>
            <w:r>
              <w:rPr>
                <w:sz w:val="19"/>
              </w:rPr>
              <w:t>1 Jan 1977 (see s. 2)</w:t>
            </w:r>
          </w:p>
        </w:tc>
      </w:tr>
      <w:tr>
        <w:tc>
          <w:tcPr>
            <w:tcW w:w="2268" w:type="dxa"/>
            <w:gridSpan w:val="2"/>
          </w:tcPr>
          <w:p>
            <w:pPr>
              <w:pStyle w:val="nTable"/>
              <w:spacing w:after="40"/>
              <w:rPr>
                <w:sz w:val="19"/>
              </w:rPr>
            </w:pPr>
            <w:r>
              <w:rPr>
                <w:i/>
                <w:sz w:val="19"/>
              </w:rPr>
              <w:t>Parliamentary Superannuation Amendment Act 1980</w:t>
            </w:r>
          </w:p>
        </w:tc>
        <w:tc>
          <w:tcPr>
            <w:tcW w:w="1134" w:type="dxa"/>
            <w:gridSpan w:val="2"/>
          </w:tcPr>
          <w:p>
            <w:pPr>
              <w:pStyle w:val="nTable"/>
              <w:spacing w:after="40"/>
              <w:rPr>
                <w:sz w:val="19"/>
              </w:rPr>
            </w:pPr>
            <w:r>
              <w:rPr>
                <w:sz w:val="19"/>
              </w:rPr>
              <w:t>54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8"/>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gridSpan w:val="2"/>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gridSpan w:val="2"/>
          </w:tcPr>
          <w:p>
            <w:pPr>
              <w:pStyle w:val="nTable"/>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gridSpan w:val="2"/>
          </w:tcPr>
          <w:p>
            <w:pPr>
              <w:pStyle w:val="nTable"/>
              <w:spacing w:after="40"/>
              <w:rPr>
                <w:sz w:val="19"/>
              </w:rPr>
            </w:pPr>
            <w:r>
              <w:rPr>
                <w:sz w:val="19"/>
              </w:rPr>
              <w:t>24 Dec 1986</w:t>
            </w:r>
          </w:p>
        </w:tc>
      </w:tr>
      <w:tr>
        <w:tc>
          <w:tcPr>
            <w:tcW w:w="2268" w:type="dxa"/>
            <w:gridSpan w:val="2"/>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gridSpan w:val="2"/>
          </w:tcPr>
          <w:p>
            <w:pPr>
              <w:pStyle w:val="nTable"/>
              <w:spacing w:after="40"/>
              <w:rPr>
                <w:sz w:val="19"/>
              </w:rPr>
            </w:pPr>
            <w:r>
              <w:rPr>
                <w:sz w:val="19"/>
              </w:rPr>
              <w:t>16 Dec 1987 (see s. 2)</w:t>
            </w:r>
          </w:p>
        </w:tc>
      </w:tr>
      <w:tr>
        <w:tc>
          <w:tcPr>
            <w:tcW w:w="2268" w:type="dxa"/>
            <w:gridSpan w:val="2"/>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gridSpan w:val="2"/>
          </w:tcPr>
          <w:p>
            <w:pPr>
              <w:pStyle w:val="nTable"/>
              <w:keepNext/>
              <w:keepLines/>
              <w:spacing w:after="40"/>
              <w:rPr>
                <w:sz w:val="19"/>
              </w:rPr>
            </w:pPr>
            <w:r>
              <w:rPr>
                <w:sz w:val="19"/>
              </w:rPr>
              <w:t>6 of 1988</w:t>
            </w:r>
            <w:r>
              <w:rPr>
                <w:sz w:val="19"/>
              </w:rPr>
              <w:br/>
              <w:t>(as amended by No. 31 of 1989 s. 17)</w:t>
            </w:r>
          </w:p>
        </w:tc>
        <w:tc>
          <w:tcPr>
            <w:tcW w:w="1134" w:type="dxa"/>
            <w:gridSpan w:val="2"/>
          </w:tcPr>
          <w:p>
            <w:pPr>
              <w:pStyle w:val="nTable"/>
              <w:keepNext/>
              <w:keepLines/>
              <w:spacing w:after="40"/>
              <w:rPr>
                <w:sz w:val="19"/>
              </w:rPr>
            </w:pPr>
            <w:r>
              <w:rPr>
                <w:sz w:val="19"/>
              </w:rPr>
              <w:t>30 Jun 1988</w:t>
            </w:r>
          </w:p>
        </w:tc>
        <w:tc>
          <w:tcPr>
            <w:tcW w:w="2551" w:type="dxa"/>
            <w:gridSpan w:val="2"/>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gridSpan w:val="2"/>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gridSpan w:val="2"/>
          </w:tcPr>
          <w:p>
            <w:pPr>
              <w:pStyle w:val="nTable"/>
              <w:keepNext/>
              <w:keepLines/>
              <w:spacing w:after="40"/>
              <w:rPr>
                <w:sz w:val="19"/>
              </w:rPr>
            </w:pPr>
            <w:r>
              <w:rPr>
                <w:sz w:val="19"/>
              </w:rPr>
              <w:t>31 of 1989</w:t>
            </w:r>
          </w:p>
        </w:tc>
        <w:tc>
          <w:tcPr>
            <w:tcW w:w="1134" w:type="dxa"/>
            <w:gridSpan w:val="2"/>
          </w:tcPr>
          <w:p>
            <w:pPr>
              <w:pStyle w:val="nTable"/>
              <w:keepNext/>
              <w:keepLines/>
              <w:spacing w:after="40"/>
              <w:rPr>
                <w:sz w:val="19"/>
              </w:rPr>
            </w:pPr>
            <w:r>
              <w:rPr>
                <w:sz w:val="19"/>
              </w:rPr>
              <w:t>15 Dec 1989</w:t>
            </w:r>
          </w:p>
        </w:tc>
        <w:tc>
          <w:tcPr>
            <w:tcW w:w="2551" w:type="dxa"/>
            <w:gridSpan w:val="2"/>
          </w:tcPr>
          <w:p>
            <w:pPr>
              <w:pStyle w:val="nTable"/>
              <w:keepNext/>
              <w:keepLines/>
              <w:spacing w:after="40"/>
              <w:rPr>
                <w:sz w:val="19"/>
              </w:rPr>
            </w:pPr>
            <w:r>
              <w:rPr>
                <w:sz w:val="19"/>
              </w:rPr>
              <w:t>15 Dec 1989 (see s. 2)</w:t>
            </w:r>
          </w:p>
        </w:tc>
      </w:tr>
      <w:tr>
        <w:trPr>
          <w:cantSplit/>
        </w:trPr>
        <w:tc>
          <w:tcPr>
            <w:tcW w:w="7087" w:type="dxa"/>
            <w:gridSpan w:val="8"/>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c>
          <w:tcPr>
            <w:tcW w:w="2268" w:type="dxa"/>
            <w:gridSpan w:val="2"/>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10 Oct 2000 (see s. 2)</w:t>
            </w:r>
          </w:p>
        </w:tc>
      </w:tr>
      <w:tr>
        <w:tc>
          <w:tcPr>
            <w:tcW w:w="2268" w:type="dxa"/>
            <w:gridSpan w:val="2"/>
          </w:tcPr>
          <w:p>
            <w:pPr>
              <w:pStyle w:val="nTable"/>
              <w:spacing w:after="40"/>
              <w:rPr>
                <w:i/>
                <w:sz w:val="19"/>
              </w:rPr>
            </w:pPr>
            <w:r>
              <w:rPr>
                <w:i/>
                <w:sz w:val="19"/>
              </w:rPr>
              <w:t xml:space="preserve">Acts Amendment (Lesbian and Gay Law Reform) Act 2002 </w:t>
            </w:r>
            <w:r>
              <w:rPr>
                <w:sz w:val="19"/>
              </w:rPr>
              <w:t>Pt. 17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gridSpan w:val="2"/>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gridSpan w:val="2"/>
          </w:tcPr>
          <w:p>
            <w:pPr>
              <w:pStyle w:val="nTable"/>
              <w:spacing w:after="40"/>
              <w:rPr>
                <w:sz w:val="19"/>
              </w:rPr>
            </w:pPr>
            <w:r>
              <w:rPr>
                <w:sz w:val="19"/>
              </w:rPr>
              <w:t>18 of 2006</w:t>
            </w:r>
          </w:p>
        </w:tc>
        <w:tc>
          <w:tcPr>
            <w:tcW w:w="1134" w:type="dxa"/>
            <w:gridSpan w:val="2"/>
          </w:tcPr>
          <w:p>
            <w:pPr>
              <w:pStyle w:val="nTable"/>
              <w:spacing w:after="40"/>
              <w:rPr>
                <w:sz w:val="19"/>
              </w:rPr>
            </w:pPr>
            <w:r>
              <w:rPr>
                <w:sz w:val="19"/>
              </w:rPr>
              <w:t>31 May 2006</w:t>
            </w:r>
          </w:p>
        </w:tc>
        <w:tc>
          <w:tcPr>
            <w:tcW w:w="2551" w:type="dxa"/>
            <w:gridSpan w:val="2"/>
          </w:tcPr>
          <w:p>
            <w:pPr>
              <w:pStyle w:val="nTable"/>
              <w:spacing w:after="40"/>
              <w:rPr>
                <w:sz w:val="19"/>
              </w:rPr>
            </w:pPr>
            <w:r>
              <w:rPr>
                <w:sz w:val="19"/>
              </w:rPr>
              <w:t>31 May 2006 (see s. 2)</w:t>
            </w:r>
          </w:p>
        </w:tc>
      </w:tr>
      <w:tr>
        <w:tc>
          <w:tcPr>
            <w:tcW w:w="2268" w:type="dxa"/>
            <w:gridSpan w:val="2"/>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r>
        <w:trPr>
          <w:gridAfter w:val="1"/>
          <w:wAfter w:w="16" w:type="dxa"/>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rPr>
          <w:snapToGrid w:val="0"/>
        </w:rPr>
      </w:pPr>
      <w:r>
        <w:rPr>
          <w:snapToGrid w:val="0"/>
          <w:vertAlign w:val="superscript"/>
        </w:rPr>
        <w:t>2</w:t>
      </w:r>
      <w:r>
        <w:rPr>
          <w:snapToGrid w:val="0"/>
        </w:rPr>
        <w:tab/>
        <w:t>Repe</w:t>
      </w:r>
      <w:bookmarkStart w:id="263" w:name="UpToHere"/>
      <w:bookmarkEnd w:id="263"/>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64" w:name="_Toc200335789"/>
      <w:bookmarkStart w:id="265" w:name="_Toc202167100"/>
      <w:bookmarkStart w:id="266" w:name="_Toc202167185"/>
      <w:bookmarkStart w:id="267" w:name="_Toc202167383"/>
      <w:bookmarkStart w:id="268" w:name="_Toc203368217"/>
      <w:bookmarkStart w:id="269" w:name="_Toc268184077"/>
      <w:bookmarkStart w:id="270" w:name="_Toc268680296"/>
      <w:bookmarkStart w:id="271" w:name="_Toc268680339"/>
      <w:bookmarkStart w:id="272" w:name="_Toc272241164"/>
      <w:bookmarkStart w:id="273" w:name="_Toc272241209"/>
      <w:r>
        <w:rPr>
          <w:sz w:val="28"/>
        </w:rPr>
        <w:t>Defined Terms</w:t>
      </w:r>
      <w:bookmarkEnd w:id="264"/>
      <w:bookmarkEnd w:id="265"/>
      <w:bookmarkEnd w:id="266"/>
      <w:bookmarkEnd w:id="267"/>
      <w:bookmarkEnd w:id="268"/>
      <w:bookmarkEnd w:id="269"/>
      <w:bookmarkEnd w:id="270"/>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4" w:name="DefinedTerms"/>
      <w:bookmarkEnd w:id="274"/>
      <w:r>
        <w:t>actuary</w:t>
      </w:r>
      <w:r>
        <w:tab/>
        <w:t>27(2)</w:t>
      </w:r>
    </w:p>
    <w:p>
      <w:pPr>
        <w:pStyle w:val="DefinedTerms"/>
      </w:pPr>
      <w:r>
        <w:t>basic pension</w:t>
      </w:r>
      <w:r>
        <w:tab/>
        <w:t>13(1)</w:t>
      </w:r>
    </w:p>
    <w:p>
      <w:pPr>
        <w:pStyle w:val="DefinedTerms"/>
      </w:pPr>
      <w:r>
        <w:t>basic salary</w:t>
      </w:r>
      <w:r>
        <w:tab/>
        <w:t>5(1)</w:t>
      </w:r>
    </w:p>
    <w:p>
      <w:pPr>
        <w:pStyle w:val="DefinedTerms"/>
      </w:pPr>
      <w:r>
        <w:t>benefits</w:t>
      </w:r>
      <w:r>
        <w:tab/>
        <w:t>28(1)</w:t>
      </w:r>
    </w:p>
    <w:p>
      <w:pPr>
        <w:pStyle w:val="DefinedTerms"/>
      </w:pPr>
      <w:r>
        <w:t>Board</w:t>
      </w:r>
      <w:r>
        <w:tab/>
        <w:t>5(1)</w:t>
      </w:r>
    </w:p>
    <w:p>
      <w:pPr>
        <w:pStyle w:val="DefinedTerms"/>
      </w:pPr>
      <w:r>
        <w:t>closing day</w:t>
      </w:r>
      <w:r>
        <w:tab/>
        <w:t>5(1)</w:t>
      </w:r>
    </w:p>
    <w:p>
      <w:pPr>
        <w:pStyle w:val="DefinedTerms"/>
      </w:pPr>
      <w:r>
        <w:t>complying superannuation fund</w:t>
      </w:r>
      <w:r>
        <w:tab/>
        <w:t>29(1)</w:t>
      </w:r>
    </w:p>
    <w:p>
      <w:pPr>
        <w:pStyle w:val="DefinedTerms"/>
      </w:pPr>
      <w:r>
        <w:t>election</w:t>
      </w:r>
      <w:r>
        <w:tab/>
        <w:t>5(1)</w:t>
      </w:r>
    </w:p>
    <w:p>
      <w:pPr>
        <w:pStyle w:val="DefinedTerms"/>
      </w:pPr>
      <w:r>
        <w:t>eligible person</w:t>
      </w:r>
      <w:r>
        <w:tab/>
        <w:t>10(1)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29(1)</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salary</w:t>
      </w:r>
      <w:r>
        <w:tab/>
        <w:t>5(1)</w:t>
      </w:r>
    </w:p>
    <w:p>
      <w:pPr>
        <w:pStyle w:val="DefinedTerms"/>
      </w:pPr>
      <w:r>
        <w:t>scheme</w:t>
      </w:r>
      <w:r>
        <w:tab/>
        <w:t>5(1)</w:t>
      </w:r>
    </w:p>
    <w:p>
      <w:pPr>
        <w:pStyle w:val="DefinedTerms"/>
      </w:pPr>
      <w:r>
        <w:t>set period</w:t>
      </w:r>
      <w:r>
        <w:tab/>
        <w:t>10(1)</w:t>
      </w:r>
    </w:p>
    <w:p>
      <w:pPr>
        <w:pStyle w:val="DefinedTerms"/>
      </w:pPr>
      <w:r>
        <w:t>SG(A) Act</w:t>
      </w:r>
      <w:r>
        <w:tab/>
        <w:t>29(1)</w:t>
      </w:r>
    </w:p>
    <w:p>
      <w:pPr>
        <w:pStyle w:val="DefinedTerms"/>
      </w:pPr>
      <w:r>
        <w:t>specified</w:t>
      </w:r>
      <w:r>
        <w:tab/>
        <w:t>13(1)</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termination benefits</w:t>
      </w:r>
      <w:r>
        <w:tab/>
        <w:t>10(3)(a)</w:t>
      </w:r>
    </w:p>
    <w:p>
      <w:pPr>
        <w:pStyle w:val="DefinedTerms"/>
      </w:pPr>
      <w:r>
        <w:t>the repealed Act</w:t>
      </w:r>
      <w:r>
        <w:tab/>
        <w:t>5(1)</w:t>
      </w:r>
    </w:p>
    <w:p>
      <w:pPr>
        <w:pStyle w:val="DefinedTerms"/>
      </w:pPr>
      <w:r>
        <w:t>the specified age</w:t>
      </w:r>
      <w:r>
        <w:tab/>
        <w:t>16(2a), 19B(3)</w:t>
      </w:r>
    </w:p>
    <w:p>
      <w:pPr>
        <w:pStyle w:val="DefinedTerms"/>
      </w:pPr>
      <w:r>
        <w:t>Tribunal</w:t>
      </w:r>
      <w:r>
        <w:tab/>
        <w:t>5(1)</w:t>
      </w:r>
    </w:p>
    <w:p>
      <w:pPr>
        <w:pStyle w:val="DefinedTerms"/>
      </w:pPr>
    </w:p>
    <w:p>
      <w:pPr>
        <w:jc w:val="center"/>
      </w:pPr>
    </w:p>
    <w:p>
      <w:pPr>
        <w:pBdr>
          <w:top w:val="double" w:sz="4" w:space="0" w:color="auto"/>
        </w:pBdr>
        <w:jc w:val="center"/>
        <w:sectPr>
          <w:headerReference w:type="even" r:id="rId37"/>
          <w:headerReference w:type="default" r:id="rId38"/>
          <w:footerReference w:type="default" r:id="rId39"/>
          <w:headerReference w:type="first" r:id="rId40"/>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50"/>
    <w:docVar w:name="WAFER_20151208154250" w:val="RemoveTrackChanges"/>
    <w:docVar w:name="WAFER_20151208154250_GUID" w:val="2d3d7dd0-3d59-435a-b6a2-3a7d1d4de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11497</Words>
  <Characters>53004</Characters>
  <Application>Microsoft Office Word</Application>
  <DocSecurity>0</DocSecurity>
  <Lines>1472</Lines>
  <Paragraphs>741</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63760</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1970 - 04-c0-02</dc:title>
  <dc:subject/>
  <dc:creator/>
  <cp:keywords/>
  <dc:description/>
  <cp:lastModifiedBy>svcMRProcess</cp:lastModifiedBy>
  <cp:revision>4</cp:revision>
  <cp:lastPrinted>2008-07-02T03:19:00Z</cp:lastPrinted>
  <dcterms:created xsi:type="dcterms:W3CDTF">2020-02-18T02:27:00Z</dcterms:created>
  <dcterms:modified xsi:type="dcterms:W3CDTF">2020-02-18T02:27:00Z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575</vt:i4>
  </property>
  <property fmtid="{D5CDD505-2E9C-101B-9397-08002B2CF9AE}" pid="6" name="AsAtDate">
    <vt:lpwstr>11 Sep 2010</vt:lpwstr>
  </property>
  <property fmtid="{D5CDD505-2E9C-101B-9397-08002B2CF9AE}" pid="7" name="Suffix">
    <vt:lpwstr>04-c0-02</vt:lpwstr>
  </property>
  <property fmtid="{D5CDD505-2E9C-101B-9397-08002B2CF9AE}" pid="8" name="ReprintNo">
    <vt:lpwstr>4</vt:lpwstr>
  </property>
</Properties>
</file>