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(Third Party Insurance) Act 1943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_Toc272307748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_Toc272307749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_Toc272307750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_Toc272307751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_Toc272307752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_Toc272307753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_Toc272307754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_Toc272307755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_Toc272307756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_Toc272307757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_Toc272307758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_Toc272307759 \h </w:instrText>
      </w:r>
      <w:r>
        <w:fldChar w:fldCharType="separate"/>
      </w:r>
      <w:r>
        <w:t>13</w:t>
      </w:r>
      <w:r>
        <w:fldChar w:fldCharType="end"/>
      </w:r>
    </w:p>
    <w:p>
      <w:pPr>
        <w:pStyle w:val="TOC8"/>
        <w:rPr>
          <w:sz w:val="24"/>
          <w:szCs w:val="24"/>
        </w:rPr>
      </w:pPr>
      <w:r>
        <w:rPr>
          <w:szCs w:val="24"/>
        </w:rPr>
        <w:t>3QB.</w:t>
      </w:r>
      <w:r>
        <w:rPr>
          <w:szCs w:val="24"/>
        </w:rPr>
        <w:tab/>
        <w:t>Delegation</w:t>
      </w:r>
      <w:r>
        <w:tab/>
      </w:r>
      <w:r>
        <w:fldChar w:fldCharType="begin"/>
      </w:r>
      <w:r>
        <w:instrText xml:space="preserve"> PAGEREF _Toc272307760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_Toc272307761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_Toc272307762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_Toc272307763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_Toc272307764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_Toc272307765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_Toc272307766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_Toc272307767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_Toc272307768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_Toc272307769 \h </w:instrText>
      </w:r>
      <w:r>
        <w:fldChar w:fldCharType="separate"/>
      </w:r>
      <w:r>
        <w:t>27</w:t>
      </w:r>
      <w:r>
        <w:fldChar w:fldCharType="end"/>
      </w:r>
    </w:p>
    <w:p>
      <w:pPr>
        <w:pStyle w:val="TOC8"/>
        <w:rPr>
          <w:sz w:val="24"/>
          <w:szCs w:val="24"/>
        </w:rPr>
      </w:pPr>
      <w:r>
        <w:rPr>
          <w:szCs w:val="24"/>
        </w:rPr>
        <w:lastRenderedPageBreak/>
        <w:t>12</w:t>
      </w:r>
      <w:r>
        <w:rPr>
          <w:snapToGrid w:val="0"/>
          <w:szCs w:val="24"/>
        </w:rPr>
        <w:t>.</w:t>
      </w:r>
      <w:r>
        <w:rPr>
          <w:snapToGrid w:val="0"/>
          <w:szCs w:val="24"/>
        </w:rPr>
        <w:tab/>
        <w:t>Emergency treatment</w:t>
      </w:r>
      <w:r>
        <w:tab/>
      </w:r>
      <w:r>
        <w:fldChar w:fldCharType="begin"/>
      </w:r>
      <w:r>
        <w:instrText xml:space="preserve"> PAGEREF _Toc272307770 \h </w:instrText>
      </w:r>
      <w:r>
        <w:fldChar w:fldCharType="separate"/>
      </w:r>
      <w:r>
        <w:t>29</w:t>
      </w:r>
      <w:r>
        <w:fldChar w:fldCharType="end"/>
      </w:r>
    </w:p>
    <w:p>
      <w:pPr>
        <w:pStyle w:val="TOC8"/>
        <w:rPr>
          <w:sz w:val="24"/>
          <w:szCs w:val="24"/>
        </w:rPr>
      </w:pPr>
      <w:r>
        <w:rPr>
          <w:szCs w:val="24"/>
        </w:rPr>
        <w:t>14</w:t>
      </w:r>
      <w:r>
        <w:rPr>
          <w:snapToGrid w:val="0"/>
          <w:szCs w:val="24"/>
        </w:rPr>
        <w:t>.</w:t>
      </w:r>
      <w:r>
        <w:rPr>
          <w:snapToGrid w:val="0"/>
          <w:szCs w:val="24"/>
        </w:rPr>
        <w:tab/>
        <w:t>Recovery of payment for emergency treatment</w:t>
      </w:r>
      <w:r>
        <w:tab/>
      </w:r>
      <w:r>
        <w:fldChar w:fldCharType="begin"/>
      </w:r>
      <w:r>
        <w:instrText xml:space="preserve"> PAGEREF _Toc272307771 \h </w:instrText>
      </w:r>
      <w:r>
        <w:fldChar w:fldCharType="separate"/>
      </w:r>
      <w:r>
        <w:t>31</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_Toc272307772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_Toc272307773 \h </w:instrText>
      </w:r>
      <w:r>
        <w:fldChar w:fldCharType="separate"/>
      </w:r>
      <w:r>
        <w:t>32</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_Toc272307774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_Toc272307775 \h </w:instrText>
      </w:r>
      <w:r>
        <w:fldChar w:fldCharType="separate"/>
      </w:r>
      <w:r>
        <w:t>34</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_Toc272307776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_Toc272307777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_Toc272307778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_Toc272307779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_Toc272307780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_Toc272307781 \h </w:instrText>
      </w:r>
      <w:r>
        <w:fldChar w:fldCharType="separate"/>
      </w:r>
      <w:r>
        <w:t>38</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_Toc272307782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_Toc272307783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_Toc272307784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_Toc272307785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_Toc272307786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_Toc272307787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_Toc272307788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_Toc272307789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_Toc272307790 \h </w:instrText>
      </w:r>
      <w:r>
        <w:fldChar w:fldCharType="separate"/>
      </w:r>
      <w:r>
        <w:t>44</w:t>
      </w:r>
      <w:r>
        <w:fldChar w:fldCharType="end"/>
      </w:r>
    </w:p>
    <w:p>
      <w:pPr>
        <w:pStyle w:val="TOC2"/>
        <w:tabs>
          <w:tab w:val="right" w:leader="dot" w:pos="7086"/>
        </w:tabs>
        <w:rPr>
          <w:b w:val="0"/>
          <w:sz w:val="24"/>
          <w:szCs w:val="24"/>
        </w:rPr>
      </w:pPr>
      <w:r>
        <w:rPr>
          <w:szCs w:val="28"/>
        </w:rPr>
        <w:t>Schedule</w:t>
      </w:r>
      <w:r>
        <w:rPr>
          <w:sz w:val="24"/>
          <w:szCs w:val="28"/>
        </w:rPr>
        <w:t> </w:t>
      </w:r>
      <w:r>
        <w:rPr>
          <w:szCs w:val="28"/>
        </w:rPr>
        <w:t>—</w:t>
      </w:r>
      <w:r>
        <w:rPr>
          <w:sz w:val="24"/>
          <w:szCs w:val="28"/>
        </w:rPr>
        <w:t> </w:t>
      </w:r>
      <w:r>
        <w:rPr>
          <w:szCs w:val="28"/>
        </w:rPr>
        <w:t>Form of insurance policy</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_Toc272307793 \h </w:instrText>
      </w:r>
      <w:r>
        <w:fldChar w:fldCharType="separate"/>
      </w:r>
      <w:r>
        <w:t>47</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272307748"/>
      <w:r>
        <w:rPr>
          <w:rStyle w:val="CharSectno"/>
        </w:rPr>
        <w:t>1</w:t>
      </w:r>
      <w:r>
        <w:rPr>
          <w:snapToGrid w:val="0"/>
        </w:rPr>
        <w:t>.</w:t>
      </w:r>
      <w:r>
        <w:rPr>
          <w:snapToGrid w:val="0"/>
        </w:rPr>
        <w:tab/>
        <w:t>Short title and commencement</w:t>
      </w:r>
      <w:bookmarkEnd w:id="1"/>
      <w:bookmarkEnd w:id="2"/>
      <w:bookmarkEnd w:id="3"/>
    </w:p>
    <w:p>
      <w:pPr>
        <w:pStyle w:val="Subsection"/>
        <w:rPr>
          <w:snapToGrid w:val="0"/>
          <w:vertAlign w:val="superscript"/>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p>
    <w:p>
      <w:pPr>
        <w:pStyle w:val="Heading5"/>
        <w:rPr>
          <w:snapToGrid w:val="0"/>
        </w:rPr>
      </w:pPr>
      <w:bookmarkStart w:id="4" w:name="_Toc61156055"/>
      <w:bookmarkStart w:id="5" w:name="_Toc122761291"/>
      <w:bookmarkStart w:id="6" w:name="_Toc272307749"/>
      <w:r>
        <w:rPr>
          <w:rStyle w:val="CharSectno"/>
        </w:rPr>
        <w:t>2</w:t>
      </w:r>
      <w:r>
        <w:rPr>
          <w:snapToGrid w:val="0"/>
        </w:rPr>
        <w:t>.</w:t>
      </w:r>
      <w:r>
        <w:rPr>
          <w:snapToGrid w:val="0"/>
        </w:rPr>
        <w:tab/>
        <w:t>This Act to be read with the Road Traffic Act</w:t>
      </w:r>
      <w:bookmarkEnd w:id="4"/>
      <w:bookmarkEnd w:id="5"/>
      <w:bookmarkEnd w:id="6"/>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7" w:name="_Toc61156056"/>
      <w:bookmarkStart w:id="8" w:name="_Toc122761292"/>
      <w:bookmarkStart w:id="9" w:name="_Toc272307750"/>
      <w:r>
        <w:rPr>
          <w:rStyle w:val="CharSectno"/>
        </w:rPr>
        <w:t>3</w:t>
      </w:r>
      <w:r>
        <w:rPr>
          <w:snapToGrid w:val="0"/>
        </w:rPr>
        <w:t>.</w:t>
      </w:r>
      <w:r>
        <w:rPr>
          <w:snapToGrid w:val="0"/>
        </w:rPr>
        <w:tab/>
      </w:r>
      <w:bookmarkEnd w:id="7"/>
      <w:bookmarkEnd w:id="8"/>
      <w:r>
        <w:rPr>
          <w:snapToGrid w:val="0"/>
        </w:rPr>
        <w:t>Terms used</w:t>
      </w:r>
      <w:bookmarkEnd w:id="9"/>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pPr>
      <w:r>
        <w:rPr>
          <w:b/>
        </w:rPr>
        <w:tab/>
      </w:r>
      <w:r>
        <w:rPr>
          <w:rStyle w:val="CharDefText"/>
        </w:rPr>
        <w:t>contract of insurance</w:t>
      </w:r>
      <w: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pPr>
      <w:r>
        <w:rPr>
          <w:b/>
        </w:rPr>
        <w:tab/>
      </w:r>
      <w:r>
        <w:rPr>
          <w:rStyle w:val="CharDefText"/>
        </w:rPr>
        <w:t>Minister</w:t>
      </w:r>
      <w: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keepLines/>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rPr>
      </w:pPr>
      <w:r>
        <w:rPr>
          <w:snapToGrid w:val="0"/>
        </w:rPr>
        <w:tab/>
        <w:t>(3)</w:t>
      </w:r>
      <w:r>
        <w:rPr>
          <w:snapToGrid w:val="0"/>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rPr>
      </w:pPr>
      <w:r>
        <w:rPr>
          <w:snapToGrid w:val="0"/>
          <w:spacing w:val="-2"/>
        </w:rPr>
        <w:tab/>
        <w:t>(3A)</w:t>
      </w:r>
      <w:r>
        <w:rPr>
          <w:snapToGrid w:val="0"/>
          <w:spacing w:val="-2"/>
        </w:rPr>
        <w:tab/>
      </w:r>
      <w:r>
        <w:t>Despite subsection (3), in</w:t>
      </w:r>
      <w:r>
        <w:rPr>
          <w:snapToGrid w:val="0"/>
        </w:rPr>
        <w:t xml:space="preserve">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w:t>
      </w:r>
      <w:r>
        <w:rPr>
          <w:snapToGrid w:val="0"/>
        </w:rPr>
        <w:tab/>
        <w:t>It shall not be necessary for the owner of any motor vehicle which is temporarily in this State and which is licensed or registered in any other State or territory of the Commonwealth prescribed by the Governor as hereinafter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(4B)</w:t>
      </w:r>
      <w:r>
        <w:rPr>
          <w:snapToGrid w:val="0"/>
        </w:rPr>
        <w:tab/>
        <w:t>The Governor may by order in council prescribe for the purposes of subsection (4) any State or territory of the Commonwealth in which the Governor is satisfied there is in operation legislation for the carrying out of objects substantially similar to the objects of this Act.</w:t>
      </w:r>
    </w:p>
    <w:p>
      <w:pPr>
        <w:pStyle w:val="Subsection"/>
        <w:rPr>
          <w:snapToGrid w:val="0"/>
        </w:rPr>
      </w:pPr>
      <w:r>
        <w:rPr>
          <w:snapToGrid w:val="0"/>
        </w:rPr>
        <w:tab/>
        <w:t>(5)</w:t>
      </w:r>
      <w:r>
        <w:rPr>
          <w:snapToGrid w:val="0"/>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 No. 19 of 2010 s. 51.]</w:t>
      </w:r>
    </w:p>
    <w:p>
      <w:pPr>
        <w:pStyle w:val="Heading5"/>
        <w:rPr>
          <w:snapToGrid w:val="0"/>
        </w:rPr>
      </w:pPr>
      <w:bookmarkStart w:id="10" w:name="_Toc61156057"/>
      <w:bookmarkStart w:id="11" w:name="_Toc122761293"/>
      <w:bookmarkStart w:id="12" w:name="_Toc272307751"/>
      <w:r>
        <w:rPr>
          <w:rStyle w:val="CharSectno"/>
        </w:rPr>
        <w:t>3A</w:t>
      </w:r>
      <w:r>
        <w:rPr>
          <w:snapToGrid w:val="0"/>
        </w:rPr>
        <w:t xml:space="preserve">. </w:t>
      </w:r>
      <w:r>
        <w:rPr>
          <w:snapToGrid w:val="0"/>
        </w:rPr>
        <w:tab/>
        <w:t>Application of sections 3C and 3D</w:t>
      </w:r>
      <w:bookmarkEnd w:id="10"/>
      <w:bookmarkEnd w:id="11"/>
      <w:bookmarkEnd w:id="12"/>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3" w:name="_Toc61156058"/>
      <w:bookmarkStart w:id="14" w:name="_Toc122761294"/>
      <w:bookmarkStart w:id="15" w:name="_Toc272307752"/>
      <w:r>
        <w:rPr>
          <w:rStyle w:val="CharSectno"/>
        </w:rPr>
        <w:t>3B</w:t>
      </w:r>
      <w:r>
        <w:rPr>
          <w:snapToGrid w:val="0"/>
        </w:rPr>
        <w:t xml:space="preserve">. </w:t>
      </w:r>
      <w:r>
        <w:rPr>
          <w:snapToGrid w:val="0"/>
        </w:rPr>
        <w:tab/>
        <w:t>Limit on powers of courts</w:t>
      </w:r>
      <w:bookmarkEnd w:id="13"/>
      <w:bookmarkEnd w:id="14"/>
      <w:bookmarkEnd w:id="15"/>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6" w:name="_Toc61156059"/>
      <w:bookmarkStart w:id="17" w:name="_Toc122761295"/>
      <w:bookmarkStart w:id="18" w:name="_Toc272307753"/>
      <w:r>
        <w:rPr>
          <w:rStyle w:val="CharSectno"/>
        </w:rPr>
        <w:t>3C</w:t>
      </w:r>
      <w:r>
        <w:rPr>
          <w:snapToGrid w:val="0"/>
        </w:rPr>
        <w:t xml:space="preserve">. </w:t>
      </w:r>
      <w:r>
        <w:rPr>
          <w:snapToGrid w:val="0"/>
        </w:rPr>
        <w:tab/>
        <w:t>Restrictions on damages for non</w:t>
      </w:r>
      <w:r>
        <w:rPr>
          <w:snapToGrid w:val="0"/>
        </w:rPr>
        <w:noBreakHyphen/>
        <w:t>pecuniary loss</w:t>
      </w:r>
      <w:bookmarkEnd w:id="16"/>
      <w:bookmarkEnd w:id="17"/>
      <w:bookmarkEnd w:id="18"/>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pPr>
      <w:r>
        <w:tab/>
        <w:t>(b)</w:t>
      </w:r>
      <w: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rPr>
      </w:pPr>
      <w:r>
        <w:rPr>
          <w:snapToGrid w:val="0"/>
        </w:rPr>
        <w:tab/>
        <w:t>(2)</w:t>
      </w:r>
      <w:r>
        <w:rPr>
          <w:snapToGrid w:val="0"/>
        </w:rPr>
        <w:tab/>
        <w:t>The amount of damages to be awarded for non</w:t>
      </w:r>
      <w:r>
        <w:rPr>
          <w:snapToGrid w:val="0"/>
        </w:rPr>
        <w:noBreakHyphen/>
        <w:t>pecuniary loss is to be a proportion, determined according to the severity of the non</w:t>
      </w:r>
      <w:r>
        <w:rPr>
          <w:snapToGrid w:val="0"/>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20" o:title=""/>
          </v:shape>
          <o:OLEObject Type="Embed" ProgID="Equation.3" ShapeID="_x0000_i1025" DrawAspect="Content" ObjectID="_1643526653" r:id="rId21"/>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rPr>
      </w:pPr>
      <w:r>
        <w:rPr>
          <w:snapToGrid w:val="0"/>
        </w:rPr>
        <w:tab/>
        <w:t>(10)</w:t>
      </w:r>
      <w:r>
        <w:rPr>
          <w:snapToGrid w:val="0"/>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19" w:name="_Toc61156060"/>
      <w:bookmarkStart w:id="20" w:name="_Toc122761296"/>
      <w:bookmarkStart w:id="21" w:name="_Toc272307754"/>
      <w:r>
        <w:rPr>
          <w:rStyle w:val="CharSectno"/>
        </w:rPr>
        <w:t>3D</w:t>
      </w:r>
      <w:r>
        <w:rPr>
          <w:snapToGrid w:val="0"/>
        </w:rPr>
        <w:t xml:space="preserve">. </w:t>
      </w:r>
      <w:r>
        <w:rPr>
          <w:snapToGrid w:val="0"/>
        </w:rPr>
        <w:tab/>
        <w:t>Restrictions on damages for provision of home care services</w:t>
      </w:r>
      <w:bookmarkEnd w:id="19"/>
      <w:bookmarkEnd w:id="20"/>
      <w:bookmarkEnd w:id="21"/>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rPr>
      </w:pPr>
      <w:r>
        <w:rPr>
          <w:snapToGrid w:val="0"/>
        </w:rPr>
        <w:tab/>
        <w:t>(a)</w:t>
      </w:r>
      <w:r>
        <w:rPr>
          <w:snapToGrid w:val="0"/>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keepLines/>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spacing w:before="120"/>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spacing w:before="120"/>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spacing w:before="120"/>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2" w:name="_Toc61156061"/>
      <w:bookmarkStart w:id="23" w:name="_Toc122761297"/>
      <w:bookmarkStart w:id="24" w:name="_Toc272307755"/>
      <w:r>
        <w:rPr>
          <w:rStyle w:val="CharSectno"/>
        </w:rPr>
        <w:t>3E</w:t>
      </w:r>
      <w:r>
        <w:rPr>
          <w:snapToGrid w:val="0"/>
        </w:rPr>
        <w:t xml:space="preserve">. </w:t>
      </w:r>
      <w:r>
        <w:rPr>
          <w:snapToGrid w:val="0"/>
        </w:rPr>
        <w:tab/>
        <w:t>Causes of action to which restrictions on damages apply</w:t>
      </w:r>
      <w:bookmarkEnd w:id="22"/>
      <w:bookmarkEnd w:id="23"/>
      <w:bookmarkEnd w:id="24"/>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spacing w:before="60"/>
        <w:ind w:left="890" w:hanging="890"/>
      </w:pPr>
      <w:r>
        <w:tab/>
        <w:t>[Section 3E inserted by No. 17 of 1994 s. 5.]</w:t>
      </w:r>
    </w:p>
    <w:p>
      <w:pPr>
        <w:pStyle w:val="Heading5"/>
      </w:pPr>
      <w:bookmarkStart w:id="25" w:name="_Toc272307756"/>
      <w:r>
        <w:rPr>
          <w:rStyle w:val="CharSectno"/>
        </w:rPr>
        <w:t>3F</w:t>
      </w:r>
      <w:r>
        <w:t>.</w:t>
      </w:r>
      <w:r>
        <w:tab/>
        <w:t>Restriction on damages for loss relating to earning capacity</w:t>
      </w:r>
      <w:bookmarkEnd w:id="2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vertAlign w:val="superscript"/>
        </w:rPr>
        <w:t> 1</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In assessing the amount of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the average weekly earnings at the date of the award is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6" w:name="_Toc272307757"/>
      <w:bookmarkStart w:id="27" w:name="_Toc61156062"/>
      <w:bookmarkStart w:id="28" w:name="_Toc122761298"/>
      <w:r>
        <w:rPr>
          <w:rStyle w:val="CharSectno"/>
        </w:rPr>
        <w:t>3G</w:t>
      </w:r>
      <w:r>
        <w:t>.</w:t>
      </w:r>
      <w:r>
        <w:tab/>
        <w:t>Liability of employers</w:t>
      </w:r>
      <w:bookmarkEnd w:id="2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2)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spacing w:before="200"/>
      </w:pPr>
      <w:r>
        <w:t>[</w:t>
      </w:r>
      <w:r>
        <w:rPr>
          <w:b/>
        </w:rPr>
        <w:t>3H</w:t>
      </w:r>
      <w:r>
        <w:rPr>
          <w:b/>
        </w:rPr>
        <w:noBreakHyphen/>
        <w:t>3K.</w:t>
      </w:r>
      <w:r>
        <w:tab/>
        <w:t>Deleted by No. 51 of 1986 s. 46(2).]</w:t>
      </w:r>
    </w:p>
    <w:p>
      <w:pPr>
        <w:pStyle w:val="Ednotesection"/>
        <w:spacing w:before="200"/>
      </w:pPr>
      <w:r>
        <w:t>[</w:t>
      </w:r>
      <w:r>
        <w:rPr>
          <w:b/>
        </w:rPr>
        <w:t>3L</w:t>
      </w:r>
      <w:r>
        <w:rPr>
          <w:b/>
        </w:rPr>
        <w:noBreakHyphen/>
        <w:t>3N.</w:t>
      </w:r>
      <w:r>
        <w:rPr>
          <w:b/>
        </w:rPr>
        <w:tab/>
      </w:r>
      <w:r>
        <w:t>Deleted by No. 81 of 1982 s. 10.]</w:t>
      </w:r>
    </w:p>
    <w:p>
      <w:pPr>
        <w:pStyle w:val="Ednotesection"/>
        <w:spacing w:before="200"/>
      </w:pPr>
      <w:r>
        <w:t>[</w:t>
      </w:r>
      <w:r>
        <w:rPr>
          <w:b/>
        </w:rPr>
        <w:t>3P.</w:t>
      </w:r>
      <w:r>
        <w:rPr>
          <w:b/>
        </w:rPr>
        <w:tab/>
      </w:r>
      <w:r>
        <w:t>Deleted by No. 8 of 1988 s. 5.]</w:t>
      </w:r>
    </w:p>
    <w:p>
      <w:pPr>
        <w:pStyle w:val="Heading5"/>
        <w:spacing w:before="200"/>
        <w:rPr>
          <w:snapToGrid w:val="0"/>
        </w:rPr>
      </w:pPr>
      <w:bookmarkStart w:id="29" w:name="_Toc272307758"/>
      <w:r>
        <w:rPr>
          <w:rStyle w:val="CharSectno"/>
        </w:rPr>
        <w:t>3Q</w:t>
      </w:r>
      <w:r>
        <w:rPr>
          <w:snapToGrid w:val="0"/>
        </w:rPr>
        <w:t xml:space="preserve">. </w:t>
      </w:r>
      <w:r>
        <w:rPr>
          <w:snapToGrid w:val="0"/>
        </w:rPr>
        <w:tab/>
        <w:t>Director General’s functions</w:t>
      </w:r>
      <w:bookmarkEnd w:id="27"/>
      <w:bookmarkEnd w:id="28"/>
      <w:bookmarkEnd w:id="29"/>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spacing w:before="180"/>
      </w:pPr>
      <w:bookmarkStart w:id="30" w:name="_Toc61156063"/>
      <w:bookmarkStart w:id="31" w:name="_Toc122761299"/>
      <w:bookmarkStart w:id="32" w:name="_Toc272307759"/>
      <w:r>
        <w:rPr>
          <w:rStyle w:val="CharSectno"/>
        </w:rPr>
        <w:t>3QA</w:t>
      </w:r>
      <w:r>
        <w:t>.</w:t>
      </w:r>
      <w:r>
        <w:tab/>
        <w:t>Agreements for performance of functions</w:t>
      </w:r>
      <w:bookmarkEnd w:id="30"/>
      <w:bookmarkEnd w:id="31"/>
      <w:bookmarkEnd w:id="3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3" w:name="_Toc61156064"/>
      <w:bookmarkStart w:id="34" w:name="_Toc122761300"/>
      <w:bookmarkStart w:id="35" w:name="_Toc272307760"/>
      <w:r>
        <w:rPr>
          <w:rStyle w:val="CharSectno"/>
        </w:rPr>
        <w:t>3QB</w:t>
      </w:r>
      <w:r>
        <w:t>.</w:t>
      </w:r>
      <w:r>
        <w:tab/>
        <w:t>Delegation</w:t>
      </w:r>
      <w:bookmarkEnd w:id="33"/>
      <w:bookmarkEnd w:id="34"/>
      <w:bookmarkEnd w:id="3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6" w:name="_Toc61156065"/>
      <w:bookmarkStart w:id="37" w:name="_Toc122761301"/>
      <w:bookmarkStart w:id="38" w:name="_Toc272307761"/>
      <w:r>
        <w:rPr>
          <w:rStyle w:val="CharSectno"/>
        </w:rPr>
        <w:t>3R</w:t>
      </w:r>
      <w:r>
        <w:rPr>
          <w:snapToGrid w:val="0"/>
        </w:rPr>
        <w:t xml:space="preserve">. </w:t>
      </w:r>
      <w:r>
        <w:rPr>
          <w:snapToGrid w:val="0"/>
        </w:rPr>
        <w:tab/>
        <w:t>Issue of policies of insurance</w:t>
      </w:r>
      <w:bookmarkEnd w:id="36"/>
      <w:bookmarkEnd w:id="37"/>
      <w:bookmarkEnd w:id="38"/>
    </w:p>
    <w:p>
      <w:pPr>
        <w:pStyle w:val="Ednotesubsection"/>
      </w:pPr>
      <w:r>
        <w:tab/>
        <w:t>[(1)</w:t>
      </w:r>
      <w:r>
        <w:tab/>
        <w:t>deleted]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(4B)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(4C)</w:t>
      </w:r>
      <w:r>
        <w:rPr>
          <w:snapToGrid w:val="0"/>
        </w:rPr>
        <w:tab/>
        <w:t>The Treasurer shall pay all amounts received by him under subsection (4B)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Sch. 1 cl. 23(1); No. 19 of 2010 s. 51.]</w:t>
      </w:r>
    </w:p>
    <w:p>
      <w:pPr>
        <w:pStyle w:val="Heading5"/>
        <w:rPr>
          <w:snapToGrid w:val="0"/>
        </w:rPr>
      </w:pPr>
      <w:bookmarkStart w:id="39" w:name="_Toc61156066"/>
      <w:bookmarkStart w:id="40" w:name="_Toc122761302"/>
      <w:bookmarkStart w:id="41" w:name="_Toc272307762"/>
      <w:r>
        <w:rPr>
          <w:rStyle w:val="CharSectno"/>
        </w:rPr>
        <w:t>3S</w:t>
      </w:r>
      <w:r>
        <w:rPr>
          <w:snapToGrid w:val="0"/>
        </w:rPr>
        <w:t xml:space="preserve">. </w:t>
      </w:r>
      <w:r>
        <w:rPr>
          <w:snapToGrid w:val="0"/>
        </w:rPr>
        <w:tab/>
        <w:t>Further powers of the Commission</w:t>
      </w:r>
      <w:bookmarkEnd w:id="39"/>
      <w:bookmarkEnd w:id="40"/>
      <w:bookmarkEnd w:id="41"/>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2" w:name="_Toc61156067"/>
      <w:bookmarkStart w:id="43" w:name="_Toc122761303"/>
      <w:bookmarkStart w:id="44" w:name="_Toc272307763"/>
      <w:r>
        <w:rPr>
          <w:rStyle w:val="CharSectno"/>
        </w:rPr>
        <w:t>3T</w:t>
      </w:r>
      <w:r>
        <w:rPr>
          <w:snapToGrid w:val="0"/>
        </w:rPr>
        <w:t xml:space="preserve">. </w:t>
      </w:r>
      <w:r>
        <w:rPr>
          <w:snapToGrid w:val="0"/>
        </w:rPr>
        <w:tab/>
        <w:t>Premiums</w:t>
      </w:r>
      <w:bookmarkEnd w:id="42"/>
      <w:bookmarkEnd w:id="43"/>
      <w:bookmarkEnd w:id="44"/>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5" w:name="_Toc61156068"/>
      <w:bookmarkStart w:id="46" w:name="_Toc122761304"/>
      <w:bookmarkStart w:id="47" w:name="_Toc272307764"/>
      <w:r>
        <w:rPr>
          <w:rStyle w:val="CharSectno"/>
        </w:rPr>
        <w:t>4</w:t>
      </w:r>
      <w:r>
        <w:rPr>
          <w:snapToGrid w:val="0"/>
        </w:rPr>
        <w:t>.</w:t>
      </w:r>
      <w:r>
        <w:rPr>
          <w:snapToGrid w:val="0"/>
        </w:rPr>
        <w:tab/>
        <w:t>Insurance against third party risks</w:t>
      </w:r>
      <w:bookmarkEnd w:id="45"/>
      <w:bookmarkEnd w:id="46"/>
      <w:bookmarkEnd w:id="47"/>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deleted]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(3B)</w:t>
      </w:r>
      <w:r>
        <w:tab/>
        <w:t>A person shall not be convicted or punished for an offence under subsection (3A) if he has already been convicted or acquitted of an offence under section 15 of the Traffic Act and both those offences had been committed simultaneously.</w:t>
      </w:r>
    </w:p>
    <w:p>
      <w:pPr>
        <w:pStyle w:val="Subsection"/>
      </w:pPr>
      <w:r>
        <w:tab/>
        <w:t>(3C)</w:t>
      </w:r>
      <w:r>
        <w:tab/>
        <w:t>Upon conviction of a person of an offence under subsection (3A),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t>(5A)</w:t>
      </w:r>
      <w:r>
        <w:rPr>
          <w:snapToGrid w:val="0"/>
        </w:rPr>
        <w:tab/>
      </w:r>
      <w:r>
        <w:t>Despite subsection (5), no proceedings for an offence under this section</w:t>
      </w:r>
      <w:r>
        <w:rPr>
          <w:snapToGrid w:val="0"/>
        </w:rPr>
        <w:t xml:space="preserve">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rPr>
      </w:pPr>
      <w:r>
        <w:rPr>
          <w:snapToGrid w:val="0"/>
        </w:rPr>
        <w:tab/>
        <w:t>(7A)</w:t>
      </w:r>
      <w:r>
        <w:rPr>
          <w:snapToGrid w:val="0"/>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(7B)</w:t>
      </w:r>
      <w:r>
        <w:rPr>
          <w:snapToGrid w:val="0"/>
        </w:rPr>
        <w:tab/>
        <w:t>The owner shall be deemed to have complied with subsection (7A)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(7C)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Subsection"/>
        <w:rPr>
          <w:snapToGrid w:val="0"/>
        </w:rPr>
      </w:pPr>
      <w:r>
        <w:rPr>
          <w:snapToGrid w:val="0"/>
        </w:rPr>
        <w:tab/>
        <w:t>(9)</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(10)</w:t>
      </w:r>
      <w:r>
        <w:rPr>
          <w:snapToGrid w:val="0"/>
        </w:rPr>
        <w:tab/>
        <w:t xml:space="preserve">The owner and driver of </w:t>
      </w:r>
      <w:r>
        <w:t xml:space="preserve">a vehicle referred to in subsection (9) </w:t>
      </w:r>
      <w:r>
        <w:rPr>
          <w:snapToGrid w:val="0"/>
        </w:rPr>
        <w:t xml:space="preserve">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 No. 19 of 2010 s. 51.]</w:t>
      </w:r>
    </w:p>
    <w:p>
      <w:pPr>
        <w:pStyle w:val="Ednotesection"/>
      </w:pPr>
      <w:r>
        <w:t>[</w:t>
      </w:r>
      <w:r>
        <w:rPr>
          <w:b/>
        </w:rPr>
        <w:t>5.</w:t>
      </w:r>
      <w:r>
        <w:rPr>
          <w:b/>
        </w:rPr>
        <w:tab/>
      </w:r>
      <w:r>
        <w:t>Deleted by No. 31 of 1948 s. 7.]</w:t>
      </w:r>
    </w:p>
    <w:p>
      <w:pPr>
        <w:pStyle w:val="Heading5"/>
        <w:rPr>
          <w:snapToGrid w:val="0"/>
        </w:rPr>
      </w:pPr>
      <w:bookmarkStart w:id="48" w:name="_Toc61156069"/>
      <w:bookmarkStart w:id="49" w:name="_Toc122761305"/>
      <w:bookmarkStart w:id="50" w:name="_Toc272307765"/>
      <w:r>
        <w:rPr>
          <w:rStyle w:val="CharSectno"/>
        </w:rPr>
        <w:t>6</w:t>
      </w:r>
      <w:r>
        <w:rPr>
          <w:snapToGrid w:val="0"/>
        </w:rPr>
        <w:t>.</w:t>
      </w:r>
      <w:r>
        <w:rPr>
          <w:snapToGrid w:val="0"/>
        </w:rPr>
        <w:tab/>
        <w:t>Requirements in respect of policies</w:t>
      </w:r>
      <w:bookmarkEnd w:id="48"/>
      <w:bookmarkEnd w:id="49"/>
      <w:bookmarkEnd w:id="50"/>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keepNext/>
      </w:pPr>
      <w:r>
        <w:tab/>
        <w:t>[(2)</w:t>
      </w:r>
      <w:r>
        <w:tab/>
        <w:t>deleted]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Deleted by No. 28 of 2003 s. 122(2).]</w:t>
      </w:r>
    </w:p>
    <w:p>
      <w:pPr>
        <w:pStyle w:val="Heading5"/>
        <w:rPr>
          <w:snapToGrid w:val="0"/>
        </w:rPr>
      </w:pPr>
      <w:bookmarkStart w:id="51" w:name="_Toc61156070"/>
      <w:bookmarkStart w:id="52" w:name="_Toc122761306"/>
      <w:bookmarkStart w:id="53" w:name="_Toc272307766"/>
      <w:r>
        <w:rPr>
          <w:rStyle w:val="CharSectno"/>
        </w:rPr>
        <w:t>7</w:t>
      </w:r>
      <w:r>
        <w:rPr>
          <w:snapToGrid w:val="0"/>
        </w:rPr>
        <w:t>.</w:t>
      </w:r>
      <w:r>
        <w:rPr>
          <w:snapToGrid w:val="0"/>
        </w:rPr>
        <w:tab/>
        <w:t>Liability of the Commission</w:t>
      </w:r>
      <w:bookmarkEnd w:id="51"/>
      <w:bookmarkEnd w:id="52"/>
      <w:bookmarkEnd w:id="53"/>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t>(1A)</w:t>
      </w:r>
      <w:r>
        <w:rPr>
          <w:snapToGrid w:val="0"/>
        </w:rPr>
        <w:tab/>
        <w:t xml:space="preserve">When the judgment against the insured person was obtained within the State, </w:t>
      </w:r>
      <w:r>
        <w:t>subsection (1)</w:t>
      </w:r>
      <w:r>
        <w:rPr>
          <w:snapToGrid w:val="0"/>
        </w:rPr>
        <w:t>shall not apply unless before the action in which such judgment was obtained came on for hearing, the Commission knew that that action had been commenced.</w:t>
      </w:r>
    </w:p>
    <w:p>
      <w:pPr>
        <w:pStyle w:val="Subsection"/>
        <w:rPr>
          <w:snapToGrid w:val="0"/>
        </w:rPr>
      </w:pPr>
      <w:r>
        <w:rPr>
          <w:snapToGrid w:val="0"/>
        </w:rPr>
        <w:tab/>
        <w:t>(1B)</w:t>
      </w:r>
      <w:r>
        <w:rPr>
          <w:snapToGrid w:val="0"/>
        </w:rPr>
        <w:tab/>
        <w:t xml:space="preserve">The right to recover under </w:t>
      </w:r>
      <w:r>
        <w:t>subsection (1)</w:t>
      </w:r>
      <w:r>
        <w:rPr>
          <w:snapToGrid w:val="0"/>
        </w:rPr>
        <w:t>shall be subject to any limitations prescribed by the policy of insurance as to the amount in respect of which the insured is indemnified.</w:t>
      </w:r>
    </w:p>
    <w:p>
      <w:pPr>
        <w:pStyle w:val="Subsection"/>
        <w:rPr>
          <w:snapToGrid w:val="0"/>
        </w:rPr>
      </w:pPr>
      <w:r>
        <w:rPr>
          <w:snapToGrid w:val="0"/>
        </w:rPr>
        <w:tab/>
        <w:t>(2)</w:t>
      </w:r>
      <w:r>
        <w:rPr>
          <w:snapToGrid w:val="0"/>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rPr>
          <w:snapToGrid w:val="0"/>
        </w:rPr>
      </w:pPr>
      <w:r>
        <w:rPr>
          <w:snapToGrid w:val="0"/>
        </w:rPr>
        <w:tab/>
        <w:t>(a)</w:t>
      </w:r>
      <w:r>
        <w:rPr>
          <w:snapToGrid w:val="0"/>
        </w:rPr>
        <w:tab/>
        <w:t>the policy was obtained by any misstatement or non</w:t>
      </w:r>
      <w:r>
        <w:rPr>
          <w:snapToGrid w:val="0"/>
        </w:rPr>
        <w:noBreakHyphen/>
        <w:t>disclosure, whether fraudulent, material or otherwise;</w:t>
      </w:r>
    </w:p>
    <w:p>
      <w:pPr>
        <w:pStyle w:val="Indenta"/>
        <w:rPr>
          <w:snapToGrid w:val="0"/>
        </w:rPr>
      </w:pPr>
      <w:r>
        <w:rPr>
          <w:snapToGrid w:val="0"/>
        </w:rPr>
        <w:tab/>
        <w:t>(b)</w:t>
      </w:r>
      <w:r>
        <w:rPr>
          <w:snapToGrid w:val="0"/>
        </w:rPr>
        <w:tab/>
        <w:t>the insured person has committed any breach of any term, condition, or warranty of a policy or any provision of this Act; or</w:t>
      </w:r>
    </w:p>
    <w:p>
      <w:pPr>
        <w:pStyle w:val="Indenta"/>
        <w:rPr>
          <w:snapToGrid w:val="0"/>
        </w:rPr>
      </w:pPr>
      <w:r>
        <w:rPr>
          <w:snapToGrid w:val="0"/>
        </w:rPr>
        <w:tab/>
        <w:t>(c)</w:t>
      </w:r>
      <w:r>
        <w:rPr>
          <w:snapToGrid w:val="0"/>
        </w:rPr>
        <w:tab/>
        <w:t>the insured person has failed to comply with any condition of the policy as to what the insured person should do or should not do after the event giving rise to liability.</w:t>
      </w:r>
    </w:p>
    <w:p>
      <w:pPr>
        <w:pStyle w:val="Subsection"/>
        <w:keepLines/>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rPr>
          <w:snapToGrid w:val="0"/>
        </w:rPr>
      </w:pPr>
      <w:r>
        <w:rPr>
          <w:snapToGrid w:val="0"/>
        </w:rPr>
        <w:tab/>
        <w:t>(a)</w:t>
      </w:r>
      <w:r>
        <w:rPr>
          <w:snapToGrid w:val="0"/>
        </w:rPr>
        <w:tab/>
        <w:t>such part of any judgment so obtained against the Commission; or</w:t>
      </w:r>
    </w:p>
    <w:p>
      <w:pPr>
        <w:pStyle w:val="Indenta"/>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rPr>
          <w:snapToGrid w:val="0"/>
        </w:rPr>
      </w:pPr>
      <w:r>
        <w:rPr>
          <w:snapToGrid w:val="0"/>
        </w:rPr>
        <w:tab/>
        <w:t>(c)</w:t>
      </w:r>
      <w:r>
        <w:rPr>
          <w:snapToGrid w:val="0"/>
        </w:rPr>
        <w:tab/>
        <w:t>such costs and expenses</w:t>
      </w:r>
    </w:p>
    <w:p>
      <w:pPr>
        <w:pStyle w:val="Subsection"/>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rPr>
          <w:snapToGrid w:val="0"/>
        </w:rPr>
      </w:pPr>
      <w:r>
        <w:rPr>
          <w:snapToGrid w:val="0"/>
        </w:rPr>
        <w:tab/>
        <w:t>(6)</w:t>
      </w:r>
      <w:r>
        <w:rPr>
          <w:snapToGrid w:val="0"/>
        </w:rPr>
        <w:tab/>
        <w:t>This section shall not apply —</w:t>
      </w:r>
    </w:p>
    <w:p>
      <w:pPr>
        <w:pStyle w:val="Ednotepara"/>
        <w:spacing w:before="80"/>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keepLines w:val="0"/>
        <w:ind w:left="890" w:hanging="890"/>
      </w:pPr>
      <w:r>
        <w:tab/>
        <w:t>[Section 7 amended by No. 40 of 1944 s. 5; No. 7 of 1945 s. 3; No. 31 of 1948 s. 9; No. 36 of 1954 s. 3; No. 77 of 1957 s. 5; No. 72 of 1962 s. 7; No. 95 of 1966 s. 8; No. 81 of 1982 s. 16; No. 51 of 1986 s. 46(2); No. 107 of 1987 s. 7; No. 19 of 2010 s. 51.]</w:t>
      </w:r>
    </w:p>
    <w:p>
      <w:pPr>
        <w:pStyle w:val="Heading5"/>
        <w:rPr>
          <w:snapToGrid w:val="0"/>
        </w:rPr>
      </w:pPr>
      <w:bookmarkStart w:id="54" w:name="_Toc61156071"/>
      <w:bookmarkStart w:id="55" w:name="_Toc122761307"/>
      <w:bookmarkStart w:id="56" w:name="_Toc272307767"/>
      <w:r>
        <w:rPr>
          <w:rStyle w:val="CharSectno"/>
        </w:rPr>
        <w:t>8</w:t>
      </w:r>
      <w:r>
        <w:rPr>
          <w:snapToGrid w:val="0"/>
        </w:rPr>
        <w:t>.</w:t>
      </w:r>
      <w:r>
        <w:rPr>
          <w:snapToGrid w:val="0"/>
        </w:rPr>
        <w:tab/>
        <w:t>Special provisions in relation to uninsured motor vehicles</w:t>
      </w:r>
      <w:bookmarkEnd w:id="54"/>
      <w:bookmarkEnd w:id="55"/>
      <w:bookmarkEnd w:id="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rPr>
          <w:snapToGrid w:val="0"/>
        </w:rPr>
      </w:pPr>
      <w:r>
        <w:rPr>
          <w:snapToGrid w:val="0"/>
        </w:rPr>
        <w:tab/>
        <w:t>(c)</w:t>
      </w:r>
      <w:r>
        <w:rPr>
          <w:snapToGrid w:val="0"/>
        </w:rPr>
        <w:tab/>
        <w:t>the judgment debtor does not satisfy the judgment in full within one month after the same has been entered —</w:t>
      </w:r>
    </w:p>
    <w:p>
      <w:pPr>
        <w:pStyle w:val="Subsection"/>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rPr>
          <w:snapToGrid w:val="0"/>
        </w:rPr>
      </w:pPr>
      <w:r>
        <w:rPr>
          <w:snapToGrid w:val="0"/>
        </w:rPr>
        <w:tab/>
        <w:t>(1A)</w:t>
      </w:r>
      <w:r>
        <w:rPr>
          <w:snapToGrid w:val="0"/>
        </w:rPr>
        <w:tab/>
      </w:r>
      <w:r>
        <w:t xml:space="preserve">Where execution of a judgment referred to in subsection (1) </w:t>
      </w:r>
      <w:r>
        <w:rPr>
          <w:snapToGrid w:val="0"/>
        </w:rPr>
        <w:t>is stayed pending appeal, the time during which such execution is so stayed shall be excluded in calculating the said period of one month.</w:t>
      </w:r>
    </w:p>
    <w:p>
      <w:pPr>
        <w:pStyle w:val="Subsection"/>
        <w:rPr>
          <w:snapToGrid w:val="0"/>
        </w:rPr>
      </w:pPr>
      <w:r>
        <w:rPr>
          <w:snapToGrid w:val="0"/>
        </w:rPr>
        <w:tab/>
        <w:t>(1B)</w:t>
      </w:r>
      <w:r>
        <w:rPr>
          <w:snapToGrid w:val="0"/>
        </w:rPr>
        <w:tab/>
      </w:r>
      <w:r>
        <w:t>When a judgment referred to in subsection (1) was obtained within the State, that subsection</w:t>
      </w:r>
      <w:r>
        <w:rPr>
          <w:snapToGrid w:val="0"/>
        </w:rPr>
        <w:t xml:space="preserve"> shall not apply unless, before the action on which such judgment was obtained came on for hearing, the Commission knew that such action had been commenced.</w:t>
      </w:r>
    </w:p>
    <w:p>
      <w:pPr>
        <w:pStyle w:val="Ednotesubsection"/>
      </w:pPr>
      <w:r>
        <w:tab/>
        <w:t>[(2)</w:t>
      </w:r>
      <w:r>
        <w:tab/>
        <w:t>deleted]</w:t>
      </w:r>
    </w:p>
    <w:p>
      <w:pPr>
        <w:pStyle w:val="Subsection"/>
        <w:keepNext/>
        <w:rPr>
          <w:snapToGrid w:val="0"/>
        </w:rPr>
      </w:pPr>
      <w:r>
        <w:rPr>
          <w:snapToGrid w:val="0"/>
        </w:rPr>
        <w:tab/>
        <w:t>(3)</w:t>
      </w:r>
      <w:r>
        <w:rPr>
          <w:snapToGrid w:val="0"/>
        </w:rPr>
        <w:tab/>
        <w:t>The Commission may recover from</w:t>
      </w:r>
    </w:p>
    <w:p>
      <w:pPr>
        <w:pStyle w:val="Indenta"/>
        <w:rPr>
          <w:snapToGrid w:val="0"/>
        </w:rPr>
      </w:pPr>
      <w:r>
        <w:rPr>
          <w:snapToGrid w:val="0"/>
        </w:rPr>
        <w:tab/>
        <w:t>(a)</w:t>
      </w:r>
      <w:r>
        <w:rPr>
          <w:snapToGrid w:val="0"/>
        </w:rPr>
        <w:tab/>
        <w:t>the owner; or</w:t>
      </w:r>
    </w:p>
    <w:p>
      <w:pPr>
        <w:pStyle w:val="Indenta"/>
        <w:rPr>
          <w:snapToGrid w:val="0"/>
        </w:rPr>
      </w:pPr>
      <w:r>
        <w:rPr>
          <w:snapToGrid w:val="0"/>
        </w:rPr>
        <w:tab/>
        <w:t>(b)</w:t>
      </w:r>
      <w:r>
        <w:rPr>
          <w:snapToGrid w:val="0"/>
        </w:rPr>
        <w:tab/>
        <w:t>the driver,</w:t>
      </w:r>
    </w:p>
    <w:p>
      <w:pPr>
        <w:pStyle w:val="Subsection"/>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pPr>
      <w:r>
        <w:rPr>
          <w:snapToGrid w:val="0"/>
        </w:rPr>
        <w:tab/>
        <w:t>(4)</w:t>
      </w:r>
      <w:r>
        <w:rPr>
          <w:snapToGrid w:val="0"/>
        </w:rPr>
        <w:tab/>
      </w:r>
      <w:r>
        <w:t>In an action under subsection (3) —</w:t>
      </w:r>
    </w:p>
    <w:p>
      <w:pPr>
        <w:pStyle w:val="Indenta"/>
        <w:rPr>
          <w:snapToGrid w:val="0"/>
        </w:rPr>
      </w:pPr>
      <w:r>
        <w:rPr>
          <w:snapToGrid w:val="0"/>
        </w:rPr>
        <w:tab/>
        <w:t>(a)</w:t>
      </w:r>
      <w:r>
        <w:rPr>
          <w:snapToGrid w:val="0"/>
        </w:rPr>
        <w:tab/>
        <w:t>it shall be a good defence in any action against the owner of such motor vehicle if he establishes to the satisfaction of the court that —</w:t>
      </w:r>
    </w:p>
    <w:p>
      <w:pPr>
        <w:pStyle w:val="Indenti"/>
        <w:rPr>
          <w:snapToGrid w:val="0"/>
        </w:rPr>
      </w:pPr>
      <w:r>
        <w:rPr>
          <w:snapToGrid w:val="0"/>
        </w:rPr>
        <w:tab/>
        <w:t>(i)</w:t>
      </w:r>
      <w:r>
        <w:rPr>
          <w:snapToGrid w:val="0"/>
        </w:rPr>
        <w:tab/>
        <w:t>the fact that the motor vehicle was an uninsured motor vehicle was not due to his own fault; or</w:t>
      </w:r>
    </w:p>
    <w:p>
      <w:pPr>
        <w:pStyle w:val="Indenti"/>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(b)</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 and</w:t>
      </w:r>
    </w:p>
    <w:p>
      <w:pPr>
        <w:pStyle w:val="Indenta"/>
        <w:rPr>
          <w:snapToGrid w:val="0"/>
        </w:rPr>
      </w:pPr>
      <w:r>
        <w:rPr>
          <w:snapToGrid w:val="0"/>
        </w:rPr>
        <w:tab/>
        <w:t>(c)</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(b)</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(c)</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t>(6)</w:t>
      </w:r>
      <w:r>
        <w:rPr>
          <w:snapToGrid w:val="0"/>
        </w:rPr>
        <w:tab/>
      </w:r>
      <w:r>
        <w:t xml:space="preserve">A person shall not be entitled to recover under subsection (5) </w:t>
      </w:r>
      <w:r>
        <w:rPr>
          <w:snapToGrid w:val="0"/>
        </w:rPr>
        <w:t>unless, as soon as practicable after he knew that such owner or driver was dead or could not be found, he gave to the Commission notice of intention to make a claim and a short statement of the grounds thereof.</w:t>
      </w:r>
    </w:p>
    <w:p>
      <w:pPr>
        <w:pStyle w:val="Subsection"/>
        <w:rPr>
          <w:snapToGrid w:val="0"/>
        </w:rPr>
      </w:pPr>
      <w:r>
        <w:rPr>
          <w:snapToGrid w:val="0"/>
        </w:rPr>
        <w:tab/>
        <w:t>(7)</w:t>
      </w:r>
      <w:r>
        <w:rPr>
          <w:snapToGrid w:val="0"/>
        </w:rPr>
        <w:tab/>
      </w:r>
      <w:r>
        <w:t xml:space="preserve">For the purposes of subsection (5), </w:t>
      </w:r>
      <w:r>
        <w:rPr>
          <w:snapToGrid w:val="0"/>
        </w:rPr>
        <w:t>the inquiry and search made for such owner or driver may be proved orally or by the affidavit of the person who made the inquiry and search.</w:t>
      </w:r>
    </w:p>
    <w:p>
      <w:pPr>
        <w:pStyle w:val="Footnotesection"/>
      </w:pPr>
      <w:r>
        <w:tab/>
        <w:t>[Section 8 amended by No. 31 of 1948 s. 10; No. 36 of 1954 s. 4; No. 25 of 1959 s. 5; No. 72 of 1962 s. 8; No. 51 of 1986 s. 46(2); No. 107 of 1987 s. 14; No. 19 of 2010 s. 51.]</w:t>
      </w:r>
    </w:p>
    <w:p>
      <w:pPr>
        <w:pStyle w:val="Ednotesection"/>
      </w:pPr>
      <w:r>
        <w:t>[</w:t>
      </w:r>
      <w:r>
        <w:rPr>
          <w:b/>
        </w:rPr>
        <w:t>8A.</w:t>
      </w:r>
      <w:r>
        <w:rPr>
          <w:b/>
        </w:rPr>
        <w:tab/>
      </w:r>
      <w:r>
        <w:t>Deleted by No. 28 of 2003 s. 122(3).]</w:t>
      </w:r>
    </w:p>
    <w:p>
      <w:pPr>
        <w:pStyle w:val="Ednotesection"/>
      </w:pPr>
      <w:r>
        <w:t>[</w:t>
      </w:r>
      <w:r>
        <w:rPr>
          <w:b/>
        </w:rPr>
        <w:t>9.</w:t>
      </w:r>
      <w:r>
        <w:rPr>
          <w:b/>
        </w:rPr>
        <w:tab/>
      </w:r>
      <w:r>
        <w:t>Deleted by No. 31 of 1948 s. 11.]</w:t>
      </w:r>
    </w:p>
    <w:p>
      <w:pPr>
        <w:pStyle w:val="Heading5"/>
        <w:rPr>
          <w:snapToGrid w:val="0"/>
        </w:rPr>
      </w:pPr>
      <w:bookmarkStart w:id="57" w:name="_Toc61156072"/>
      <w:bookmarkStart w:id="58" w:name="_Toc122761308"/>
      <w:bookmarkStart w:id="59" w:name="_Toc272307768"/>
      <w:r>
        <w:rPr>
          <w:rStyle w:val="CharSectno"/>
        </w:rPr>
        <w:t>10</w:t>
      </w:r>
      <w:r>
        <w:rPr>
          <w:snapToGrid w:val="0"/>
        </w:rPr>
        <w:t>.</w:t>
      </w:r>
      <w:r>
        <w:rPr>
          <w:snapToGrid w:val="0"/>
        </w:rPr>
        <w:tab/>
        <w:t>Duties of owner or insured person</w:t>
      </w:r>
      <w:bookmarkEnd w:id="57"/>
      <w:bookmarkEnd w:id="58"/>
      <w:bookmarkEnd w:id="59"/>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rPr>
          <w:snapToGrid w:val="0"/>
        </w:rPr>
      </w:pPr>
      <w:bookmarkStart w:id="60" w:name="_Toc61156073"/>
      <w:bookmarkStart w:id="61" w:name="_Toc122761309"/>
      <w:bookmarkStart w:id="62" w:name="_Toc272307769"/>
      <w:r>
        <w:rPr>
          <w:rStyle w:val="CharSectno"/>
        </w:rPr>
        <w:t>11</w:t>
      </w:r>
      <w:r>
        <w:rPr>
          <w:snapToGrid w:val="0"/>
        </w:rPr>
        <w:t>.</w:t>
      </w:r>
      <w:r>
        <w:rPr>
          <w:snapToGrid w:val="0"/>
        </w:rPr>
        <w:tab/>
        <w:t>Power of the Commission to deal with claims against insured persons</w:t>
      </w:r>
      <w:bookmarkEnd w:id="60"/>
      <w:bookmarkEnd w:id="61"/>
      <w:bookmarkEnd w:id="62"/>
    </w:p>
    <w:p>
      <w:pPr>
        <w:pStyle w:val="Subsection"/>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keepNext/>
        <w:rPr>
          <w:snapToGrid w:val="0"/>
        </w:rPr>
      </w:pPr>
      <w:r>
        <w:rPr>
          <w:snapToGrid w:val="0"/>
        </w:rPr>
        <w:tab/>
        <w:t>(d)</w:t>
      </w:r>
      <w:r>
        <w:rPr>
          <w:snapToGrid w:val="0"/>
        </w:rPr>
        <w:tab/>
        <w:t>at any stage in the negotiations or proceedings —</w:t>
      </w:r>
    </w:p>
    <w:p>
      <w:pPr>
        <w:pStyle w:val="Indenti"/>
        <w:rPr>
          <w:snapToGrid w:val="0"/>
        </w:rPr>
      </w:pPr>
      <w:r>
        <w:rPr>
          <w:snapToGrid w:val="0"/>
          <w:spacing w:val="-2"/>
        </w:rPr>
        <w:tab/>
        <w:t>(i)</w:t>
      </w:r>
      <w:r>
        <w:rPr>
          <w:snapToGrid w:val="0"/>
          <w:spacing w:val="-2"/>
        </w:rPr>
        <w:tab/>
      </w:r>
      <w:r>
        <w:rPr>
          <w:snapToGrid w:val="0"/>
        </w:rPr>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rPr>
          <w:snapToGrid w:val="0"/>
        </w:rPr>
      </w:pPr>
      <w:r>
        <w:rPr>
          <w:snapToGrid w:val="0"/>
        </w:rPr>
        <w:tab/>
        <w:t>(3)</w:t>
      </w:r>
      <w:r>
        <w:rPr>
          <w:snapToGrid w:val="0"/>
        </w:rPr>
        <w:tab/>
        <w:t>Where an accident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3" w:name="_Toc61156074"/>
      <w:bookmarkStart w:id="64" w:name="_Toc122761310"/>
      <w:bookmarkStart w:id="65" w:name="_Toc272307770"/>
      <w:r>
        <w:rPr>
          <w:rStyle w:val="CharSectno"/>
        </w:rPr>
        <w:t>12</w:t>
      </w:r>
      <w:r>
        <w:rPr>
          <w:snapToGrid w:val="0"/>
        </w:rPr>
        <w:t>.</w:t>
      </w:r>
      <w:r>
        <w:rPr>
          <w:snapToGrid w:val="0"/>
        </w:rPr>
        <w:tab/>
        <w:t>Emergency treatment</w:t>
      </w:r>
      <w:bookmarkEnd w:id="63"/>
      <w:bookmarkEnd w:id="64"/>
      <w:bookmarkEnd w:id="65"/>
    </w:p>
    <w:p>
      <w:pPr>
        <w:pStyle w:val="Subsection"/>
        <w:keepNext/>
        <w:keepLines/>
        <w:rPr>
          <w:snapToGrid w:val="0"/>
        </w:rPr>
      </w:pPr>
      <w:r>
        <w:rPr>
          <w:snapToGrid w:val="0"/>
        </w:rPr>
        <w:tab/>
        <w:t>(1)</w:t>
      </w:r>
      <w:r>
        <w:rPr>
          <w:snapToGrid w:val="0"/>
        </w:rPr>
        <w:tab/>
        <w:t>Where —</w:t>
      </w:r>
    </w:p>
    <w:p>
      <w:pPr>
        <w:pStyle w:val="Indenta"/>
      </w:pPr>
      <w:r>
        <w:rPr>
          <w:snapToGrid w:val="0"/>
        </w:rPr>
        <w:tab/>
        <w:t>(a)</w:t>
      </w:r>
      <w:r>
        <w:rPr>
          <w:snapToGrid w:val="0"/>
        </w:rPr>
        <w:tab/>
      </w:r>
      <w:r>
        <w:t>bodily injury (including fatal injury) to any person directly caused by, or by the driving of, a motor vehicle which is insured under this Act or is an uninsured vehicle occurs and either —</w:t>
      </w:r>
    </w:p>
    <w:p>
      <w:pPr>
        <w:pStyle w:val="Indenti"/>
        <w:rPr>
          <w:snapToGrid w:val="0"/>
        </w:rPr>
      </w:pPr>
      <w:r>
        <w:rPr>
          <w:snapToGrid w:val="0"/>
        </w:rPr>
        <w:tab/>
        <w:t>(i)</w:t>
      </w:r>
      <w:r>
        <w:rPr>
          <w:snapToGrid w:val="0"/>
        </w:rPr>
        <w:tab/>
        <w:t>any legally qualified medical practitioner or registered nurse renders emergency treatment to the person; or</w:t>
      </w:r>
    </w:p>
    <w:p>
      <w:pPr>
        <w:pStyle w:val="Indenti"/>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notice in writing of a claim under this section is given by the medical practitioner, nurse or person who conveyed the injured person, to the Commission within one month after the occurrence out of which the death or bodily injury arose, </w:t>
      </w:r>
    </w:p>
    <w:p>
      <w:pPr>
        <w:pStyle w:val="Subsection"/>
        <w:keepNext/>
        <w:keepLines/>
        <w:rPr>
          <w:snapToGrid w:val="0"/>
        </w:rPr>
      </w:pPr>
      <w:r>
        <w:rPr>
          <w:snapToGrid w:val="0"/>
        </w:rPr>
        <w:tab/>
      </w:r>
      <w:r>
        <w:rPr>
          <w:snapToGrid w:val="0"/>
        </w:rPr>
        <w:tab/>
        <w:t>the Commission shall make the following payments as are applicable to the case —</w:t>
      </w:r>
    </w:p>
    <w:p>
      <w:pPr>
        <w:pStyle w:val="Indenta"/>
        <w:rPr>
          <w:snapToGrid w:val="0"/>
        </w:rPr>
      </w:pPr>
      <w:r>
        <w:rPr>
          <w:snapToGrid w:val="0"/>
        </w:rPr>
        <w:tab/>
        <w:t>(c)</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Indenta"/>
        <w:rPr>
          <w:snapToGrid w:val="0"/>
        </w:rPr>
      </w:pPr>
      <w:r>
        <w:rPr>
          <w:snapToGrid w:val="0"/>
        </w:rPr>
        <w:tab/>
        <w:t>(d)</w:t>
      </w:r>
      <w:r>
        <w:rPr>
          <w:snapToGrid w:val="0"/>
        </w:rPr>
        <w:tab/>
        <w:t>to any person who conveyed the injured person as mentioned in paragraph (a)(ii), an amount to be ascertained in accordance with the regulations.</w:t>
      </w:r>
    </w:p>
    <w:p>
      <w:pPr>
        <w:pStyle w:val="Ednotesubsection"/>
      </w:pPr>
      <w:r>
        <w:tab/>
        <w:t>[(2)</w:t>
      </w:r>
      <w:r>
        <w:tab/>
        <w:t>deleted]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keepNext/>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keepLines w:val="0"/>
        <w:rPr>
          <w:spacing w:val="-2"/>
        </w:rPr>
      </w:pPr>
      <w:r>
        <w:rPr>
          <w:spacing w:val="-2"/>
        </w:rPr>
        <w:tab/>
        <w:t>[Section 12 amended by No. 40 of 1944 s. 6; No. 31 of 1948 s. 14; No. 95 of 1966 s. 21; No. 58 of 1974 s. 31; No. 81 of 1982 s. 17; No. 51 of 1986 s. 46(2); No. 107 of 1987 s. 14; No. 76 of 1996 s. 40; No. 15 of 2006 s. 7; No. 19 of 2010 s. 51.]</w:t>
      </w:r>
    </w:p>
    <w:p>
      <w:pPr>
        <w:pStyle w:val="Ednotesection"/>
      </w:pPr>
      <w:r>
        <w:t>[</w:t>
      </w:r>
      <w:r>
        <w:rPr>
          <w:b/>
        </w:rPr>
        <w:t>13.</w:t>
      </w:r>
      <w:r>
        <w:t xml:space="preserve"> </w:t>
      </w:r>
      <w:r>
        <w:tab/>
        <w:t>Deleted by No. 81 of 1982 s. 18.]</w:t>
      </w:r>
    </w:p>
    <w:p>
      <w:pPr>
        <w:pStyle w:val="Heading5"/>
        <w:rPr>
          <w:snapToGrid w:val="0"/>
        </w:rPr>
      </w:pPr>
      <w:bookmarkStart w:id="66" w:name="_Toc61156075"/>
      <w:bookmarkStart w:id="67" w:name="_Toc122761311"/>
      <w:bookmarkStart w:id="68" w:name="_Toc272307771"/>
      <w:r>
        <w:rPr>
          <w:rStyle w:val="CharSectno"/>
        </w:rPr>
        <w:t>14</w:t>
      </w:r>
      <w:r>
        <w:rPr>
          <w:snapToGrid w:val="0"/>
        </w:rPr>
        <w:t>.</w:t>
      </w:r>
      <w:r>
        <w:rPr>
          <w:snapToGrid w:val="0"/>
        </w:rPr>
        <w:tab/>
        <w:t>Recovery of payment for emergency treatment</w:t>
      </w:r>
      <w:bookmarkEnd w:id="66"/>
      <w:bookmarkEnd w:id="67"/>
      <w:bookmarkEnd w:id="68"/>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ind w:left="890" w:hanging="890"/>
      </w:pPr>
      <w:r>
        <w:tab/>
        <w:t>[Section 14 inserted by No. 31 of 1948 s. 16; amended by No. 51 of 1986 s. 46(2); No. 107 of 1987 s. 14.]</w:t>
      </w:r>
    </w:p>
    <w:p>
      <w:pPr>
        <w:pStyle w:val="Heading5"/>
        <w:rPr>
          <w:snapToGrid w:val="0"/>
        </w:rPr>
      </w:pPr>
      <w:bookmarkStart w:id="69" w:name="_Toc61156076"/>
      <w:bookmarkStart w:id="70" w:name="_Toc122761312"/>
      <w:bookmarkStart w:id="71" w:name="_Toc272307772"/>
      <w:r>
        <w:rPr>
          <w:rStyle w:val="CharSectno"/>
        </w:rPr>
        <w:t>15</w:t>
      </w:r>
      <w:r>
        <w:rPr>
          <w:snapToGrid w:val="0"/>
        </w:rPr>
        <w:t>.</w:t>
      </w:r>
      <w:r>
        <w:rPr>
          <w:snapToGrid w:val="0"/>
        </w:rPr>
        <w:tab/>
        <w:t>Right of the Commission against unauthorised drivers</w:t>
      </w:r>
      <w:bookmarkEnd w:id="69"/>
      <w:bookmarkEnd w:id="70"/>
      <w:bookmarkEnd w:id="71"/>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keepNext/>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ind w:left="890" w:hanging="890"/>
      </w:pPr>
      <w:r>
        <w:tab/>
        <w:t>[Section 15 amended by No. 31 of 1948 s. 17; No. 51 of 1986 s. 46(2); No. 107 of 1987 s. 11.]</w:t>
      </w:r>
    </w:p>
    <w:p>
      <w:pPr>
        <w:pStyle w:val="Heading5"/>
        <w:rPr>
          <w:snapToGrid w:val="0"/>
        </w:rPr>
      </w:pPr>
      <w:bookmarkStart w:id="72" w:name="_Toc61156077"/>
      <w:bookmarkStart w:id="73" w:name="_Toc122761313"/>
      <w:bookmarkStart w:id="74" w:name="_Toc272307773"/>
      <w:r>
        <w:rPr>
          <w:rStyle w:val="CharSectno"/>
        </w:rPr>
        <w:t>16</w:t>
      </w:r>
      <w:r>
        <w:rPr>
          <w:snapToGrid w:val="0"/>
        </w:rPr>
        <w:t>.</w:t>
      </w:r>
      <w:r>
        <w:rPr>
          <w:snapToGrid w:val="0"/>
        </w:rPr>
        <w:tab/>
        <w:t>Jurisdiction</w:t>
      </w:r>
      <w:bookmarkEnd w:id="72"/>
      <w:bookmarkEnd w:id="73"/>
      <w:bookmarkEnd w:id="74"/>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w:t>
      </w:r>
      <w:r>
        <w:rPr>
          <w:vertAlign w:val="superscript"/>
        </w:rPr>
        <w:t> 1</w:t>
      </w:r>
      <w:r>
        <w:t>;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5" w:name="_Toc61156078"/>
      <w:bookmarkStart w:id="76" w:name="_Toc122761314"/>
      <w:bookmarkStart w:id="77" w:name="_Toc272307774"/>
      <w:r>
        <w:rPr>
          <w:rStyle w:val="CharSectno"/>
        </w:rPr>
        <w:t>17</w:t>
      </w:r>
      <w:r>
        <w:rPr>
          <w:snapToGrid w:val="0"/>
        </w:rPr>
        <w:t>.</w:t>
      </w:r>
      <w:r>
        <w:rPr>
          <w:snapToGrid w:val="0"/>
        </w:rPr>
        <w:tab/>
        <w:t>Insurance by visiting motorists</w:t>
      </w:r>
      <w:bookmarkEnd w:id="75"/>
      <w:bookmarkEnd w:id="76"/>
      <w:bookmarkEnd w:id="77"/>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8" w:name="_Toc61156079"/>
      <w:bookmarkStart w:id="79" w:name="_Toc122761315"/>
      <w:bookmarkStart w:id="80" w:name="_Toc272307775"/>
      <w:r>
        <w:rPr>
          <w:rStyle w:val="CharSectno"/>
        </w:rPr>
        <w:t>18</w:t>
      </w:r>
      <w:r>
        <w:rPr>
          <w:snapToGrid w:val="0"/>
        </w:rPr>
        <w:t>.</w:t>
      </w:r>
      <w:r>
        <w:rPr>
          <w:snapToGrid w:val="0"/>
        </w:rPr>
        <w:tab/>
        <w:t>Power to suspend or cancel licences</w:t>
      </w:r>
      <w:bookmarkEnd w:id="78"/>
      <w:bookmarkEnd w:id="79"/>
      <w:bookmarkEnd w:id="80"/>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1" w:name="_Toc61156080"/>
      <w:bookmarkStart w:id="82" w:name="_Toc122761316"/>
      <w:bookmarkStart w:id="83" w:name="_Toc272307776"/>
      <w:r>
        <w:rPr>
          <w:rStyle w:val="CharSectno"/>
        </w:rPr>
        <w:t>19</w:t>
      </w:r>
      <w:r>
        <w:rPr>
          <w:snapToGrid w:val="0"/>
        </w:rPr>
        <w:t>.</w:t>
      </w:r>
      <w:r>
        <w:rPr>
          <w:snapToGrid w:val="0"/>
        </w:rPr>
        <w:tab/>
        <w:t>Commission not to terminate policy</w:t>
      </w:r>
      <w:bookmarkEnd w:id="81"/>
      <w:bookmarkEnd w:id="82"/>
      <w:bookmarkEnd w:id="83"/>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4" w:name="_Toc61156081"/>
      <w:bookmarkStart w:id="85" w:name="_Toc122761317"/>
      <w:bookmarkStart w:id="86" w:name="_Toc272307777"/>
      <w:r>
        <w:rPr>
          <w:rStyle w:val="CharSectno"/>
        </w:rPr>
        <w:t>20</w:t>
      </w:r>
      <w:r>
        <w:rPr>
          <w:snapToGrid w:val="0"/>
        </w:rPr>
        <w:t>.</w:t>
      </w:r>
      <w:r>
        <w:rPr>
          <w:snapToGrid w:val="0"/>
        </w:rPr>
        <w:tab/>
        <w:t>Policy of insurance to continue notwithstanding change of ownership of vehicle</w:t>
      </w:r>
      <w:bookmarkEnd w:id="84"/>
      <w:bookmarkEnd w:id="85"/>
      <w:bookmarkEnd w:id="8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rPr>
      </w:pPr>
      <w:r>
        <w:rPr>
          <w:snapToGrid w:val="0"/>
        </w:rPr>
        <w:tab/>
        <w:t>(a)</w:t>
      </w:r>
      <w:r>
        <w:rPr>
          <w:snapToGrid w:val="0"/>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7" w:name="_Toc61156082"/>
      <w:bookmarkStart w:id="88" w:name="_Toc122761318"/>
      <w:bookmarkStart w:id="89" w:name="_Toc272307778"/>
      <w:r>
        <w:rPr>
          <w:rStyle w:val="CharSectno"/>
        </w:rPr>
        <w:t>21</w:t>
      </w:r>
      <w:r>
        <w:rPr>
          <w:snapToGrid w:val="0"/>
        </w:rPr>
        <w:t>.</w:t>
      </w:r>
      <w:r>
        <w:rPr>
          <w:snapToGrid w:val="0"/>
        </w:rPr>
        <w:tab/>
        <w:t>Term of policy of insurance deemed to be extended in certain cases</w:t>
      </w:r>
      <w:bookmarkEnd w:id="87"/>
      <w:bookmarkEnd w:id="88"/>
      <w:bookmarkEnd w:id="89"/>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section, expire by effluxion of time on the same expiry day, if the provisions of subsection (1B) apply, the operation of the policy is extended by, and in accordance with, those provisions.</w:t>
      </w:r>
    </w:p>
    <w:p>
      <w:pPr>
        <w:pStyle w:val="Subsection"/>
        <w:rPr>
          <w:snapToGrid w:val="0"/>
        </w:rPr>
      </w:pPr>
      <w:r>
        <w:rPr>
          <w:snapToGrid w:val="0"/>
        </w:rPr>
        <w:tab/>
        <w:t>(1B)</w:t>
      </w:r>
      <w:r>
        <w:rPr>
          <w:snapToGrid w:val="0"/>
        </w:rPr>
        <w:tab/>
        <w:t>If a new policy complying with the requirements of this Act is issued in respect of the motor vehicle within the period of 15 days of the expiry day of the policy mentioned in subsection (1A),the operation of the policy mentioned in that subsection is, by this subsection and notwithstanding any provisions to the contrary of the policy mentioned in that subsection, extended until the new policy is issued.</w:t>
      </w:r>
    </w:p>
    <w:p>
      <w:pPr>
        <w:pStyle w:val="Subsection"/>
        <w:rPr>
          <w:snapToGrid w:val="0"/>
        </w:rPr>
      </w:pPr>
      <w:r>
        <w:rPr>
          <w:snapToGrid w:val="0"/>
        </w:rPr>
        <w:tab/>
        <w:t>(1C)</w:t>
      </w:r>
      <w:r>
        <w:rPr>
          <w:snapToGrid w:val="0"/>
        </w:rPr>
        <w:tab/>
        <w:t>If however the new policy is not issued until after the expiration of that period of 15 days —</w:t>
      </w:r>
    </w:p>
    <w:p>
      <w:pPr>
        <w:pStyle w:val="Indenta"/>
        <w:rPr>
          <w:snapToGrid w:val="0"/>
        </w:rPr>
      </w:pPr>
      <w:r>
        <w:rPr>
          <w:snapToGrid w:val="0"/>
        </w:rPr>
        <w:tab/>
        <w:t>(a)</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(b)</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(c)</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 xml:space="preserve">Nothing in </w:t>
      </w:r>
      <w:r>
        <w:t>this section</w:t>
      </w:r>
      <w:r>
        <w:rPr>
          <w:snapToGrid w:val="0"/>
        </w:rPr>
        <w:t xml:space="preserve"> shall operate or be deemed or construed to operate so as to render any policy of insurance aforesaid liable to payment of further duty in consequence of the currency of such policy being extended by the operation of this section.</w:t>
      </w:r>
    </w:p>
    <w:p>
      <w:pPr>
        <w:pStyle w:val="Footnotesection"/>
        <w:keepLines w:val="0"/>
        <w:rPr>
          <w:spacing w:val="-2"/>
        </w:rPr>
      </w:pPr>
      <w:r>
        <w:tab/>
        <w:t>[Section 21 </w:t>
      </w:r>
      <w:r>
        <w:rPr>
          <w:vertAlign w:val="superscript"/>
        </w:rPr>
        <w:t>3</w:t>
      </w:r>
      <w:r>
        <w:t xml:space="preserve"> inserted as s. 19B by No. 40 of 1944 s. 7; amended by No. 7 of 1945 s. 4; No. 36 of 1954 s. 8; No. 77 of 1957 s. 6; No. 58 of 1974 s. 33; No. 12 of 2008 </w:t>
      </w:r>
      <w:r>
        <w:rPr>
          <w:spacing w:val="-2"/>
        </w:rPr>
        <w:t xml:space="preserve"> Sch. 1 cl. 23(2); No. 19 of 2010 s. 51.]</w:t>
      </w:r>
    </w:p>
    <w:p>
      <w:pPr>
        <w:pStyle w:val="Heading5"/>
        <w:rPr>
          <w:snapToGrid w:val="0"/>
        </w:rPr>
      </w:pPr>
      <w:bookmarkStart w:id="90" w:name="_Toc61156083"/>
      <w:bookmarkStart w:id="91" w:name="_Toc122761319"/>
      <w:bookmarkStart w:id="92" w:name="_Toc272307779"/>
      <w:r>
        <w:rPr>
          <w:rStyle w:val="CharSectno"/>
        </w:rPr>
        <w:t>22</w:t>
      </w:r>
      <w:r>
        <w:rPr>
          <w:snapToGrid w:val="0"/>
        </w:rPr>
        <w:t>.</w:t>
      </w:r>
      <w:r>
        <w:rPr>
          <w:snapToGrid w:val="0"/>
        </w:rPr>
        <w:tab/>
        <w:t>Provision regarding motor vehicle of employee used by employee in employer’s business</w:t>
      </w:r>
      <w:bookmarkEnd w:id="90"/>
      <w:bookmarkEnd w:id="91"/>
      <w:bookmarkEnd w:id="92"/>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keepLines w:val="0"/>
        <w:ind w:left="890" w:hanging="890"/>
      </w:pPr>
      <w:r>
        <w:tab/>
        <w:t>[Section 22 </w:t>
      </w:r>
      <w:r>
        <w:rPr>
          <w:vertAlign w:val="superscript"/>
        </w:rPr>
        <w:t>3</w:t>
      </w:r>
      <w:r>
        <w:t xml:space="preserve"> inserted as s. 19C by No. 40 of 1944 s. 7.]</w:t>
      </w:r>
    </w:p>
    <w:p>
      <w:pPr>
        <w:pStyle w:val="Heading5"/>
        <w:rPr>
          <w:snapToGrid w:val="0"/>
        </w:rPr>
      </w:pPr>
      <w:bookmarkStart w:id="93" w:name="_Toc61156084"/>
      <w:bookmarkStart w:id="94" w:name="_Toc122761320"/>
      <w:bookmarkStart w:id="95" w:name="_Toc272307780"/>
      <w:r>
        <w:rPr>
          <w:rStyle w:val="CharSectno"/>
        </w:rPr>
        <w:t>23</w:t>
      </w:r>
      <w:r>
        <w:rPr>
          <w:snapToGrid w:val="0"/>
        </w:rPr>
        <w:t>.</w:t>
      </w:r>
      <w:r>
        <w:rPr>
          <w:snapToGrid w:val="0"/>
        </w:rPr>
        <w:tab/>
        <w:t>Policies to give cover required by amending Acts</w:t>
      </w:r>
      <w:bookmarkEnd w:id="93"/>
      <w:bookmarkEnd w:id="94"/>
      <w:bookmarkEnd w:id="95"/>
    </w:p>
    <w:p>
      <w:pPr>
        <w:pStyle w:val="Subsection"/>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rPr>
          <w:snapToGrid w:val="0"/>
        </w:rPr>
      </w:pPr>
      <w:bookmarkStart w:id="96" w:name="_Toc61156085"/>
      <w:bookmarkStart w:id="97" w:name="_Toc122761321"/>
      <w:bookmarkStart w:id="98" w:name="_Toc272307781"/>
      <w:r>
        <w:rPr>
          <w:rStyle w:val="CharSectno"/>
        </w:rPr>
        <w:t>24</w:t>
      </w:r>
      <w:r>
        <w:rPr>
          <w:snapToGrid w:val="0"/>
        </w:rPr>
        <w:t>.</w:t>
      </w:r>
      <w:r>
        <w:rPr>
          <w:snapToGrid w:val="0"/>
        </w:rPr>
        <w:tab/>
        <w:t>Reference to issue of policy to extend to renewal of policy</w:t>
      </w:r>
      <w:bookmarkEnd w:id="96"/>
      <w:bookmarkEnd w:id="97"/>
      <w:bookmarkEnd w:id="98"/>
    </w:p>
    <w:p>
      <w:pPr>
        <w:pStyle w:val="Subsection"/>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99" w:name="_Toc61156086"/>
      <w:bookmarkStart w:id="100" w:name="_Toc122761322"/>
      <w:bookmarkStart w:id="101" w:name="_Toc272307782"/>
      <w:r>
        <w:rPr>
          <w:rStyle w:val="CharSectno"/>
        </w:rPr>
        <w:t>25</w:t>
      </w:r>
      <w:r>
        <w:rPr>
          <w:snapToGrid w:val="0"/>
        </w:rPr>
        <w:t>.</w:t>
      </w:r>
      <w:r>
        <w:rPr>
          <w:snapToGrid w:val="0"/>
        </w:rPr>
        <w:tab/>
        <w:t>Information to be furnished by the Commission</w:t>
      </w:r>
      <w:bookmarkEnd w:id="99"/>
      <w:bookmarkEnd w:id="100"/>
      <w:bookmarkEnd w:id="101"/>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2" w:name="_Toc61156087"/>
      <w:bookmarkStart w:id="103" w:name="_Toc122761323"/>
      <w:bookmarkStart w:id="104" w:name="_Toc272307783"/>
      <w:r>
        <w:rPr>
          <w:rStyle w:val="CharSectno"/>
        </w:rPr>
        <w:t>26</w:t>
      </w:r>
      <w:r>
        <w:rPr>
          <w:snapToGrid w:val="0"/>
        </w:rPr>
        <w:t>.</w:t>
      </w:r>
      <w:r>
        <w:rPr>
          <w:snapToGrid w:val="0"/>
        </w:rPr>
        <w:tab/>
        <w:t>Contracting out of liability for negligence</w:t>
      </w:r>
      <w:bookmarkEnd w:id="102"/>
      <w:bookmarkEnd w:id="103"/>
      <w:bookmarkEnd w:id="104"/>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5" w:name="_Toc61156088"/>
      <w:bookmarkStart w:id="106" w:name="_Toc122761324"/>
      <w:bookmarkStart w:id="107" w:name="_Toc272307784"/>
      <w:r>
        <w:rPr>
          <w:rStyle w:val="CharSectno"/>
        </w:rPr>
        <w:t>27</w:t>
      </w:r>
      <w:r>
        <w:rPr>
          <w:snapToGrid w:val="0"/>
        </w:rPr>
        <w:t>.</w:t>
      </w:r>
      <w:r>
        <w:rPr>
          <w:snapToGrid w:val="0"/>
        </w:rPr>
        <w:tab/>
        <w:t>Soliciting instructions from persons claiming</w:t>
      </w:r>
      <w:bookmarkEnd w:id="105"/>
      <w:bookmarkEnd w:id="106"/>
      <w:bookmarkEnd w:id="10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8" w:name="_Toc61156089"/>
      <w:bookmarkStart w:id="109" w:name="_Toc122761325"/>
      <w:bookmarkStart w:id="110" w:name="_Toc272307785"/>
      <w:r>
        <w:rPr>
          <w:rStyle w:val="CharSectno"/>
        </w:rPr>
        <w:t>27A</w:t>
      </w:r>
      <w:r>
        <w:rPr>
          <w:snapToGrid w:val="0"/>
        </w:rPr>
        <w:t xml:space="preserve">. </w:t>
      </w:r>
      <w:r>
        <w:rPr>
          <w:snapToGrid w:val="0"/>
        </w:rPr>
        <w:tab/>
        <w:t>Costs between solicitor and client</w:t>
      </w:r>
      <w:bookmarkEnd w:id="108"/>
      <w:bookmarkEnd w:id="109"/>
      <w:bookmarkEnd w:id="110"/>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11" w:name="_Toc61156090"/>
      <w:bookmarkStart w:id="112" w:name="_Toc122761326"/>
      <w:bookmarkStart w:id="113" w:name="_Toc272307786"/>
      <w:r>
        <w:rPr>
          <w:rStyle w:val="CharSectno"/>
        </w:rPr>
        <w:t>28</w:t>
      </w:r>
      <w:r>
        <w:rPr>
          <w:snapToGrid w:val="0"/>
        </w:rPr>
        <w:t>.</w:t>
      </w:r>
      <w:r>
        <w:rPr>
          <w:snapToGrid w:val="0"/>
        </w:rPr>
        <w:tab/>
        <w:t>Offences: general penalty</w:t>
      </w:r>
      <w:bookmarkEnd w:id="111"/>
      <w:bookmarkEnd w:id="112"/>
      <w:bookmarkEnd w:id="113"/>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4" w:name="_Toc61156091"/>
      <w:bookmarkStart w:id="115" w:name="_Toc122761327"/>
      <w:bookmarkStart w:id="116" w:name="_Toc272307787"/>
      <w:r>
        <w:rPr>
          <w:rStyle w:val="CharSectno"/>
        </w:rPr>
        <w:t>29</w:t>
      </w:r>
      <w:r>
        <w:rPr>
          <w:snapToGrid w:val="0"/>
        </w:rPr>
        <w:t>.</w:t>
      </w:r>
      <w:r>
        <w:rPr>
          <w:snapToGrid w:val="0"/>
        </w:rPr>
        <w:tab/>
        <w:t>Notice of claim</w:t>
      </w:r>
      <w:bookmarkEnd w:id="114"/>
      <w:bookmarkEnd w:id="115"/>
      <w:bookmarkEnd w:id="116"/>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7" w:name="_Toc61156092"/>
      <w:bookmarkStart w:id="118" w:name="_Toc122761328"/>
      <w:bookmarkStart w:id="119" w:name="_Toc272307788"/>
      <w:r>
        <w:rPr>
          <w:rStyle w:val="CharSectno"/>
        </w:rPr>
        <w:t>29A</w:t>
      </w:r>
      <w:r>
        <w:rPr>
          <w:snapToGrid w:val="0"/>
        </w:rPr>
        <w:t xml:space="preserve">. </w:t>
      </w:r>
      <w:r>
        <w:rPr>
          <w:snapToGrid w:val="0"/>
        </w:rPr>
        <w:tab/>
        <w:t>Court may grant leave to proceed</w:t>
      </w:r>
      <w:bookmarkEnd w:id="117"/>
      <w:bookmarkEnd w:id="118"/>
      <w:bookmarkEnd w:id="11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0" w:name="_Toc61156093"/>
      <w:bookmarkStart w:id="121" w:name="_Toc122761329"/>
      <w:bookmarkStart w:id="122" w:name="_Toc272307789"/>
      <w:r>
        <w:rPr>
          <w:rStyle w:val="CharSectno"/>
        </w:rPr>
        <w:t>30</w:t>
      </w:r>
      <w:r>
        <w:rPr>
          <w:snapToGrid w:val="0"/>
        </w:rPr>
        <w:t>.</w:t>
      </w:r>
      <w:r>
        <w:rPr>
          <w:snapToGrid w:val="0"/>
        </w:rPr>
        <w:tab/>
        <w:t>Medical examination of injured person</w:t>
      </w:r>
      <w:bookmarkEnd w:id="120"/>
      <w:bookmarkEnd w:id="121"/>
      <w:bookmarkEnd w:id="122"/>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rPr>
      </w:pPr>
      <w:r>
        <w:rPr>
          <w:snapToGrid w:val="0"/>
          <w:spacing w:val="-4"/>
        </w:rPr>
        <w:tab/>
        <w:t>(2)</w:t>
      </w:r>
      <w:r>
        <w:rPr>
          <w:snapToGrid w:val="0"/>
          <w:spacing w:val="-4"/>
        </w:rPr>
        <w:tab/>
      </w:r>
      <w:r>
        <w:rPr>
          <w:snapToGrid w:val="0"/>
        </w:rPr>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Deleted by No. 81 of 1982 s. 19.]</w:t>
      </w:r>
    </w:p>
    <w:p>
      <w:pPr>
        <w:pStyle w:val="Ednotesection"/>
        <w:spacing w:before="200"/>
        <w:ind w:left="890" w:hanging="890"/>
      </w:pPr>
      <w:r>
        <w:t>[</w:t>
      </w:r>
      <w:r>
        <w:rPr>
          <w:b/>
        </w:rPr>
        <w:t>32.</w:t>
      </w:r>
      <w:r>
        <w:tab/>
        <w:t>Deleted by No. 51 of 1986 s. 46(2).]</w:t>
      </w:r>
    </w:p>
    <w:p>
      <w:pPr>
        <w:pStyle w:val="Ednotesection"/>
        <w:spacing w:before="200"/>
        <w:ind w:left="890" w:hanging="890"/>
      </w:pPr>
      <w:r>
        <w:t>[</w:t>
      </w:r>
      <w:r>
        <w:rPr>
          <w:b/>
        </w:rPr>
        <w:t>32A.</w:t>
      </w:r>
      <w:r>
        <w:tab/>
        <w:t>Deleted by No. 76 of 1996 s. 39.]</w:t>
      </w:r>
    </w:p>
    <w:p>
      <w:pPr>
        <w:pStyle w:val="Heading5"/>
        <w:spacing w:before="260"/>
        <w:rPr>
          <w:snapToGrid w:val="0"/>
        </w:rPr>
      </w:pPr>
      <w:bookmarkStart w:id="123" w:name="_Toc61156094"/>
      <w:bookmarkStart w:id="124" w:name="_Toc122761330"/>
      <w:bookmarkStart w:id="125" w:name="_Toc272307790"/>
      <w:r>
        <w:rPr>
          <w:rStyle w:val="CharSectno"/>
        </w:rPr>
        <w:t>33</w:t>
      </w:r>
      <w:r>
        <w:rPr>
          <w:snapToGrid w:val="0"/>
        </w:rPr>
        <w:t>.</w:t>
      </w:r>
      <w:r>
        <w:rPr>
          <w:snapToGrid w:val="0"/>
        </w:rPr>
        <w:tab/>
        <w:t>Regulations</w:t>
      </w:r>
      <w:bookmarkEnd w:id="123"/>
      <w:bookmarkEnd w:id="124"/>
      <w:bookmarkEnd w:id="125"/>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Deleted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6" w:name="_Toc268179970"/>
      <w:bookmarkStart w:id="127" w:name="_Toc272238374"/>
      <w:bookmarkStart w:id="128" w:name="_Toc272307791"/>
      <w:r>
        <w:rPr>
          <w:rStyle w:val="CharSchNo"/>
        </w:rPr>
        <w:t>Schedule</w:t>
      </w:r>
      <w:r>
        <w:rPr>
          <w:rStyle w:val="CharSDivNo"/>
        </w:rPr>
        <w:t> </w:t>
      </w:r>
      <w:r>
        <w:t>—</w:t>
      </w:r>
      <w:r>
        <w:rPr>
          <w:rStyle w:val="CharSDivText"/>
        </w:rPr>
        <w:t> </w:t>
      </w:r>
      <w:r>
        <w:rPr>
          <w:rStyle w:val="CharSchText"/>
        </w:rPr>
        <w:t>Form of insurance policy</w:t>
      </w:r>
      <w:bookmarkEnd w:id="126"/>
      <w:bookmarkEnd w:id="127"/>
      <w:bookmarkEnd w:id="128"/>
    </w:p>
    <w:p>
      <w:pPr>
        <w:pStyle w:val="yShoulderClause"/>
      </w:pPr>
      <w:r>
        <w:t>[s. 6]</w:t>
      </w:r>
    </w:p>
    <w:p>
      <w:pPr>
        <w:pStyle w:val="yFootnoteheading"/>
        <w:rPr>
          <w:snapToGrid w:val="0"/>
        </w:rPr>
      </w:pPr>
      <w:r>
        <w:rPr>
          <w:snapToGrid w:val="0"/>
        </w:rPr>
        <w:tab/>
        <w:t>[Heading inserted by No. 19 of 2010 s. 23.]</w:t>
      </w:r>
    </w:p>
    <w:p>
      <w:pPr>
        <w:pStyle w:val="zyMiscellaneousHeading"/>
        <w:rPr>
          <w:b/>
          <w:bCs/>
        </w:rPr>
      </w:pPr>
      <w:r>
        <w:rPr>
          <w:b/>
          <w:bCs/>
        </w:rPr>
        <w:t>INSURANCE POLICY</w:t>
      </w:r>
      <w:r>
        <w:rPr>
          <w:b/>
          <w:bCs/>
        </w:rPr>
        <w:br/>
        <w:t xml:space="preserve">issued under the </w:t>
      </w:r>
      <w:r>
        <w:rPr>
          <w:b/>
          <w:bCs/>
          <w:i/>
          <w:iCs/>
        </w:rPr>
        <w:t>Motor Vehicle (Third Party Insurance) Act 1943</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 No. 19 of 2010 s. 23.]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29" w:name="_Toc88885482"/>
      <w:bookmarkStart w:id="130" w:name="_Toc89568317"/>
      <w:bookmarkStart w:id="131" w:name="_Toc92784105"/>
      <w:bookmarkStart w:id="132" w:name="_Toc97018001"/>
      <w:bookmarkStart w:id="133" w:name="_Toc103131569"/>
      <w:bookmarkStart w:id="134" w:name="_Toc103131613"/>
      <w:bookmarkStart w:id="135" w:name="_Toc103131657"/>
      <w:bookmarkStart w:id="136" w:name="_Toc116374034"/>
      <w:bookmarkStart w:id="137" w:name="_Toc116374078"/>
      <w:bookmarkStart w:id="138" w:name="_Toc116376091"/>
      <w:bookmarkStart w:id="139" w:name="_Toc119220602"/>
      <w:bookmarkStart w:id="140" w:name="_Toc119315311"/>
      <w:bookmarkStart w:id="141" w:name="_Toc119394130"/>
      <w:bookmarkStart w:id="142" w:name="_Toc119394508"/>
      <w:bookmarkStart w:id="143" w:name="_Toc119731943"/>
      <w:bookmarkStart w:id="144" w:name="_Toc121287990"/>
      <w:bookmarkStart w:id="145" w:name="_Toc122761332"/>
      <w:bookmarkStart w:id="146" w:name="_Toc135714912"/>
      <w:bookmarkStart w:id="147" w:name="_Toc138582072"/>
      <w:bookmarkStart w:id="148" w:name="_Toc139252269"/>
      <w:bookmarkStart w:id="149" w:name="_Toc157925038"/>
      <w:bookmarkStart w:id="150" w:name="_Toc196193635"/>
      <w:bookmarkStart w:id="151" w:name="_Toc199754656"/>
      <w:bookmarkStart w:id="152" w:name="_Toc202174951"/>
      <w:bookmarkStart w:id="153" w:name="_Toc223858682"/>
      <w:bookmarkStart w:id="154" w:name="_Toc226184894"/>
      <w:bookmarkStart w:id="155" w:name="_Toc226185073"/>
      <w:bookmarkStart w:id="156" w:name="_Toc226796609"/>
      <w:bookmarkStart w:id="157" w:name="_Toc228006569"/>
      <w:bookmarkStart w:id="158" w:name="_Toc228079062"/>
      <w:bookmarkStart w:id="159" w:name="_Toc268179971"/>
      <w:bookmarkStart w:id="160" w:name="_Toc272238375"/>
      <w:bookmarkStart w:id="161" w:name="_Toc272307792"/>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2" w:name="_Toc272307793"/>
      <w:r>
        <w:rPr>
          <w:snapToGrid w:val="0"/>
        </w:rPr>
        <w:t>Compilation table</w:t>
      </w:r>
      <w:bookmarkEnd w:id="162"/>
    </w:p>
    <w:tbl>
      <w:tblPr>
        <w:tblW w:w="7087" w:type="dxa"/>
        <w:tblInd w:w="65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r>
              <w:rPr>
                <w:color w:val="000000"/>
                <w:sz w:val="19"/>
              </w:rPr>
              <w:t xml:space="preserve"> (7 Geo. VI No. 27)</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 xml:space="preserve">40 of 1944 </w:t>
            </w:r>
            <w:r>
              <w:rPr>
                <w:color w:val="000000"/>
                <w:sz w:val="19"/>
              </w:rPr>
              <w:t>(8 and 9 Geo. VI No. 40)</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 xml:space="preserve">7 of 1945 </w:t>
            </w:r>
            <w:r>
              <w:rPr>
                <w:color w:val="000000"/>
                <w:sz w:val="19"/>
              </w:rPr>
              <w:t>(9 Geo. VI No. 7)</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 xml:space="preserve">31 of 1948 </w:t>
            </w:r>
            <w:r>
              <w:rPr>
                <w:color w:val="000000"/>
                <w:sz w:val="19"/>
              </w:rPr>
              <w:t>(12 Geo. VI No. 31)</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 xml:space="preserve">40 of 1951 </w:t>
            </w:r>
            <w:r>
              <w:rPr>
                <w:color w:val="000000"/>
                <w:sz w:val="19"/>
              </w:rPr>
              <w:t>(15 and 16 Geo. VI No. 40)</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 xml:space="preserve">36 of 1954 </w:t>
            </w:r>
            <w:r>
              <w:rPr>
                <w:color w:val="000000"/>
                <w:sz w:val="19"/>
              </w:rPr>
              <w:t>(3 Eliz. II No. 36)</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keepNext/>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 xml:space="preserve">77 of 1957 </w:t>
            </w:r>
            <w:r>
              <w:rPr>
                <w:color w:val="000000"/>
                <w:sz w:val="19"/>
              </w:rPr>
              <w:t>(6 Eliz. II No. 77)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r>
              <w:rPr>
                <w:color w:val="000000"/>
                <w:sz w:val="19"/>
              </w:rPr>
              <w:t xml:space="preserve"> (8 Eliz. II No. 18)</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r>
              <w:rPr>
                <w:color w:val="000000"/>
                <w:sz w:val="19"/>
              </w:rPr>
              <w:t xml:space="preserve"> (8 Eliz. II No. 25)</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r>
              <w:rPr>
                <w:color w:val="000000"/>
                <w:sz w:val="19"/>
              </w:rPr>
              <w:t xml:space="preserve"> (9 Eliz. II No. 31)</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 xml:space="preserve">70 of 1961 </w:t>
            </w:r>
            <w:r>
              <w:rPr>
                <w:color w:val="000000"/>
                <w:sz w:val="19"/>
              </w:rPr>
              <w:t>(10 Eliz. II No. 70)</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 xml:space="preserve">57 of 1962 </w:t>
            </w:r>
            <w:r>
              <w:rPr>
                <w:color w:val="000000"/>
                <w:sz w:val="19"/>
              </w:rPr>
              <w:t>(11 Eliz. II No. 57)</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 xml:space="preserve">72 of 1962 </w:t>
            </w:r>
            <w:r>
              <w:rPr>
                <w:color w:val="000000"/>
                <w:sz w:val="19"/>
              </w:rPr>
              <w:t>(11 Eliz. II No. 72)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 xml:space="preserve">71 of 1963 </w:t>
            </w:r>
            <w:r>
              <w:rPr>
                <w:color w:val="000000"/>
                <w:sz w:val="19"/>
              </w:rPr>
              <w:t>(12 Eliz. II No. 71)</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 xml:space="preserve">65 of 1964 </w:t>
            </w:r>
            <w:r>
              <w:rPr>
                <w:color w:val="000000"/>
                <w:sz w:val="19"/>
              </w:rPr>
              <w:t>(13 Eliz. II No. 65)</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s. 1, 2, 6</w:t>
            </w:r>
            <w:r>
              <w:rPr>
                <w:sz w:val="19"/>
              </w:rPr>
              <w:noBreakHyphen/>
              <w:t>9, 19, 21: 1 Jul 1967 (see s. </w:t>
            </w:r>
            <w:r>
              <w:rPr>
                <w:rFonts w:ascii="Times" w:hAnsi="Times"/>
                <w:sz w:val="19"/>
              </w:rPr>
              <w:t xml:space="preserve">2 and </w:t>
            </w:r>
            <w:r>
              <w:rPr>
                <w:rFonts w:ascii="Times" w:hAnsi="Times"/>
                <w:i/>
                <w:sz w:val="19"/>
              </w:rPr>
              <w:t>Gazette</w:t>
            </w:r>
            <w:r>
              <w:rPr>
                <w:rFonts w:ascii="Times" w:hAnsi="Times"/>
                <w:sz w:val="19"/>
              </w:rPr>
              <w:t xml:space="preserve"> 5 May 1967 p. 1119);</w:t>
            </w:r>
            <w:r>
              <w:rPr>
                <w:rFonts w:ascii="Times" w:hAnsi="Times"/>
                <w:sz w:val="19"/>
              </w:rPr>
              <w:br/>
            </w:r>
            <w:r>
              <w:rPr>
                <w:rFonts w:ascii="Times" w:hAnsi="Times"/>
                <w:color w:val="000000"/>
                <w:sz w:val="19"/>
              </w:rPr>
              <w:t xml:space="preserve"> s. 3-5, 10-18 and 20:</w:t>
            </w:r>
            <w:r>
              <w:rPr>
                <w:rFonts w:ascii="Times" w:hAnsi="Times"/>
                <w:sz w:val="19"/>
              </w:rPr>
              <w:t xml:space="preserve"> 4 Dec 1967 (see s. 2 and </w:t>
            </w:r>
            <w:r>
              <w:rPr>
                <w:rFonts w:ascii="Times" w:hAnsi="Times"/>
                <w:i/>
                <w:sz w:val="19"/>
              </w:rPr>
              <w:t>Gazette</w:t>
            </w:r>
            <w:r>
              <w:rPr>
                <w:rFonts w:ascii="Times" w:hAnsi="Times"/>
                <w:sz w:val="19"/>
              </w:rPr>
              <w:t xml:space="preserve"> 24 Nov 1967 p. 3195)</w:t>
            </w:r>
          </w:p>
        </w:tc>
      </w:tr>
      <w:tr>
        <w:trPr>
          <w:cantSplit/>
        </w:trPr>
        <w:tc>
          <w:tcPr>
            <w:tcW w:w="2268" w:type="dxa"/>
          </w:tcPr>
          <w:p>
            <w:pPr>
              <w:pStyle w:val="nTable"/>
              <w:keepNext/>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z w:val="19"/>
              </w:rPr>
            </w:pPr>
            <w:r>
              <w:rPr>
                <w:i/>
                <w:snapToGrid w:val="0"/>
                <w:sz w:val="19"/>
              </w:rPr>
              <w:t>Motor Vehicle (Third Party Insurance) Amendment Act 2006</w:t>
            </w:r>
            <w:r>
              <w:rPr>
                <w:snapToGrid w:val="0"/>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spacing w:after="40"/>
              <w:rPr>
                <w:sz w:val="19"/>
              </w:rPr>
            </w:pPr>
            <w:r>
              <w:rPr>
                <w:sz w:val="19"/>
              </w:rPr>
              <w:t>Act other than s. 5: 17 May 2006 (see s. 2(1));</w:t>
            </w:r>
            <w:r>
              <w:rPr>
                <w:sz w:val="19"/>
              </w:rPr>
              <w:b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Sch. 1 cl. 23</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snapToGrid w:val="0"/>
                <w:sz w:val="19"/>
                <w:lang w:val="en-US"/>
              </w:rPr>
              <w:t xml:space="preserve"> s. 682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4"/>
          </w:tcPr>
          <w:p>
            <w:pPr>
              <w:pStyle w:val="nTable"/>
              <w:spacing w:after="40"/>
              <w:rPr>
                <w:snapToGrid w:val="0"/>
                <w:spacing w:val="-2"/>
                <w:sz w:val="19"/>
                <w:lang w:val="en-US"/>
              </w:rPr>
            </w:pPr>
            <w:r>
              <w:rPr>
                <w:b/>
                <w:sz w:val="19"/>
              </w:rPr>
              <w:t>Reprint 12: The</w:t>
            </w:r>
            <w:r>
              <w:rPr>
                <w:b/>
                <w:i/>
                <w:sz w:val="19"/>
              </w:rPr>
              <w:t xml:space="preserve"> Motor Vehicle (Third Party Insurance) Act 1943</w:t>
            </w:r>
            <w:r>
              <w:rPr>
                <w:b/>
                <w:sz w:val="19"/>
              </w:rPr>
              <w:t xml:space="preserve"> as at 24 Apr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23 and 51</w:t>
            </w:r>
          </w:p>
        </w:tc>
        <w:tc>
          <w:tcPr>
            <w:tcW w:w="1134" w:type="dxa"/>
            <w:tcBorders>
              <w:bottom w:val="single" w:sz="8"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Jun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120"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70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rPr>
          <w:cantSplit/>
        </w:trP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r>
        <w:tc>
          <w:tcPr>
            <w:tcW w:w="1440" w:type="dxa"/>
          </w:tcPr>
          <w:p>
            <w:pPr>
              <w:pStyle w:val="nSubsection"/>
              <w:ind w:left="0" w:firstLine="0"/>
              <w:rPr>
                <w:snapToGrid w:val="0"/>
                <w:sz w:val="18"/>
              </w:rPr>
            </w:pPr>
            <w:r>
              <w:rPr>
                <w:snapToGrid w:val="0"/>
                <w:sz w:val="18"/>
              </w:rPr>
              <w:t>1 July 2006</w:t>
            </w:r>
          </w:p>
        </w:tc>
        <w:tc>
          <w:tcPr>
            <w:tcW w:w="1080" w:type="dxa"/>
          </w:tcPr>
          <w:p>
            <w:pPr>
              <w:pStyle w:val="nSubsection"/>
              <w:keepNext/>
              <w:keepLines/>
              <w:ind w:left="0" w:firstLine="0"/>
              <w:rPr>
                <w:snapToGrid w:val="0"/>
                <w:sz w:val="18"/>
              </w:rPr>
            </w:pPr>
            <w:r>
              <w:rPr>
                <w:snapToGrid w:val="0"/>
                <w:sz w:val="18"/>
              </w:rPr>
              <w:t>$279 000</w:t>
            </w:r>
          </w:p>
        </w:tc>
        <w:tc>
          <w:tcPr>
            <w:tcW w:w="1080" w:type="dxa"/>
          </w:tcPr>
          <w:p>
            <w:pPr>
              <w:pStyle w:val="nSubsection"/>
              <w:keepNext/>
              <w:keepLines/>
              <w:ind w:left="0" w:firstLine="0"/>
              <w:rPr>
                <w:snapToGrid w:val="0"/>
                <w:sz w:val="18"/>
              </w:rPr>
            </w:pPr>
            <w:r>
              <w:rPr>
                <w:snapToGrid w:val="0"/>
                <w:sz w:val="18"/>
              </w:rPr>
              <w:t>$14 000</w:t>
            </w:r>
          </w:p>
        </w:tc>
        <w:tc>
          <w:tcPr>
            <w:tcW w:w="1080" w:type="dxa"/>
          </w:tcPr>
          <w:p>
            <w:pPr>
              <w:pStyle w:val="nSubsection"/>
              <w:keepNext/>
              <w:keepLines/>
              <w:ind w:left="0" w:firstLine="0"/>
              <w:rPr>
                <w:snapToGrid w:val="0"/>
                <w:sz w:val="18"/>
              </w:rPr>
            </w:pPr>
            <w:r>
              <w:rPr>
                <w:snapToGrid w:val="0"/>
                <w:sz w:val="18"/>
              </w:rPr>
              <w:t>$42 500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28 Apr 2006 p. 1670</w:t>
            </w:r>
          </w:p>
        </w:tc>
      </w:tr>
      <w:tr>
        <w:tc>
          <w:tcPr>
            <w:tcW w:w="1440" w:type="dxa"/>
          </w:tcPr>
          <w:p>
            <w:pPr>
              <w:pStyle w:val="nSubsection"/>
              <w:ind w:left="0" w:firstLine="0"/>
              <w:rPr>
                <w:snapToGrid w:val="0"/>
                <w:sz w:val="18"/>
              </w:rPr>
            </w:pPr>
            <w:r>
              <w:rPr>
                <w:snapToGrid w:val="0"/>
                <w:sz w:val="18"/>
              </w:rPr>
              <w:t>1 July 2007</w:t>
            </w:r>
          </w:p>
        </w:tc>
        <w:tc>
          <w:tcPr>
            <w:tcW w:w="1080" w:type="dxa"/>
          </w:tcPr>
          <w:p>
            <w:pPr>
              <w:pStyle w:val="nSubsection"/>
              <w:keepNext/>
              <w:keepLines/>
              <w:ind w:left="0" w:firstLine="0"/>
              <w:rPr>
                <w:snapToGrid w:val="0"/>
                <w:sz w:val="18"/>
              </w:rPr>
            </w:pPr>
            <w:r>
              <w:rPr>
                <w:snapToGrid w:val="0"/>
                <w:sz w:val="18"/>
              </w:rPr>
              <w:t>$292 000</w:t>
            </w:r>
          </w:p>
        </w:tc>
        <w:tc>
          <w:tcPr>
            <w:tcW w:w="1080" w:type="dxa"/>
          </w:tcPr>
          <w:p>
            <w:pPr>
              <w:pStyle w:val="nSubsection"/>
              <w:keepNext/>
              <w:keepLines/>
              <w:ind w:left="0" w:firstLine="0"/>
              <w:rPr>
                <w:snapToGrid w:val="0"/>
                <w:sz w:val="18"/>
              </w:rPr>
            </w:pPr>
            <w:r>
              <w:rPr>
                <w:snapToGrid w:val="0"/>
                <w:sz w:val="18"/>
              </w:rPr>
              <w:t>$14 500</w:t>
            </w:r>
          </w:p>
        </w:tc>
        <w:tc>
          <w:tcPr>
            <w:tcW w:w="1080" w:type="dxa"/>
          </w:tcPr>
          <w:p>
            <w:pPr>
              <w:pStyle w:val="nSubsection"/>
              <w:keepNext/>
              <w:keepLines/>
              <w:ind w:left="0" w:firstLine="0"/>
              <w:rPr>
                <w:snapToGrid w:val="0"/>
                <w:sz w:val="18"/>
              </w:rPr>
            </w:pPr>
            <w:r>
              <w:rPr>
                <w:snapToGrid w:val="0"/>
                <w:sz w:val="18"/>
              </w:rPr>
              <w:t>$44 500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3 Apr 2007 p. 1512</w:t>
            </w:r>
          </w:p>
        </w:tc>
      </w:tr>
      <w:tr>
        <w:tc>
          <w:tcPr>
            <w:tcW w:w="1440" w:type="dxa"/>
          </w:tcPr>
          <w:p>
            <w:pPr>
              <w:pStyle w:val="nSubsection"/>
              <w:ind w:left="0" w:firstLine="0"/>
              <w:rPr>
                <w:snapToGrid w:val="0"/>
                <w:sz w:val="18"/>
              </w:rPr>
            </w:pPr>
            <w:r>
              <w:rPr>
                <w:snapToGrid w:val="0"/>
                <w:sz w:val="18"/>
              </w:rPr>
              <w:t>1 July 2008</w:t>
            </w:r>
          </w:p>
        </w:tc>
        <w:tc>
          <w:tcPr>
            <w:tcW w:w="1080" w:type="dxa"/>
          </w:tcPr>
          <w:p>
            <w:pPr>
              <w:pStyle w:val="nSubsection"/>
              <w:ind w:left="0" w:firstLine="0"/>
              <w:rPr>
                <w:snapToGrid w:val="0"/>
                <w:sz w:val="18"/>
              </w:rPr>
            </w:pPr>
            <w:r>
              <w:rPr>
                <w:snapToGrid w:val="0"/>
                <w:sz w:val="18"/>
              </w:rPr>
              <w:t>$309 000</w:t>
            </w:r>
          </w:p>
        </w:tc>
        <w:tc>
          <w:tcPr>
            <w:tcW w:w="1080" w:type="dxa"/>
          </w:tcPr>
          <w:p>
            <w:pPr>
              <w:pStyle w:val="nSubsection"/>
              <w:ind w:left="0" w:firstLine="0"/>
              <w:rPr>
                <w:snapToGrid w:val="0"/>
                <w:sz w:val="18"/>
              </w:rPr>
            </w:pPr>
            <w:r>
              <w:rPr>
                <w:snapToGrid w:val="0"/>
                <w:sz w:val="18"/>
              </w:rPr>
              <w:t>$15 500</w:t>
            </w:r>
          </w:p>
        </w:tc>
        <w:tc>
          <w:tcPr>
            <w:tcW w:w="1080" w:type="dxa"/>
          </w:tcPr>
          <w:p>
            <w:pPr>
              <w:pStyle w:val="nSubsection"/>
              <w:ind w:left="0" w:firstLine="0"/>
              <w:rPr>
                <w:snapToGrid w:val="0"/>
                <w:sz w:val="18"/>
              </w:rPr>
            </w:pPr>
            <w:r>
              <w:rPr>
                <w:snapToGrid w:val="0"/>
                <w:sz w:val="18"/>
              </w:rPr>
              <w:t>$47 000</w:t>
            </w:r>
          </w:p>
        </w:tc>
        <w:tc>
          <w:tcPr>
            <w:tcW w:w="1080" w:type="dxa"/>
          </w:tcPr>
          <w:p>
            <w:pPr>
              <w:pStyle w:val="nSubsection"/>
              <w:ind w:left="0" w:firstLine="0"/>
              <w:rPr>
                <w:snapToGrid w:val="0"/>
                <w:sz w:val="18"/>
              </w:rPr>
            </w:pPr>
            <w:r>
              <w:rPr>
                <w:snapToGrid w:val="0"/>
                <w:sz w:val="18"/>
              </w:rPr>
              <w:t>$5 500</w:t>
            </w:r>
          </w:p>
        </w:tc>
        <w:tc>
          <w:tcPr>
            <w:tcW w:w="1320" w:type="dxa"/>
          </w:tcPr>
          <w:p>
            <w:pPr>
              <w:pStyle w:val="nSubsection"/>
              <w:ind w:left="12" w:firstLine="0"/>
              <w:rPr>
                <w:snapToGrid w:val="0"/>
                <w:sz w:val="18"/>
              </w:rPr>
            </w:pPr>
            <w:r>
              <w:rPr>
                <w:snapToGrid w:val="0"/>
                <w:sz w:val="18"/>
              </w:rPr>
              <w:t>22 Apr 2008 p. 1546</w:t>
            </w:r>
          </w:p>
        </w:tc>
      </w:tr>
      <w:tr>
        <w:tc>
          <w:tcPr>
            <w:tcW w:w="1440" w:type="dxa"/>
          </w:tcPr>
          <w:p>
            <w:pPr>
              <w:pStyle w:val="nSubsection"/>
              <w:ind w:left="0" w:firstLine="0"/>
              <w:rPr>
                <w:snapToGrid w:val="0"/>
                <w:sz w:val="18"/>
              </w:rPr>
            </w:pPr>
            <w:r>
              <w:rPr>
                <w:snapToGrid w:val="0"/>
                <w:sz w:val="18"/>
              </w:rPr>
              <w:t>1 July 2009</w:t>
            </w:r>
          </w:p>
        </w:tc>
        <w:tc>
          <w:tcPr>
            <w:tcW w:w="1080" w:type="dxa"/>
          </w:tcPr>
          <w:p>
            <w:pPr>
              <w:pStyle w:val="nSubsection"/>
              <w:ind w:left="0" w:firstLine="0"/>
              <w:rPr>
                <w:snapToGrid w:val="0"/>
                <w:sz w:val="18"/>
              </w:rPr>
            </w:pPr>
            <w:r>
              <w:rPr>
                <w:snapToGrid w:val="0"/>
                <w:sz w:val="18"/>
              </w:rPr>
              <w:t>$327 000</w:t>
            </w:r>
          </w:p>
        </w:tc>
        <w:tc>
          <w:tcPr>
            <w:tcW w:w="1080" w:type="dxa"/>
          </w:tcPr>
          <w:p>
            <w:pPr>
              <w:pStyle w:val="nSubsection"/>
              <w:ind w:left="0" w:firstLine="0"/>
              <w:rPr>
                <w:snapToGrid w:val="0"/>
                <w:sz w:val="18"/>
              </w:rPr>
            </w:pPr>
            <w:r>
              <w:rPr>
                <w:snapToGrid w:val="0"/>
                <w:sz w:val="18"/>
              </w:rPr>
              <w:t>$16 500</w:t>
            </w:r>
          </w:p>
        </w:tc>
        <w:tc>
          <w:tcPr>
            <w:tcW w:w="1080" w:type="dxa"/>
          </w:tcPr>
          <w:p>
            <w:pPr>
              <w:pStyle w:val="nSubsection"/>
              <w:ind w:left="0" w:firstLine="0"/>
              <w:rPr>
                <w:snapToGrid w:val="0"/>
                <w:sz w:val="18"/>
              </w:rPr>
            </w:pPr>
            <w:r>
              <w:rPr>
                <w:snapToGrid w:val="0"/>
                <w:sz w:val="18"/>
              </w:rPr>
              <w:t>$49 500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12 May 2009 p. 1542</w:t>
            </w:r>
          </w:p>
        </w:tc>
      </w:tr>
      <w:tr>
        <w:tc>
          <w:tcPr>
            <w:tcW w:w="1440" w:type="dxa"/>
          </w:tcPr>
          <w:p>
            <w:pPr>
              <w:pStyle w:val="nSubsection"/>
              <w:ind w:left="0" w:firstLine="0"/>
              <w:rPr>
                <w:snapToGrid w:val="0"/>
                <w:sz w:val="18"/>
              </w:rPr>
            </w:pPr>
            <w:r>
              <w:rPr>
                <w:snapToGrid w:val="0"/>
                <w:sz w:val="18"/>
              </w:rPr>
              <w:t>1 July 201</w:t>
            </w:r>
            <w:bookmarkStart w:id="163" w:name="UpToHere"/>
            <w:bookmarkEnd w:id="163"/>
            <w:r>
              <w:rPr>
                <w:snapToGrid w:val="0"/>
                <w:sz w:val="18"/>
              </w:rPr>
              <w:t>0</w:t>
            </w:r>
          </w:p>
        </w:tc>
        <w:tc>
          <w:tcPr>
            <w:tcW w:w="1080" w:type="dxa"/>
          </w:tcPr>
          <w:p>
            <w:pPr>
              <w:pStyle w:val="nSubsection"/>
              <w:ind w:left="0" w:firstLine="0"/>
              <w:rPr>
                <w:snapToGrid w:val="0"/>
                <w:sz w:val="18"/>
              </w:rPr>
            </w:pPr>
            <w:r>
              <w:rPr>
                <w:snapToGrid w:val="0"/>
                <w:sz w:val="18"/>
              </w:rPr>
              <w:t>$337 000</w:t>
            </w:r>
          </w:p>
        </w:tc>
        <w:tc>
          <w:tcPr>
            <w:tcW w:w="1080" w:type="dxa"/>
          </w:tcPr>
          <w:p>
            <w:pPr>
              <w:pStyle w:val="nSubsection"/>
              <w:ind w:left="0" w:firstLine="0"/>
              <w:rPr>
                <w:snapToGrid w:val="0"/>
                <w:sz w:val="18"/>
              </w:rPr>
            </w:pPr>
            <w:r>
              <w:rPr>
                <w:snapToGrid w:val="0"/>
                <w:sz w:val="18"/>
              </w:rPr>
              <w:t>$17 000</w:t>
            </w:r>
          </w:p>
        </w:tc>
        <w:tc>
          <w:tcPr>
            <w:tcW w:w="1080" w:type="dxa"/>
          </w:tcPr>
          <w:p>
            <w:pPr>
              <w:pStyle w:val="nSubsection"/>
              <w:ind w:left="0" w:firstLine="0"/>
              <w:rPr>
                <w:snapToGrid w:val="0"/>
                <w:sz w:val="18"/>
              </w:rPr>
            </w:pPr>
            <w:r>
              <w:rPr>
                <w:snapToGrid w:val="0"/>
                <w:sz w:val="18"/>
              </w:rPr>
              <w:t>$51 000</w:t>
            </w:r>
          </w:p>
        </w:tc>
        <w:tc>
          <w:tcPr>
            <w:tcW w:w="1080" w:type="dxa"/>
          </w:tcPr>
          <w:p>
            <w:pPr>
              <w:pStyle w:val="nSubsection"/>
              <w:ind w:left="0" w:firstLine="0"/>
              <w:rPr>
                <w:snapToGrid w:val="0"/>
                <w:sz w:val="18"/>
              </w:rPr>
            </w:pPr>
            <w:r>
              <w:rPr>
                <w:snapToGrid w:val="0"/>
                <w:sz w:val="18"/>
              </w:rPr>
              <w:t>$6 000</w:t>
            </w:r>
          </w:p>
        </w:tc>
        <w:tc>
          <w:tcPr>
            <w:tcW w:w="1320" w:type="dxa"/>
          </w:tcPr>
          <w:p>
            <w:pPr>
              <w:pStyle w:val="nSubsection"/>
              <w:ind w:left="12" w:firstLine="0"/>
              <w:rPr>
                <w:snapToGrid w:val="0"/>
                <w:sz w:val="18"/>
              </w:rPr>
            </w:pPr>
            <w:r>
              <w:rPr>
                <w:snapToGrid w:val="0"/>
                <w:sz w:val="18"/>
              </w:rPr>
              <w:t>23 Apr 2010 p. 1529</w:t>
            </w:r>
          </w:p>
        </w:tc>
      </w:tr>
    </w:tbl>
    <w:p>
      <w:pPr>
        <w:pStyle w:val="nSubsection"/>
        <w:spacing w:before="16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2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keepNext/>
        <w:keepLines/>
        <w:rPr>
          <w:snapToGrid w:val="0"/>
        </w:rPr>
      </w:pPr>
      <w:r>
        <w:rPr>
          <w:snapToGrid w:val="0"/>
        </w:rPr>
        <w:tab/>
        <w:t>(b)</w:t>
      </w:r>
      <w:r>
        <w:rPr>
          <w:snapToGrid w:val="0"/>
        </w:rPr>
        <w:tab/>
        <w:t>shall be deemed to have always been as valid and effectual as it would have been,</w:t>
      </w:r>
    </w:p>
    <w:p>
      <w:pPr>
        <w:pStyle w:val="nzSubsection"/>
        <w:keepNext/>
        <w:keepLines/>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keepLines w:val="0"/>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is a savings provision that is of no further effect.</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bookmarkStart w:id="164" w:name="AutoSch"/>
      <w:bookmarkEnd w:id="164"/>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Pr>
        <w:pStyle w:val="nHeading2"/>
        <w:rPr>
          <w:sz w:val="28"/>
        </w:rPr>
      </w:pPr>
      <w:bookmarkStart w:id="165" w:name="_Toc226185075"/>
      <w:bookmarkStart w:id="166" w:name="_Toc226796611"/>
      <w:bookmarkStart w:id="167" w:name="_Toc228006571"/>
      <w:bookmarkStart w:id="168" w:name="_Toc228079064"/>
      <w:bookmarkStart w:id="169" w:name="_Toc268179973"/>
      <w:bookmarkStart w:id="170" w:name="_Toc272238377"/>
      <w:bookmarkStart w:id="171" w:name="_Toc272307794"/>
      <w:r>
        <w:rPr>
          <w:sz w:val="28"/>
        </w:rPr>
        <w:t>Defined Terms</w:t>
      </w:r>
      <w:bookmarkEnd w:id="165"/>
      <w:bookmarkEnd w:id="166"/>
      <w:bookmarkEnd w:id="167"/>
      <w:bookmarkEnd w:id="168"/>
      <w:bookmarkEnd w:id="169"/>
      <w:bookmarkEnd w:id="170"/>
      <w:bookmarkEnd w:id="171"/>
    </w:p>
    <w:p>
      <w:pPr>
        <w:ind w:left="850" w:right="850"/>
        <w:jc w:val="center"/>
        <w:rPr>
          <w:i/>
          <w:sz w:val="18"/>
          <w:vertAlign w:val="superscript"/>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 w:name="DefinedTerms"/>
      <w:bookmarkEnd w:id="172"/>
      <w:r>
        <w:t>action or proceedings</w:t>
      </w:r>
      <w:r>
        <w:tab/>
        <w:t>16(1)</w:t>
      </w:r>
    </w:p>
    <w:p>
      <w:pPr>
        <w:pStyle w:val="DefinedTerms"/>
      </w:pPr>
      <w:r>
        <w:t>Amount A</w:t>
      </w:r>
      <w:r>
        <w:tab/>
        <w:t>3C(1)</w:t>
      </w:r>
    </w:p>
    <w:p>
      <w:pPr>
        <w:pStyle w:val="DefinedTerms"/>
      </w:pPr>
      <w:r>
        <w:t>Amount B</w:t>
      </w:r>
      <w:r>
        <w:tab/>
        <w:t>3C(1)</w:t>
      </w:r>
    </w:p>
    <w:p>
      <w:pPr>
        <w:pStyle w:val="DefinedTerms"/>
      </w:pPr>
      <w:r>
        <w:t>Amount C</w:t>
      </w:r>
      <w:r>
        <w:tab/>
        <w:t>3C(1)</w:t>
      </w:r>
    </w:p>
    <w:p>
      <w:pPr>
        <w:pStyle w:val="DefinedTerms"/>
      </w:pPr>
      <w:r>
        <w:t>Amount D</w:t>
      </w:r>
      <w:r>
        <w:tab/>
        <w:t>3D(7)</w:t>
      </w:r>
    </w:p>
    <w:p>
      <w:pPr>
        <w:pStyle w:val="DefinedTerms"/>
      </w:pPr>
      <w:r>
        <w:t>Commission</w:t>
      </w:r>
      <w:r>
        <w:tab/>
        <w:t>3(1)</w:t>
      </w:r>
    </w:p>
    <w:p>
      <w:pPr>
        <w:pStyle w:val="DefinedTerms"/>
      </w:pPr>
      <w:r>
        <w:t>contract of insurance</w:t>
      </w:r>
      <w:r>
        <w:tab/>
        <w:t>3(1)</w:t>
      </w:r>
    </w:p>
    <w:p>
      <w:pPr>
        <w:pStyle w:val="DefinedTerms"/>
      </w:pPr>
      <w:r>
        <w:t>court</w:t>
      </w:r>
      <w:r>
        <w:tab/>
        <w:t>16(1)</w:t>
      </w:r>
    </w:p>
    <w:p>
      <w:pPr>
        <w:pStyle w:val="DefinedTerms"/>
      </w:pPr>
      <w:r>
        <w:t>Director General</w:t>
      </w:r>
      <w:r>
        <w:tab/>
        <w:t>3(1)</w:t>
      </w:r>
    </w:p>
    <w:p>
      <w:pPr>
        <w:pStyle w:val="DefinedTerms"/>
      </w:pPr>
      <w:r>
        <w:t>District Court</w:t>
      </w:r>
      <w:r>
        <w:tab/>
        <w:t>3(1)</w:t>
      </w:r>
    </w:p>
    <w:p>
      <w:pPr>
        <w:pStyle w:val="DefinedTerms"/>
      </w:pPr>
      <w:r>
        <w:t>driver</w:t>
      </w:r>
      <w:r>
        <w:tab/>
        <w:t>3(1)</w:t>
      </w:r>
    </w:p>
    <w:p>
      <w:pPr>
        <w:pStyle w:val="DefinedTerms"/>
      </w:pPr>
      <w:r>
        <w:t>emergency treatment</w:t>
      </w:r>
      <w:r>
        <w:tab/>
        <w:t>12(4)</w:t>
      </w:r>
    </w:p>
    <w:p>
      <w:pPr>
        <w:pStyle w:val="DefinedTerms"/>
      </w:pPr>
      <w:r>
        <w:t>Fund</w:t>
      </w:r>
      <w:r>
        <w:tab/>
        <w:t>3(1)</w:t>
      </w:r>
    </w:p>
    <w:p>
      <w:pPr>
        <w:pStyle w:val="DefinedTerms"/>
      </w:pPr>
      <w:r>
        <w:t>insured person</w:t>
      </w:r>
      <w:r>
        <w:tab/>
        <w:t>3(1)</w:t>
      </w:r>
    </w:p>
    <w:p>
      <w:pPr>
        <w:pStyle w:val="DefinedTerms"/>
      </w:pPr>
      <w:r>
        <w:t>Minister</w:t>
      </w:r>
      <w:r>
        <w:tab/>
        <w:t>3(1)</w:t>
      </w:r>
    </w:p>
    <w:p>
      <w:pPr>
        <w:pStyle w:val="DefinedTerms"/>
      </w:pPr>
      <w:r>
        <w:t>motor vehicle</w:t>
      </w:r>
      <w:r>
        <w:tab/>
        <w:t>3(1), 4(9a)(b)</w:t>
      </w:r>
    </w:p>
    <w:p>
      <w:pPr>
        <w:pStyle w:val="DefinedTerms"/>
      </w:pPr>
      <w:r>
        <w:t>non</w:t>
      </w:r>
      <w:r>
        <w:noBreakHyphen/>
        <w:t>pecuniary loss</w:t>
      </w:r>
      <w:r>
        <w:tab/>
        <w:t>3C(1)</w:t>
      </w:r>
    </w:p>
    <w:p>
      <w:pPr>
        <w:pStyle w:val="DefinedTerms"/>
      </w:pPr>
      <w:r>
        <w:t>owner</w:t>
      </w:r>
      <w:r>
        <w:tab/>
        <w:t>3(1),  3G(3)</w:t>
      </w:r>
    </w:p>
    <w:p>
      <w:pPr>
        <w:pStyle w:val="DefinedTerms"/>
      </w:pPr>
      <w:r>
        <w:t>pending action or proceedings</w:t>
      </w:r>
      <w:r>
        <w:tab/>
        <w:t>16(1)</w:t>
      </w:r>
    </w:p>
    <w:p>
      <w:pPr>
        <w:pStyle w:val="DefinedTerms"/>
      </w:pPr>
      <w:r>
        <w:t>policy of insurance</w:t>
      </w:r>
      <w:r>
        <w:tab/>
        <w:t>3(1)</w:t>
      </w:r>
    </w:p>
    <w:p>
      <w:pPr>
        <w:pStyle w:val="DefinedTerms"/>
      </w:pPr>
      <w:r>
        <w:t>proclaimed date</w:t>
      </w:r>
      <w:r>
        <w:tab/>
        <w:t>16(1)</w:t>
      </w:r>
    </w:p>
    <w:p>
      <w:pPr>
        <w:pStyle w:val="DefinedTerms"/>
      </w:pPr>
      <w:r>
        <w:t>the claimant</w:t>
      </w:r>
      <w:r>
        <w:tab/>
        <w:t>29(2)</w:t>
      </w:r>
    </w:p>
    <w:p>
      <w:pPr>
        <w:pStyle w:val="DefinedTerms"/>
      </w:pPr>
      <w:r>
        <w:t>the recalculation date</w:t>
      </w:r>
      <w:r>
        <w:tab/>
        <w:t>3C(8), 3D(8)</w:t>
      </w:r>
    </w:p>
    <w:p>
      <w:pPr>
        <w:pStyle w:val="DefinedTerms"/>
      </w:pPr>
      <w:r>
        <w:t>the relevant quarter</w:t>
      </w:r>
      <w:r>
        <w:tab/>
        <w:t>3D(4)</w:t>
      </w:r>
    </w:p>
    <w:p>
      <w:pPr>
        <w:pStyle w:val="DefinedTerms"/>
      </w:pPr>
      <w:r>
        <w:t>the Tribunal</w:t>
      </w:r>
      <w:r>
        <w:tab/>
        <w:t>16(1)</w:t>
      </w:r>
    </w:p>
    <w:p>
      <w:pPr>
        <w:pStyle w:val="DefinedTerms"/>
      </w:pPr>
      <w:r>
        <w:t>the Act</w:t>
      </w:r>
      <w:r>
        <w:tab/>
        <w:t>Sch.</w:t>
      </w:r>
    </w:p>
    <w:p>
      <w:pPr>
        <w:pStyle w:val="DefinedTerms"/>
      </w:pPr>
      <w:r>
        <w:t>Traffic Act</w:t>
      </w:r>
      <w:r>
        <w:tab/>
        <w:t>3(1)</w:t>
      </w:r>
    </w:p>
    <w:p>
      <w:pPr>
        <w:pStyle w:val="DefinedTerms"/>
      </w:pPr>
      <w:r>
        <w:t>uninsured motor vehicle</w:t>
      </w:r>
      <w:r>
        <w:tab/>
        <w:t>3(1)</w:t>
      </w:r>
    </w:p>
    <w:p/>
    <w:p>
      <w:pPr>
        <w:sectPr>
          <w:headerReference w:type="even" r:id="rId34"/>
          <w:headerReference w:type="default" r:id="rId35"/>
          <w:footerReference w:type="even" r:id="rId36"/>
          <w:headerReference w:type="first" r:id="rId37"/>
          <w:pgSz w:w="11906" w:h="16838" w:code="9"/>
          <w:pgMar w:top="2381" w:right="2409" w:bottom="3543" w:left="2409" w:header="720" w:footer="3380" w:gutter="0"/>
          <w:cols w:space="720"/>
          <w:noEndnote/>
          <w:docGrid w:linePitch="326"/>
        </w:sectPr>
      </w:pPr>
    </w:p>
    <w:p/>
    <w:sectPr>
      <w:headerReference w:type="even"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fldSimple w:instr=" styleref CharSchText ">
            <w:r>
              <w:rPr>
                <w:noProof/>
              </w:rPr>
              <w:t>Form of insurance policy</w:t>
            </w:r>
          </w:fldSimple>
        </w:p>
      </w:tc>
      <w:tc>
        <w:tcPr>
          <w:tcW w:w="1548" w:type="dxa"/>
        </w:tcPr>
        <w:p>
          <w:pPr>
            <w:pStyle w:val="HeaderNumberRight"/>
            <w:ind w:right="17"/>
          </w:pPr>
          <w:fldSimple w:instr=" styleref CharSchno ">
            <w:r>
              <w:rPr>
                <w:noProof/>
              </w:rPr>
              <w:t>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fldSimple w:instr=" styleref CharSchno ">
            <w:r>
              <w:rPr>
                <w:noProof/>
              </w:rPr>
              <w:t>Schedule</w:t>
            </w:r>
          </w:fldSimple>
        </w:p>
      </w:tc>
      <w:tc>
        <w:tcPr>
          <w:tcW w:w="5715" w:type="dxa"/>
        </w:tcPr>
        <w:p>
          <w:pPr>
            <w:pStyle w:val="HeaderTextLeft"/>
          </w:pPr>
          <w:fldSimple w:instr=" styleref CharSchText ">
            <w:r>
              <w:rPr>
                <w:noProof/>
              </w:rPr>
              <w:t>Form of insurance policy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19"/>
  </w:num>
  <w:num w:numId="14">
    <w:abstractNumId w:val="20"/>
  </w:num>
  <w:num w:numId="15">
    <w:abstractNumId w:val="12"/>
  </w:num>
  <w:num w:numId="16">
    <w:abstractNumId w:val="14"/>
  </w:num>
  <w:num w:numId="17">
    <w:abstractNumId w:val="13"/>
  </w:num>
  <w:num w:numId="18">
    <w:abstractNumId w:val="24"/>
  </w:num>
  <w:num w:numId="19">
    <w:abstractNumId w:val="22"/>
  </w:num>
  <w:num w:numId="20">
    <w:abstractNumId w:val="10"/>
  </w:num>
  <w:num w:numId="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711"/>
    <w:docVar w:name="WAFER_20151208140711" w:val="RemoveTrackChanges"/>
    <w:docVar w:name="WAFER_20151208140711_GUID" w:val="16aaf606-cfee-41c0-9e4e-4403e7a34b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17712</Words>
  <Characters>78646</Characters>
  <Application>Microsoft Office Word</Application>
  <DocSecurity>0</DocSecurity>
  <Lines>2313</Lines>
  <Paragraphs>1147</Paragraphs>
  <ScaleCrop>false</ScaleCrop>
  <HeadingPairs>
    <vt:vector size="2" baseType="variant">
      <vt:variant>
        <vt:lpstr>Title</vt:lpstr>
      </vt:variant>
      <vt:variant>
        <vt:i4>1</vt:i4>
      </vt:variant>
    </vt:vector>
  </HeadingPairs>
  <TitlesOfParts>
    <vt:vector size="1" baseType="lpstr">
      <vt:lpstr>Motor Vehicle (Third Party Insurance) Act 1943</vt:lpstr>
    </vt:vector>
  </TitlesOfParts>
  <Manager/>
  <Company/>
  <LinksUpToDate>false</LinksUpToDate>
  <CharactersWithSpaces>95211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1943 - 12-c0-04</dc:title>
  <dc:subject/>
  <dc:creator/>
  <cp:keywords/>
  <dc:description/>
  <cp:lastModifiedBy>svcMRProcess</cp:lastModifiedBy>
  <cp:revision>4</cp:revision>
  <cp:lastPrinted>2010-09-14T06:34:00Z</cp:lastPrinted>
  <dcterms:created xsi:type="dcterms:W3CDTF">2020-02-18T02:24:00Z</dcterms:created>
  <dcterms:modified xsi:type="dcterms:W3CDTF">2020-02-18T02:24:00Z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527</vt:i4>
  </property>
  <property fmtid="{D5CDD505-2E9C-101B-9397-08002B2CF9AE}" pid="6" name="AsAtDate">
    <vt:lpwstr>11 Sep 2010</vt:lpwstr>
  </property>
  <property fmtid="{D5CDD505-2E9C-101B-9397-08002B2CF9AE}" pid="7" name="Suffix">
    <vt:lpwstr>12-c0-04</vt:lpwstr>
  </property>
  <property fmtid="{D5CDD505-2E9C-101B-9397-08002B2CF9AE}" pid="8" name="ReprintNo">
    <vt:lpwstr>12</vt:lpwstr>
  </property>
</Properties>
</file>