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Pollution of Waters by Oil and Noxious Substances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Start w:val="2"/>
          </w:foot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Pollution of Waters by Oil and Noxious Substances Act 1987</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_Toc272309017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_Toc272309018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_Toc272309019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bind Crown</w:t>
      </w:r>
      <w:r>
        <w:tab/>
      </w:r>
      <w:r>
        <w:fldChar w:fldCharType="begin"/>
      </w:r>
      <w:r>
        <w:instrText xml:space="preserve"> PAGEREF _Toc272309020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Saving of other laws</w:t>
      </w:r>
      <w:r>
        <w:tab/>
      </w:r>
      <w:r>
        <w:fldChar w:fldCharType="begin"/>
      </w:r>
      <w:r>
        <w:instrText xml:space="preserve"> PAGEREF _Toc272309021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Delegation</w:t>
      </w:r>
      <w:r>
        <w:tab/>
      </w:r>
      <w:r>
        <w:fldChar w:fldCharType="begin"/>
      </w:r>
      <w:r>
        <w:instrText xml:space="preserve"> PAGEREF _Toc272309022 \h </w:instrText>
      </w:r>
      <w:r>
        <w:fldChar w:fldCharType="separate"/>
      </w:r>
      <w:r>
        <w:t>6</w:t>
      </w:r>
      <w:r>
        <w:fldChar w:fldCharType="end"/>
      </w:r>
    </w:p>
    <w:p>
      <w:pPr>
        <w:pStyle w:val="TOC2"/>
        <w:tabs>
          <w:tab w:val="right" w:leader="dot" w:pos="7078"/>
        </w:tabs>
        <w:rPr>
          <w:b w:val="0"/>
          <w:sz w:val="24"/>
          <w:szCs w:val="24"/>
        </w:rPr>
      </w:pPr>
      <w:r>
        <w:rPr>
          <w:szCs w:val="30"/>
        </w:rPr>
        <w:t>Part II — Pollution by oil</w:t>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_Toc272309024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Prohibition of discharge of oil or oily mixtures into State waters</w:t>
      </w:r>
      <w:r>
        <w:tab/>
      </w:r>
      <w:r>
        <w:fldChar w:fldCharType="begin"/>
      </w:r>
      <w:r>
        <w:instrText xml:space="preserve"> PAGEREF _Toc272309025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Prohibition of discharge of oil or oily mixtures during transfer operations</w:t>
      </w:r>
      <w:r>
        <w:tab/>
      </w:r>
      <w:r>
        <w:fldChar w:fldCharType="begin"/>
      </w:r>
      <w:r>
        <w:instrText xml:space="preserve"> PAGEREF _Toc272309026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Oil residues</w:t>
      </w:r>
      <w:r>
        <w:tab/>
      </w:r>
      <w:r>
        <w:fldChar w:fldCharType="begin"/>
      </w:r>
      <w:r>
        <w:instrText xml:space="preserve"> PAGEREF _Toc272309027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Duty to report certain incidents involving oil or an oily mixture</w:t>
      </w:r>
      <w:r>
        <w:tab/>
      </w:r>
      <w:r>
        <w:fldChar w:fldCharType="begin"/>
      </w:r>
      <w:r>
        <w:instrText xml:space="preserve"> PAGEREF _Toc272309028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Duty to report discharge of certain substances from land or apparatus</w:t>
      </w:r>
      <w:r>
        <w:tab/>
      </w:r>
      <w:r>
        <w:fldChar w:fldCharType="begin"/>
      </w:r>
      <w:r>
        <w:instrText xml:space="preserve"> PAGEREF _Toc272309029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Oil record book</w:t>
      </w:r>
      <w:r>
        <w:tab/>
      </w:r>
      <w:r>
        <w:fldChar w:fldCharType="begin"/>
      </w:r>
      <w:r>
        <w:instrText xml:space="preserve"> PAGEREF _Toc272309030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False entries in oil record book</w:t>
      </w:r>
      <w:r>
        <w:tab/>
      </w:r>
      <w:r>
        <w:fldChar w:fldCharType="begin"/>
      </w:r>
      <w:r>
        <w:instrText xml:space="preserve"> PAGEREF _Toc272309031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Oil record book to be retained</w:t>
      </w:r>
      <w:r>
        <w:tab/>
      </w:r>
      <w:r>
        <w:fldChar w:fldCharType="begin"/>
      </w:r>
      <w:r>
        <w:instrText xml:space="preserve"> PAGEREF _Toc272309032 \h </w:instrText>
      </w:r>
      <w:r>
        <w:fldChar w:fldCharType="separate"/>
      </w:r>
      <w:r>
        <w:t>19</w:t>
      </w:r>
      <w:r>
        <w:fldChar w:fldCharType="end"/>
      </w:r>
    </w:p>
    <w:p>
      <w:pPr>
        <w:pStyle w:val="TOC2"/>
        <w:tabs>
          <w:tab w:val="right" w:leader="dot" w:pos="7078"/>
        </w:tabs>
        <w:rPr>
          <w:b w:val="0"/>
          <w:sz w:val="24"/>
          <w:szCs w:val="24"/>
        </w:rPr>
      </w:pPr>
      <w:r>
        <w:rPr>
          <w:szCs w:val="30"/>
        </w:rPr>
        <w:lastRenderedPageBreak/>
        <w:t>Part III — Pollution by noxious substances</w:t>
      </w:r>
    </w:p>
    <w:p>
      <w:pPr>
        <w:pStyle w:val="TOC8"/>
        <w:rPr>
          <w:sz w:val="24"/>
          <w:szCs w:val="24"/>
        </w:rPr>
      </w:pPr>
      <w:r>
        <w:rPr>
          <w:szCs w:val="24"/>
        </w:rPr>
        <w:t>16</w:t>
      </w:r>
      <w:r>
        <w:rPr>
          <w:snapToGrid w:val="0"/>
          <w:szCs w:val="24"/>
        </w:rPr>
        <w:t>.</w:t>
      </w:r>
      <w:r>
        <w:rPr>
          <w:snapToGrid w:val="0"/>
          <w:szCs w:val="24"/>
        </w:rPr>
        <w:tab/>
        <w:t>Interpretation</w:t>
      </w:r>
      <w:r>
        <w:tab/>
      </w:r>
      <w:r>
        <w:fldChar w:fldCharType="begin"/>
      </w:r>
      <w:r>
        <w:instrText xml:space="preserve"> PAGEREF _Toc272309034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Application of Act to mixture of oil and liquid substance</w:t>
      </w:r>
      <w:r>
        <w:tab/>
      </w:r>
      <w:r>
        <w:fldChar w:fldCharType="begin"/>
      </w:r>
      <w:r>
        <w:instrText xml:space="preserve"> PAGEREF _Toc272309035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Categories of noxious liquid substances</w:t>
      </w:r>
      <w:r>
        <w:tab/>
      </w:r>
      <w:r>
        <w:fldChar w:fldCharType="begin"/>
      </w:r>
      <w:r>
        <w:instrText xml:space="preserve"> PAGEREF _Toc272309036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Appendix III substances</w:t>
      </w:r>
      <w:r>
        <w:tab/>
      </w:r>
      <w:r>
        <w:fldChar w:fldCharType="begin"/>
      </w:r>
      <w:r>
        <w:instrText xml:space="preserve"> PAGEREF _Toc272309037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Prohibition of discharge of substances into State waters</w:t>
      </w:r>
      <w:r>
        <w:tab/>
      </w:r>
      <w:r>
        <w:fldChar w:fldCharType="begin"/>
      </w:r>
      <w:r>
        <w:instrText xml:space="preserve"> PAGEREF _Toc272309038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Certain liquid substances to be treated as oil</w:t>
      </w:r>
      <w:r>
        <w:tab/>
      </w:r>
      <w:r>
        <w:fldChar w:fldCharType="begin"/>
      </w:r>
      <w:r>
        <w:instrText xml:space="preserve"> PAGEREF _Toc272309039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Duty to report certain incidents involving certain substances</w:t>
      </w:r>
      <w:r>
        <w:tab/>
      </w:r>
      <w:r>
        <w:fldChar w:fldCharType="begin"/>
      </w:r>
      <w:r>
        <w:instrText xml:space="preserve"> PAGEREF _Toc272309040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Cargo record book</w:t>
      </w:r>
      <w:r>
        <w:tab/>
      </w:r>
      <w:r>
        <w:fldChar w:fldCharType="begin"/>
      </w:r>
      <w:r>
        <w:instrText xml:space="preserve"> PAGEREF _Toc272309041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False entries in cargo record book</w:t>
      </w:r>
      <w:r>
        <w:tab/>
      </w:r>
      <w:r>
        <w:fldChar w:fldCharType="begin"/>
      </w:r>
      <w:r>
        <w:instrText xml:space="preserve"> PAGEREF _Toc272309042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Cargo record book to be retained</w:t>
      </w:r>
      <w:r>
        <w:tab/>
      </w:r>
      <w:r>
        <w:fldChar w:fldCharType="begin"/>
      </w:r>
      <w:r>
        <w:instrText xml:space="preserve"> PAGEREF _Toc272309043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Cleaning of tanks of ships</w:t>
      </w:r>
      <w:r>
        <w:tab/>
      </w:r>
      <w:r>
        <w:fldChar w:fldCharType="begin"/>
      </w:r>
      <w:r>
        <w:instrText xml:space="preserve"> PAGEREF _Toc272309044 \h </w:instrText>
      </w:r>
      <w:r>
        <w:fldChar w:fldCharType="separate"/>
      </w:r>
      <w:r>
        <w:t>36</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27</w:t>
      </w:r>
      <w:r>
        <w:rPr>
          <w:snapToGrid w:val="0"/>
          <w:szCs w:val="24"/>
        </w:rPr>
        <w:t>.</w:t>
      </w:r>
      <w:r>
        <w:rPr>
          <w:snapToGrid w:val="0"/>
          <w:szCs w:val="24"/>
        </w:rPr>
        <w:tab/>
        <w:t>Recovery of expenses with respect to pollution by oil</w:t>
      </w:r>
      <w:r>
        <w:tab/>
      </w:r>
      <w:r>
        <w:fldChar w:fldCharType="begin"/>
      </w:r>
      <w:r>
        <w:instrText xml:space="preserve"> PAGEREF _Toc272309046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Recovery of expenses with respect to pollution by noxious liquid substances</w:t>
      </w:r>
      <w:r>
        <w:tab/>
      </w:r>
      <w:r>
        <w:fldChar w:fldCharType="begin"/>
      </w:r>
      <w:r>
        <w:instrText xml:space="preserve"> PAGEREF _Toc272309047 \h </w:instrText>
      </w:r>
      <w:r>
        <w:fldChar w:fldCharType="separate"/>
      </w:r>
      <w:r>
        <w:t>38</w:t>
      </w:r>
      <w:r>
        <w:fldChar w:fldCharType="end"/>
      </w:r>
    </w:p>
    <w:p>
      <w:pPr>
        <w:pStyle w:val="TOC8"/>
        <w:rPr>
          <w:sz w:val="24"/>
          <w:szCs w:val="24"/>
        </w:rPr>
      </w:pPr>
      <w:r>
        <w:rPr>
          <w:szCs w:val="24"/>
        </w:rPr>
        <w:t>29</w:t>
      </w:r>
      <w:r>
        <w:rPr>
          <w:snapToGrid w:val="0"/>
          <w:szCs w:val="24"/>
        </w:rPr>
        <w:t>.</w:t>
      </w:r>
      <w:r>
        <w:rPr>
          <w:snapToGrid w:val="0"/>
          <w:szCs w:val="24"/>
        </w:rPr>
        <w:tab/>
        <w:t>Powers of inspectors</w:t>
      </w:r>
      <w:r>
        <w:tab/>
      </w:r>
      <w:r>
        <w:fldChar w:fldCharType="begin"/>
      </w:r>
      <w:r>
        <w:instrText xml:space="preserve"> PAGEREF _Toc272309048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No time limit for prosecution</w:t>
      </w:r>
      <w:r>
        <w:tab/>
      </w:r>
      <w:r>
        <w:fldChar w:fldCharType="begin"/>
      </w:r>
      <w:r>
        <w:instrText xml:space="preserve"> PAGEREF _Toc272309049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Service of summonses</w:t>
      </w:r>
      <w:r>
        <w:tab/>
      </w:r>
      <w:r>
        <w:fldChar w:fldCharType="begin"/>
      </w:r>
      <w:r>
        <w:instrText xml:space="preserve"> PAGEREF _Toc272309050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Evidence</w:t>
      </w:r>
      <w:r>
        <w:tab/>
      </w:r>
      <w:r>
        <w:fldChar w:fldCharType="begin"/>
      </w:r>
      <w:r>
        <w:instrText xml:space="preserve"> PAGEREF _Toc272309051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Evidence of analysts</w:t>
      </w:r>
      <w:r>
        <w:tab/>
      </w:r>
      <w:r>
        <w:fldChar w:fldCharType="begin"/>
      </w:r>
      <w:r>
        <w:instrText xml:space="preserve"> PAGEREF _Toc272309052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Immunity of inspectors</w:t>
      </w:r>
      <w:r>
        <w:tab/>
      </w:r>
      <w:r>
        <w:fldChar w:fldCharType="begin"/>
      </w:r>
      <w:r>
        <w:instrText xml:space="preserve"> PAGEREF _Toc272309053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_Toc272309054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Orders</w:t>
      </w:r>
      <w:r>
        <w:tab/>
      </w:r>
      <w:r>
        <w:fldChar w:fldCharType="begin"/>
      </w:r>
      <w:r>
        <w:instrText xml:space="preserve"> PAGEREF _Toc272309055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Prescribing matters by reference to other instruments</w:t>
      </w:r>
      <w:r>
        <w:tab/>
      </w:r>
      <w:r>
        <w:fldChar w:fldCharType="begin"/>
      </w:r>
      <w:r>
        <w:instrText xml:space="preserve"> PAGEREF _Toc272309056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Repeal and saving</w:t>
      </w:r>
      <w:r>
        <w:tab/>
      </w:r>
      <w:r>
        <w:fldChar w:fldCharType="begin"/>
      </w:r>
      <w:r>
        <w:instrText xml:space="preserve"> PAGEREF _Toc272309057 \h </w:instrText>
      </w:r>
      <w:r>
        <w:fldChar w:fldCharType="separate"/>
      </w:r>
      <w:r>
        <w:t>46</w:t>
      </w:r>
      <w:r>
        <w:fldChar w:fldCharType="end"/>
      </w:r>
    </w:p>
    <w:p>
      <w:pPr>
        <w:pStyle w:val="TOC2"/>
        <w:tabs>
          <w:tab w:val="right" w:leader="dot" w:pos="7078"/>
        </w:tabs>
        <w:rPr>
          <w:b w:val="0"/>
          <w:sz w:val="24"/>
          <w:szCs w:val="24"/>
        </w:rPr>
      </w:pPr>
      <w:r>
        <w:rPr>
          <w:szCs w:val="28"/>
        </w:rPr>
        <w:t>Schedule 1 — 1973 Convention</w:t>
      </w:r>
    </w:p>
    <w:p>
      <w:pPr>
        <w:pStyle w:val="TOC2"/>
        <w:tabs>
          <w:tab w:val="right" w:leader="dot" w:pos="7078"/>
        </w:tabs>
        <w:rPr>
          <w:b w:val="0"/>
          <w:sz w:val="24"/>
          <w:szCs w:val="24"/>
        </w:rPr>
      </w:pPr>
      <w:r>
        <w:rPr>
          <w:szCs w:val="28"/>
        </w:rPr>
        <w:t>Schedule 2 — 1978 Protocol</w:t>
      </w:r>
    </w:p>
    <w:p>
      <w:pPr>
        <w:pStyle w:val="TOC2"/>
        <w:tabs>
          <w:tab w:val="right" w:leader="dot" w:pos="7078"/>
        </w:tabs>
        <w:rPr>
          <w:b w:val="0"/>
          <w:sz w:val="24"/>
          <w:szCs w:val="24"/>
        </w:rPr>
      </w:pPr>
      <w:r>
        <w:rPr>
          <w:szCs w:val="28"/>
        </w:rPr>
        <w:t>Schedule 3 — 1984 amendments to annex to Protocol</w:t>
      </w:r>
    </w:p>
    <w:p>
      <w:pPr>
        <w:pStyle w:val="TOC2"/>
        <w:tabs>
          <w:tab w:val="right" w:leader="dot" w:pos="7078"/>
        </w:tabs>
        <w:rPr>
          <w:b w:val="0"/>
          <w:sz w:val="24"/>
          <w:szCs w:val="24"/>
        </w:rPr>
      </w:pPr>
      <w:r>
        <w:rPr>
          <w:szCs w:val="28"/>
        </w:rPr>
        <w:t>Schedule 4 — 1985 amendments to annex to Protocol</w:t>
      </w:r>
    </w:p>
    <w:p>
      <w:pPr>
        <w:pStyle w:val="TOC2"/>
        <w:tabs>
          <w:tab w:val="right" w:leader="dot" w:pos="7078"/>
        </w:tabs>
        <w:rPr>
          <w:b w:val="0"/>
          <w:sz w:val="24"/>
          <w:szCs w:val="24"/>
        </w:rPr>
      </w:pPr>
      <w:r>
        <w:rPr>
          <w:szCs w:val="28"/>
        </w:rPr>
        <w:t>Schedule 5 — 1985 amendments to Protocol I</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_Toc272309064 \h </w:instrText>
      </w:r>
      <w:r>
        <w:fldChar w:fldCharType="separate"/>
      </w:r>
      <w:r>
        <w:t>300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footnotePr>
            <w:numStart w:val="2"/>
          </w:footnotePr>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200"/>
      </w:pPr>
      <w:r>
        <w:t xml:space="preserve">Pollution of Waters by Oil and Noxious Substances Act 1987 </w:t>
      </w:r>
    </w:p>
    <w:p>
      <w:pPr>
        <w:pStyle w:val="LongTitle"/>
        <w:rPr>
          <w:snapToGrid w:val="0"/>
        </w:rPr>
      </w:pPr>
      <w:r>
        <w:rPr>
          <w:snapToGrid w:val="0"/>
        </w:rPr>
        <w:t xml:space="preserve">An Act relating to the protection of the sea and certain waters from pollution by oil and other noxious substances discharged from ships and places on land and for related purposes. </w:t>
      </w:r>
    </w:p>
    <w:p>
      <w:pPr>
        <w:pStyle w:val="Heading2"/>
      </w:pPr>
      <w:bookmarkStart w:id="1" w:name="_Toc89495316"/>
      <w:bookmarkStart w:id="2" w:name="_Toc89495381"/>
      <w:bookmarkStart w:id="3" w:name="_Toc89582538"/>
      <w:bookmarkStart w:id="4" w:name="_Toc96999258"/>
      <w:bookmarkStart w:id="5" w:name="_Toc102539901"/>
      <w:bookmarkStart w:id="6" w:name="_Toc103142975"/>
      <w:bookmarkStart w:id="7" w:name="_Toc103143804"/>
      <w:bookmarkStart w:id="8" w:name="_Toc267925758"/>
      <w:bookmarkStart w:id="9" w:name="_Toc268185838"/>
      <w:bookmarkStart w:id="10" w:name="_Toc268617472"/>
      <w:bookmarkStart w:id="11" w:name="_Toc2723090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spacing w:before="180"/>
        <w:rPr>
          <w:snapToGrid w:val="0"/>
        </w:rPr>
      </w:pPr>
      <w:bookmarkStart w:id="12" w:name="_Toc411734466"/>
      <w:bookmarkStart w:id="13" w:name="_Toc526934735"/>
      <w:bookmarkStart w:id="14" w:name="_Toc527777265"/>
      <w:bookmarkStart w:id="15" w:name="_Toc103143805"/>
      <w:bookmarkStart w:id="16" w:name="_Toc272309017"/>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 </w:t>
      </w:r>
      <w:r>
        <w:rPr>
          <w:snapToGrid w:val="0"/>
          <w:vertAlign w:val="superscript"/>
        </w:rPr>
        <w:t>1</w:t>
      </w:r>
      <w:r>
        <w:rPr>
          <w:snapToGrid w:val="0"/>
        </w:rPr>
        <w:t>.</w:t>
      </w:r>
    </w:p>
    <w:p>
      <w:pPr>
        <w:pStyle w:val="Heading5"/>
        <w:spacing w:before="180"/>
        <w:rPr>
          <w:snapToGrid w:val="0"/>
        </w:rPr>
      </w:pPr>
      <w:bookmarkStart w:id="17" w:name="_Toc411734467"/>
      <w:bookmarkStart w:id="18" w:name="_Toc526934736"/>
      <w:bookmarkStart w:id="19" w:name="_Toc527777266"/>
      <w:bookmarkStart w:id="20" w:name="_Toc103143806"/>
      <w:bookmarkStart w:id="21" w:name="_Toc272309018"/>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180"/>
        <w:rPr>
          <w:snapToGrid w:val="0"/>
        </w:rPr>
      </w:pPr>
      <w:bookmarkStart w:id="22" w:name="_Toc411734468"/>
      <w:bookmarkStart w:id="23" w:name="_Toc526934737"/>
      <w:bookmarkStart w:id="24" w:name="_Toc527777267"/>
      <w:bookmarkStart w:id="25" w:name="_Toc103143807"/>
      <w:bookmarkStart w:id="26" w:name="_Toc272309019"/>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tab/>
      </w:r>
      <w:r>
        <w:rPr>
          <w:rStyle w:val="CharDefText"/>
        </w:rPr>
        <w:t>Australian ship</w:t>
      </w:r>
      <w:r>
        <w:t xml:space="preserve"> means — </w:t>
      </w:r>
    </w:p>
    <w:p>
      <w:pPr>
        <w:pStyle w:val="Defpara"/>
        <w:spacing w:before="60"/>
      </w:pPr>
      <w:r>
        <w:tab/>
        <w:t>(a)</w:t>
      </w:r>
      <w:r>
        <w:tab/>
        <w:t>a ship registered in Australia;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 </w:t>
      </w:r>
    </w:p>
    <w:p>
      <w:pPr>
        <w:pStyle w:val="Defpara"/>
        <w:spacing w:before="60"/>
      </w:pPr>
      <w:r>
        <w:tab/>
        <w:t>(a)</w:t>
      </w:r>
      <w:r>
        <w:tab/>
        <w:t xml:space="preserve">a person who is an inspector for the purposes of the </w:t>
      </w:r>
      <w:r>
        <w:rPr>
          <w:i/>
        </w:rPr>
        <w:t>Western Australian Marine Act 1982</w:t>
      </w:r>
      <w:r>
        <w:t>;</w:t>
      </w:r>
    </w:p>
    <w:p>
      <w:pPr>
        <w:pStyle w:val="Defpara"/>
        <w:spacing w:before="60"/>
      </w:pPr>
      <w:r>
        <w:tab/>
        <w:t>(b)</w:t>
      </w:r>
      <w:r>
        <w:tab/>
        <w:t>a person who is appointed in writing by the Minister to be an inspector for the purposes of this Act;</w:t>
      </w:r>
    </w:p>
    <w:p>
      <w:pPr>
        <w:pStyle w:val="Defpara"/>
        <w:spacing w:before="60"/>
      </w:pPr>
      <w:r>
        <w:tab/>
        <w:t>(c)</w:t>
      </w:r>
      <w:r>
        <w:tab/>
        <w:t>a harbour master; or</w:t>
      </w:r>
    </w:p>
    <w:p>
      <w:pPr>
        <w:pStyle w:val="Defpara"/>
        <w:spacing w:before="60"/>
      </w:pPr>
      <w:r>
        <w:tab/>
        <w:t>(d)</w:t>
      </w:r>
      <w:r>
        <w:tab/>
        <w:t>a police office;</w:t>
      </w:r>
    </w:p>
    <w:p>
      <w:pPr>
        <w:pStyle w:val="Defstart"/>
      </w:pPr>
      <w:r>
        <w:rPr>
          <w:b/>
        </w:rPr>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 </w:t>
      </w:r>
    </w:p>
    <w:p>
      <w:pPr>
        <w:pStyle w:val="Defpara"/>
      </w:pPr>
      <w:r>
        <w:tab/>
        <w:t>(a)</w:t>
      </w:r>
      <w:r>
        <w:tab/>
        <w:t>in relation to a place on land, the person by whom or on whose behalf the place is actually occupied or if there is no such person the person entitled to possession of the place;</w:t>
      </w:r>
    </w:p>
    <w:p>
      <w:pPr>
        <w:pStyle w:val="Defpara"/>
      </w:pPr>
      <w:r>
        <w:tab/>
        <w:t>(b)</w:t>
      </w:r>
      <w:r>
        <w:tab/>
        <w:t>in relation to a vehicle, the person in charge or the owner of the vehicle, but not the occupier of the land on or over which the vehicle stands or moves; and</w:t>
      </w:r>
    </w:p>
    <w:p>
      <w:pPr>
        <w:pStyle w:val="Defpara"/>
      </w:pPr>
      <w:r>
        <w:tab/>
        <w:t>(c)</w:t>
      </w:r>
      <w:r>
        <w:tab/>
        <w:t>in relation to a place on land being a pipeline, the person who undertakes the carriage of oil or an oily mixture by means of the pipeline;</w:t>
      </w:r>
    </w:p>
    <w:p>
      <w:pPr>
        <w:pStyle w:val="Defstart"/>
      </w:pPr>
      <w:r>
        <w:rPr>
          <w:b/>
        </w:rPr>
        <w:tab/>
      </w:r>
      <w:r>
        <w:rPr>
          <w:rStyle w:val="CharDefText"/>
        </w:rPr>
        <w:t>place on land</w:t>
      </w:r>
      <w:r>
        <w:t xml:space="preserve"> includes — </w:t>
      </w:r>
    </w:p>
    <w:p>
      <w:pPr>
        <w:pStyle w:val="Defpara"/>
      </w:pPr>
      <w:r>
        <w:tab/>
        <w:t>(a)</w:t>
      </w:r>
      <w:r>
        <w:tab/>
        <w:t>any structure or apparatus on land;</w:t>
      </w:r>
    </w:p>
    <w:p>
      <w:pPr>
        <w:pStyle w:val="Defpara"/>
      </w:pPr>
      <w:r>
        <w:tab/>
        <w:t>(b)</w:t>
      </w:r>
      <w:r>
        <w:tab/>
        <w:t>any thing or vehicle resting on or moving over land;</w:t>
      </w:r>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pPr>
      <w:r>
        <w:rPr>
          <w:b/>
        </w:rPr>
        <w:tab/>
      </w:r>
      <w:r>
        <w:rPr>
          <w:rStyle w:val="CharDefText"/>
        </w:rPr>
        <w:t>the 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p>
    <w:p>
      <w:pPr>
        <w:pStyle w:val="Defstart"/>
      </w:pPr>
      <w:r>
        <w:rPr>
          <w:b/>
        </w:rPr>
        <w:tab/>
      </w:r>
      <w:r>
        <w:rPr>
          <w:rStyle w:val="CharDefText"/>
        </w:rPr>
        <w:t>the 1978 Protocol</w:t>
      </w:r>
      <w:r>
        <w:t xml:space="preserve"> means the Protocol of 1978 relating to the International Convention for the Prevention of Pollution from Ships, 1973 (a copy of the English text of which, apart from Annexes III, IV and V to it, is set out in Schedule 2) as affected by — </w:t>
      </w:r>
    </w:p>
    <w:p>
      <w:pPr>
        <w:pStyle w:val="Defpara"/>
      </w:pPr>
      <w:r>
        <w:tab/>
        <w:t>(a)</w:t>
      </w:r>
      <w:r>
        <w:tab/>
        <w:t>the amendments to the annex to the Protocol adopted on 7 September 1984 (a copy of the English text of which amendments is set out in Schedule 3);</w:t>
      </w:r>
    </w:p>
    <w:p>
      <w:pPr>
        <w:pStyle w:val="Defpara"/>
      </w:pPr>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p>
    <w:p>
      <w:pPr>
        <w:pStyle w:val="Defpara"/>
      </w:pPr>
      <w:r>
        <w:tab/>
        <w:t>(c)</w:t>
      </w:r>
      <w:r>
        <w:tab/>
        <w:t>any other amendment to the Protocol, other than an amendment not accepted by Australia, made under Article VI of the Protocol;</w:t>
      </w:r>
    </w:p>
    <w:p>
      <w:pPr>
        <w:pStyle w:val="Defstart"/>
      </w:pPr>
      <w:r>
        <w:rPr>
          <w:b/>
        </w:rPr>
        <w:tab/>
      </w:r>
      <w:r>
        <w:rPr>
          <w:rStyle w:val="CharDefText"/>
        </w:rPr>
        <w:t>this Act</w:t>
      </w:r>
      <w:r>
        <w:t xml:space="preserve"> includes the regulations and orders made in pursuance of the regulations;</w:t>
      </w:r>
    </w:p>
    <w:p>
      <w:pPr>
        <w:pStyle w:val="Defstart"/>
      </w:pPr>
      <w:r>
        <w:rPr>
          <w:b/>
        </w:rPr>
        <w:tab/>
      </w:r>
      <w:r>
        <w:rPr>
          <w:rStyle w:val="CharDefText"/>
        </w:rPr>
        <w:t>Tonnage Measurement Convention</w:t>
      </w:r>
      <w:r>
        <w:t xml:space="preserve"> has the same meaning as in Part XA of the </w:t>
      </w:r>
      <w:r>
        <w:rPr>
          <w:i/>
        </w:rPr>
        <w:t>Navigation Act 1912</w:t>
      </w:r>
      <w:r>
        <w:t xml:space="preserve"> of the Commonwealth;</w:t>
      </w:r>
    </w:p>
    <w:p>
      <w:pPr>
        <w:pStyle w:val="Defstart"/>
      </w:pPr>
      <w:r>
        <w:rPr>
          <w:b/>
        </w:rPr>
        <w:tab/>
      </w:r>
      <w:r>
        <w:rPr>
          <w:rStyle w:val="CharDefText"/>
        </w:rPr>
        <w:t>trading ship</w:t>
      </w:r>
      <w:r>
        <w:t xml:space="preserve"> has the same meaning as in the </w:t>
      </w:r>
      <w:r>
        <w:rPr>
          <w:i/>
        </w:rPr>
        <w:t>Western Australian Marine Act 1982</w:t>
      </w:r>
      <w:r>
        <w:t>.</w:t>
      </w:r>
    </w:p>
    <w:p>
      <w:pPr>
        <w:pStyle w:val="Subsection"/>
        <w:rPr>
          <w:snapToGrid w:val="0"/>
        </w:rPr>
      </w:pPr>
      <w:r>
        <w:rPr>
          <w:snapToGrid w:val="0"/>
        </w:rPr>
        <w:tab/>
        <w:t>(2)</w:t>
      </w:r>
      <w:r>
        <w:rPr>
          <w:snapToGrid w:val="0"/>
        </w:rPr>
        <w:tab/>
        <w:t>A reference in a section of this Act to a prescribed officer shall be read as a reference to the person for the time being occupying, or performing the duties of, an office in the Department or public authority of the State that deals with 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respective meanings as in the </w:t>
      </w:r>
      <w:r>
        <w:rPr>
          <w:i/>
          <w:snapToGrid w:val="0"/>
        </w:rPr>
        <w:t>Navigation Act 1912</w:t>
      </w:r>
      <w:r>
        <w:rPr>
          <w:snapToGrid w:val="0"/>
        </w:rPr>
        <w:t xml:space="preserve"> of the Commonwealth;</w:t>
      </w:r>
    </w:p>
    <w:p>
      <w:pPr>
        <w:pStyle w:val="Indenta"/>
        <w:rPr>
          <w:snapToGrid w:val="0"/>
        </w:rPr>
      </w:pPr>
      <w:r>
        <w:rPr>
          <w:snapToGrid w:val="0"/>
        </w:rPr>
        <w:tab/>
        <w:t>(b)</w:t>
      </w:r>
      <w:r>
        <w:rPr>
          <w:snapToGrid w:val="0"/>
        </w:rPr>
        <w:tab/>
        <w:t>an intra</w:t>
      </w:r>
      <w:r>
        <w:rPr>
          <w:snapToGrid w:val="0"/>
        </w:rPr>
        <w:noBreakHyphen/>
        <w:t>state voyage is a voyage other than an inter</w:t>
      </w:r>
      <w:r>
        <w:rPr>
          <w:snapToGrid w:val="0"/>
        </w:rPr>
        <w:noBreakHyphen/>
        <w:t>state voyage or an overseas voyage; and</w:t>
      </w:r>
    </w:p>
    <w:p>
      <w:pPr>
        <w:pStyle w:val="Indenta"/>
        <w:rPr>
          <w:snapToGrid w:val="0"/>
        </w:rPr>
      </w:pPr>
      <w:r>
        <w:rPr>
          <w:snapToGrid w:val="0"/>
        </w:rPr>
        <w:tab/>
        <w:t>(c)</w:t>
      </w:r>
      <w:r>
        <w:rPr>
          <w:snapToGrid w:val="0"/>
        </w:rPr>
        <w:tab/>
        <w:t>for the purposes of paragraphs (a) and (b), a ship shall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tab/>
        <w:t>(6)</w:t>
      </w:r>
      <w:r>
        <w:rPr>
          <w:snapToGrid w:val="0"/>
        </w:rPr>
        <w:tab/>
        <w:t>Where, at any time, the gross tonnage applicable to a ship has been determined otherwise than in accordance with the Tonnage Measurement 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 xml:space="preserve">[Section 3 amended by No. 46 of 1993 s. 46; No. 71 of 2003 s. 11.] </w:t>
      </w:r>
    </w:p>
    <w:p>
      <w:pPr>
        <w:pStyle w:val="Heading5"/>
        <w:rPr>
          <w:snapToGrid w:val="0"/>
        </w:rPr>
      </w:pPr>
      <w:bookmarkStart w:id="27" w:name="_Toc411734469"/>
      <w:bookmarkStart w:id="28" w:name="_Toc526934738"/>
      <w:bookmarkStart w:id="29" w:name="_Toc527777268"/>
      <w:bookmarkStart w:id="30" w:name="_Toc103143808"/>
      <w:bookmarkStart w:id="31" w:name="_Toc272309020"/>
      <w:r>
        <w:rPr>
          <w:rStyle w:val="CharSectno"/>
        </w:rPr>
        <w:t>4</w:t>
      </w:r>
      <w:r>
        <w:rPr>
          <w:snapToGrid w:val="0"/>
        </w:rPr>
        <w:t>.</w:t>
      </w:r>
      <w:r>
        <w:rPr>
          <w:snapToGrid w:val="0"/>
        </w:rPr>
        <w:tab/>
        <w:t>Act to bind Crown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This Act binds the Crown in right of Western Australia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32" w:name="_Toc411734470"/>
      <w:bookmarkStart w:id="33" w:name="_Toc526934739"/>
      <w:bookmarkStart w:id="34" w:name="_Toc527777269"/>
      <w:bookmarkStart w:id="35" w:name="_Toc103143809"/>
      <w:bookmarkStart w:id="36" w:name="_Toc272309021"/>
      <w:r>
        <w:rPr>
          <w:rStyle w:val="CharSectno"/>
        </w:rPr>
        <w:t>5</w:t>
      </w:r>
      <w:r>
        <w:rPr>
          <w:snapToGrid w:val="0"/>
        </w:rPr>
        <w:t>.</w:t>
      </w:r>
      <w:r>
        <w:rPr>
          <w:snapToGrid w:val="0"/>
        </w:rPr>
        <w:tab/>
        <w:t>Saving of other laws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37" w:name="_Toc411734471"/>
      <w:bookmarkStart w:id="38" w:name="_Toc526934740"/>
      <w:bookmarkStart w:id="39" w:name="_Toc527777270"/>
      <w:bookmarkStart w:id="40" w:name="_Toc103143810"/>
      <w:bookmarkStart w:id="41" w:name="_Toc272309022"/>
      <w:r>
        <w:rPr>
          <w:rStyle w:val="CharSectno"/>
        </w:rPr>
        <w:t>6</w:t>
      </w:r>
      <w:r>
        <w:rPr>
          <w:snapToGrid w:val="0"/>
        </w:rPr>
        <w:t>.</w:t>
      </w:r>
      <w:r>
        <w:rPr>
          <w:snapToGrid w:val="0"/>
        </w:rPr>
        <w:tab/>
        <w:t>Delegation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 by No. 71 of 2003 s. 12.]</w:t>
      </w:r>
    </w:p>
    <w:p>
      <w:pPr>
        <w:pStyle w:val="Heading2"/>
      </w:pPr>
      <w:bookmarkStart w:id="42" w:name="_Toc89495323"/>
      <w:bookmarkStart w:id="43" w:name="_Toc89495388"/>
      <w:bookmarkStart w:id="44" w:name="_Toc89582545"/>
      <w:bookmarkStart w:id="45" w:name="_Toc96999265"/>
      <w:bookmarkStart w:id="46" w:name="_Toc102539908"/>
      <w:bookmarkStart w:id="47" w:name="_Toc103142982"/>
      <w:bookmarkStart w:id="48" w:name="_Toc103143811"/>
      <w:bookmarkStart w:id="49" w:name="_Toc267925765"/>
      <w:bookmarkStart w:id="50" w:name="_Toc268185845"/>
      <w:bookmarkStart w:id="51" w:name="_Toc268617479"/>
      <w:bookmarkStart w:id="52" w:name="_Toc272309023"/>
      <w:r>
        <w:rPr>
          <w:rStyle w:val="CharPartNo"/>
        </w:rPr>
        <w:t>Part II</w:t>
      </w:r>
      <w:r>
        <w:rPr>
          <w:rStyle w:val="CharDivNo"/>
        </w:rPr>
        <w:t> </w:t>
      </w:r>
      <w:r>
        <w:t>—</w:t>
      </w:r>
      <w:r>
        <w:rPr>
          <w:rStyle w:val="CharDivText"/>
        </w:rPr>
        <w:t> </w:t>
      </w:r>
      <w:r>
        <w:rPr>
          <w:rStyle w:val="CharPartText"/>
        </w:rPr>
        <w:t>Pollution by oil</w:t>
      </w:r>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11734472"/>
      <w:bookmarkStart w:id="54" w:name="_Toc526934741"/>
      <w:bookmarkStart w:id="55" w:name="_Toc527777271"/>
      <w:bookmarkStart w:id="56" w:name="_Toc103143812"/>
      <w:bookmarkStart w:id="57" w:name="_Toc272309024"/>
      <w:r>
        <w:rPr>
          <w:rStyle w:val="CharSectno"/>
        </w:rPr>
        <w:t>7</w:t>
      </w:r>
      <w:r>
        <w:rPr>
          <w:snapToGrid w:val="0"/>
        </w:rPr>
        <w:t>.</w:t>
      </w:r>
      <w:r>
        <w:rPr>
          <w:snapToGrid w:val="0"/>
        </w:rPr>
        <w:tab/>
        <w:t>Interpretation</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58" w:name="_Toc411734473"/>
      <w:bookmarkStart w:id="59" w:name="_Toc526934742"/>
      <w:bookmarkStart w:id="60" w:name="_Toc527777272"/>
      <w:bookmarkStart w:id="61" w:name="_Toc103143813"/>
      <w:bookmarkStart w:id="62" w:name="_Toc272309025"/>
      <w:r>
        <w:rPr>
          <w:rStyle w:val="CharSectno"/>
        </w:rPr>
        <w:t>8</w:t>
      </w:r>
      <w:r>
        <w:rPr>
          <w:snapToGrid w:val="0"/>
        </w:rPr>
        <w:t>.</w:t>
      </w:r>
      <w:r>
        <w:rPr>
          <w:snapToGrid w:val="0"/>
        </w:rPr>
        <w:tab/>
        <w:t>Prohibition of discharge of oil or oily mixtures into State waters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(4)</w:t>
      </w:r>
      <w:r>
        <w:rPr>
          <w:snapToGrid w:val="0"/>
        </w:rPr>
        <w:tab/>
        <w:t>Subsection (1) does not apply to the discharge of oil or of an oily mixture from a ship — </w:t>
      </w:r>
    </w:p>
    <w:p>
      <w:pPr>
        <w:pStyle w:val="Indenta"/>
        <w:rPr>
          <w:snapToGrid w:val="0"/>
        </w:rPr>
      </w:pPr>
      <w:r>
        <w:rPr>
          <w:snapToGrid w:val="0"/>
        </w:rPr>
        <w:tab/>
        <w:t>(a)</w:t>
      </w:r>
      <w:r>
        <w:rPr>
          <w:snapToGrid w:val="0"/>
        </w:rPr>
        <w:tab/>
        <w:t>for the purpose of securing the safety of a ship or saving life at sea;</w:t>
      </w:r>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 </w:t>
      </w:r>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tab/>
        <w:t>(iii)</w:t>
      </w:r>
      <w:r>
        <w:rPr>
          <w:snapToGrid w:val="0"/>
        </w:rPr>
        <w:tab/>
        <w:t>the instantaneous rate of discharge of oil content does not exceed 60 litres per nautical mile;</w:t>
      </w:r>
    </w:p>
    <w:p>
      <w:pPr>
        <w:pStyle w:val="Indenti"/>
        <w:rPr>
          <w:snapToGrid w:val="0"/>
        </w:rPr>
      </w:pPr>
      <w:r>
        <w:rPr>
          <w:snapToGrid w:val="0"/>
        </w:rPr>
        <w:tab/>
        <w:t>(iv)</w:t>
      </w:r>
      <w:r>
        <w:rPr>
          <w:snapToGrid w:val="0"/>
        </w:rPr>
        <w:tab/>
        <w:t>the total quantity of oil discharged into the waters does not exceed — </w:t>
      </w:r>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rPr>
          <w:snapToGrid w:val="0"/>
        </w:rPr>
      </w:pPr>
      <w:r>
        <w:rPr>
          <w:snapToGrid w:val="0"/>
        </w:rPr>
        <w:tab/>
        <w:t>(v)</w:t>
      </w:r>
      <w:r>
        <w:rPr>
          <w:snapToGrid w:val="0"/>
        </w:rPr>
        <w:tab/>
        <w:t xml:space="preserve">the oil tanker has in operation an oil discharge monitoring and control system and a slop tank arrangement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 </w:t>
      </w:r>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rPr>
          <w:snapToGrid w:val="0"/>
        </w:rPr>
      </w:pPr>
      <w:r>
        <w:rPr>
          <w:snapToGrid w:val="0"/>
        </w:rPr>
        <w:tab/>
        <w:t>(iv)</w:t>
      </w:r>
      <w:r>
        <w:rPr>
          <w:snapToGrid w:val="0"/>
        </w:rPr>
        <w:tab/>
        <w:t>the ship has in operation an oil discharge monitoring and control system, oily</w:t>
      </w:r>
      <w:r>
        <w:rPr>
          <w:snapToGrid w:val="0"/>
        </w:rPr>
        <w:noBreakHyphen/>
        <w:t xml:space="preserve">water separating equipment, oil filtering equipment or other installation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w:t>
      </w:r>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t>(f)</w:t>
      </w:r>
      <w:r>
        <w:rPr>
          <w:snapToGrid w:val="0"/>
        </w:rPr>
        <w:tab/>
        <w:t>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w:t>
      </w:r>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 </w:t>
      </w:r>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 </w:t>
      </w:r>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 </w:t>
      </w:r>
    </w:p>
    <w:p>
      <w:pPr>
        <w:pStyle w:val="IndentI0"/>
        <w:rPr>
          <w:snapToGrid w:val="0"/>
        </w:rPr>
      </w:pPr>
      <w:r>
        <w:rPr>
          <w:snapToGrid w:val="0"/>
        </w:rPr>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the discharge is made as far as practicable from land and is not less than 12 nautical miles from the nearest land;</w:t>
      </w:r>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 </w:t>
      </w:r>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Where a person is charged as the occupier of a place on land with an offence against subsection (2), or as the person in charge of any apparatus with an offence against subsection (3), it is a defence to the charge if the person proves that the escape 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Heading5"/>
        <w:rPr>
          <w:snapToGrid w:val="0"/>
        </w:rPr>
      </w:pPr>
      <w:bookmarkStart w:id="63" w:name="_Toc411734474"/>
      <w:bookmarkStart w:id="64" w:name="_Toc526934743"/>
      <w:bookmarkStart w:id="65" w:name="_Toc527777273"/>
      <w:bookmarkStart w:id="66" w:name="_Toc103143814"/>
      <w:bookmarkStart w:id="67" w:name="_Toc272309026"/>
      <w:r>
        <w:rPr>
          <w:rStyle w:val="CharSectno"/>
        </w:rPr>
        <w:t>9</w:t>
      </w:r>
      <w:r>
        <w:rPr>
          <w:snapToGrid w:val="0"/>
        </w:rPr>
        <w:t>.</w:t>
      </w:r>
      <w:r>
        <w:rPr>
          <w:snapToGrid w:val="0"/>
        </w:rPr>
        <w:tab/>
        <w:t>Prohibition of discharge of oil or oily mixtures during transfer operations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 </w:t>
      </w:r>
    </w:p>
    <w:p>
      <w:pPr>
        <w:pStyle w:val="Indenta"/>
        <w:rPr>
          <w:snapToGrid w:val="0"/>
        </w:rPr>
      </w:pPr>
      <w:r>
        <w:rPr>
          <w:snapToGrid w:val="0"/>
        </w:rPr>
        <w:tab/>
        <w:t>(a)</w:t>
      </w:r>
      <w:r>
        <w:rPr>
          <w:snapToGrid w:val="0"/>
        </w:rPr>
        <w:tab/>
        <w:t>occurred in a ship, the owner and the master of the ship each commits an offence;</w:t>
      </w:r>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68" w:name="_Toc411734475"/>
      <w:bookmarkStart w:id="69" w:name="_Toc526934744"/>
      <w:bookmarkStart w:id="70" w:name="_Toc527777274"/>
      <w:bookmarkStart w:id="71" w:name="_Toc103143815"/>
      <w:bookmarkStart w:id="72" w:name="_Toc272309027"/>
      <w:r>
        <w:rPr>
          <w:rStyle w:val="CharSectno"/>
        </w:rPr>
        <w:t>10</w:t>
      </w:r>
      <w:r>
        <w:rPr>
          <w:snapToGrid w:val="0"/>
        </w:rPr>
        <w:t>.</w:t>
      </w:r>
      <w:r>
        <w:rPr>
          <w:snapToGrid w:val="0"/>
        </w:rPr>
        <w:tab/>
        <w:t>Oil residues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Oil residues may be discharged from a ship to a reception facility provided in accordance with Regulation 12 of Annex I to the Convention.</w:t>
      </w:r>
    </w:p>
    <w:p>
      <w:pPr>
        <w:pStyle w:val="Heading5"/>
        <w:rPr>
          <w:snapToGrid w:val="0"/>
        </w:rPr>
      </w:pPr>
      <w:bookmarkStart w:id="73" w:name="_Toc411734476"/>
      <w:bookmarkStart w:id="74" w:name="_Toc526934745"/>
      <w:bookmarkStart w:id="75" w:name="_Toc527777275"/>
      <w:bookmarkStart w:id="76" w:name="_Toc103143816"/>
      <w:bookmarkStart w:id="77" w:name="_Toc272309028"/>
      <w:r>
        <w:rPr>
          <w:rStyle w:val="CharSectno"/>
        </w:rPr>
        <w:t>11</w:t>
      </w:r>
      <w:r>
        <w:rPr>
          <w:snapToGrid w:val="0"/>
        </w:rPr>
        <w:t>.</w:t>
      </w:r>
      <w:r>
        <w:rPr>
          <w:snapToGrid w:val="0"/>
        </w:rPr>
        <w:tab/>
        <w:t>Duty to report certain incidents involving oil or an oily mixture</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 </w:t>
      </w:r>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tab/>
        <w:t>(4)</w:t>
      </w:r>
      <w:r>
        <w:rPr>
          <w:snapToGrid w:val="0"/>
        </w:rPr>
        <w:tab/>
        <w:t>In a prosecution of a person for an offence against subsection (3) in relation to a prescribed incident in relation to a ship, it is a defence if the person proves —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 xml:space="preserve">A notice given to a prescribed officer pursuant to subsection (1) or (3), and a report furnished to a prescribed officer pursuant to subsection (6) or (7), shall not, without the consent of the person charged, be admitted in evidence in a prosecution for an offence against section 8(1). </w:t>
      </w:r>
    </w:p>
    <w:p>
      <w:pPr>
        <w:pStyle w:val="Subsection"/>
        <w:rPr>
          <w:snapToGrid w:val="0"/>
        </w:rPr>
      </w:pPr>
      <w:r>
        <w:rPr>
          <w:snapToGrid w:val="0"/>
        </w:rPr>
        <w:tab/>
        <w:t>(10)</w:t>
      </w:r>
      <w:r>
        <w:rPr>
          <w:snapToGrid w:val="0"/>
        </w:rPr>
        <w:tab/>
        <w:t xml:space="preserve">In this section, </w:t>
      </w:r>
      <w:r>
        <w:rPr>
          <w:rStyle w:val="CharDefText"/>
        </w:rPr>
        <w:t>prescribed incident</w:t>
      </w:r>
      <w:r>
        <w:rPr>
          <w:snapToGrid w:val="0"/>
        </w:rPr>
        <w:t>, in relation to a ship, means — </w:t>
      </w:r>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78" w:name="_Toc411734477"/>
      <w:bookmarkStart w:id="79" w:name="_Toc526934746"/>
      <w:bookmarkStart w:id="80" w:name="_Toc527777276"/>
      <w:bookmarkStart w:id="81" w:name="_Toc103143817"/>
      <w:bookmarkStart w:id="82" w:name="_Toc272309029"/>
      <w:r>
        <w:rPr>
          <w:rStyle w:val="CharSectno"/>
        </w:rPr>
        <w:t>12</w:t>
      </w:r>
      <w:r>
        <w:rPr>
          <w:snapToGrid w:val="0"/>
        </w:rPr>
        <w:t>.</w:t>
      </w:r>
      <w:r>
        <w:rPr>
          <w:snapToGrid w:val="0"/>
        </w:rPr>
        <w:tab/>
        <w:t>Duty to report discharge of certain substances from land or apparatus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notice given to a prescribed officer in pursuance of subsection (1), and a report furnished to a prescribed officer in pursuance of a request made under subsection (2), shall not, without the consent of the person charged, be admitted in evidence in a prosecution for an offence against section 8(2) or 9(2).</w:t>
      </w:r>
    </w:p>
    <w:p>
      <w:pPr>
        <w:pStyle w:val="Heading5"/>
        <w:rPr>
          <w:snapToGrid w:val="0"/>
        </w:rPr>
      </w:pPr>
      <w:bookmarkStart w:id="83" w:name="_Toc411734478"/>
      <w:bookmarkStart w:id="84" w:name="_Toc526934747"/>
      <w:bookmarkStart w:id="85" w:name="_Toc527777277"/>
      <w:bookmarkStart w:id="86" w:name="_Toc103143818"/>
      <w:bookmarkStart w:id="87" w:name="_Toc272309030"/>
      <w:r>
        <w:rPr>
          <w:rStyle w:val="CharSectno"/>
        </w:rPr>
        <w:t>13</w:t>
      </w:r>
      <w:r>
        <w:rPr>
          <w:snapToGrid w:val="0"/>
        </w:rPr>
        <w:t>.</w:t>
      </w:r>
      <w:r>
        <w:rPr>
          <w:snapToGrid w:val="0"/>
        </w:rPr>
        <w:tab/>
        <w:t>Oil record book</w:t>
      </w:r>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proceeding on a voyage other than an overseas voyage; or</w:t>
      </w:r>
    </w:p>
    <w:p>
      <w:pPr>
        <w:pStyle w:val="Indenta"/>
        <w:rPr>
          <w:snapToGrid w:val="0"/>
        </w:rPr>
      </w:pPr>
      <w:r>
        <w:rPr>
          <w:snapToGrid w:val="0"/>
        </w:rPr>
        <w:tab/>
        <w:t>(c)</w:t>
      </w:r>
      <w:r>
        <w:rPr>
          <w:snapToGrid w:val="0"/>
        </w:rPr>
        <w:tab/>
        <w:t>a pleasure vessel,</w:t>
      </w:r>
    </w:p>
    <w:p>
      <w:pPr>
        <w:pStyle w:val="Subsection"/>
        <w:rPr>
          <w:snapToGrid w:val="0"/>
        </w:rPr>
      </w:pPr>
      <w:r>
        <w:rPr>
          <w:snapToGrid w:val="0"/>
        </w:rPr>
        <w:tab/>
      </w:r>
      <w:r>
        <w:rPr>
          <w:snapToGrid w:val="0"/>
        </w:rPr>
        <w:tab/>
        <w:t>that — </w:t>
      </w:r>
    </w:p>
    <w:p>
      <w:pPr>
        <w:pStyle w:val="Indenta"/>
        <w:rPr>
          <w:snapToGrid w:val="0"/>
        </w:rPr>
      </w:pPr>
      <w:r>
        <w:rPr>
          <w:snapToGrid w:val="0"/>
        </w:rPr>
        <w:tab/>
        <w:t>(aa)</w:t>
      </w:r>
      <w:r>
        <w:rPr>
          <w:snapToGrid w:val="0"/>
        </w:rPr>
        <w:tab/>
        <w:t>is an oil tanker; or</w:t>
      </w:r>
    </w:p>
    <w:p>
      <w:pPr>
        <w:pStyle w:val="Indenta"/>
        <w:rPr>
          <w:snapToGrid w:val="0"/>
        </w:rPr>
      </w:pPr>
      <w:r>
        <w:rPr>
          <w:snapToGrid w:val="0"/>
        </w:rPr>
        <w:tab/>
        <w:t>(bb)</w:t>
      </w:r>
      <w:r>
        <w:rPr>
          <w:snapToGrid w:val="0"/>
        </w:rP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Whenever a prescribed operation or prescribed occurrence is carried out or occurs in, or in relation to, a ship to which this 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rPr>
          <w:snapToGrid w:val="0"/>
        </w:rPr>
      </w:pPr>
      <w:r>
        <w:rPr>
          <w:snapToGrid w:val="0"/>
        </w:rPr>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88" w:name="_Toc411734479"/>
      <w:bookmarkStart w:id="89" w:name="_Toc526934748"/>
      <w:bookmarkStart w:id="90" w:name="_Toc527777278"/>
      <w:bookmarkStart w:id="91" w:name="_Toc103143819"/>
      <w:bookmarkStart w:id="92" w:name="_Toc272309031"/>
      <w:r>
        <w:rPr>
          <w:rStyle w:val="CharSectno"/>
        </w:rPr>
        <w:t>14</w:t>
      </w:r>
      <w:r>
        <w:rPr>
          <w:snapToGrid w:val="0"/>
        </w:rPr>
        <w:t>.</w:t>
      </w:r>
      <w:r>
        <w:rPr>
          <w:snapToGrid w:val="0"/>
        </w:rPr>
        <w:tab/>
        <w:t>False entries in oil record book</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93" w:name="_Toc411734480"/>
      <w:bookmarkStart w:id="94" w:name="_Toc526934749"/>
      <w:bookmarkStart w:id="95" w:name="_Toc527777279"/>
      <w:bookmarkStart w:id="96" w:name="_Toc103143820"/>
      <w:bookmarkStart w:id="97" w:name="_Toc272309032"/>
      <w:r>
        <w:rPr>
          <w:rStyle w:val="CharSectno"/>
        </w:rPr>
        <w:t>15</w:t>
      </w:r>
      <w:r>
        <w:rPr>
          <w:snapToGrid w:val="0"/>
        </w:rPr>
        <w:t>.</w:t>
      </w:r>
      <w:r>
        <w:rPr>
          <w:snapToGrid w:val="0"/>
        </w:rPr>
        <w:tab/>
        <w:t>Oil record book to be retained</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owner of a ship to which section 13 applies shall cause each of the ship’s oil record books to be retained —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 </w:t>
      </w:r>
    </w:p>
    <w:p>
      <w:pPr>
        <w:pStyle w:val="Indenta"/>
        <w:rPr>
          <w:snapToGrid w:val="0"/>
        </w:rPr>
      </w:pPr>
      <w:r>
        <w:rPr>
          <w:snapToGrid w:val="0"/>
        </w:rPr>
        <w:tab/>
        <w:t>(a)</w:t>
      </w:r>
      <w:r>
        <w:rPr>
          <w:snapToGrid w:val="0"/>
        </w:rPr>
        <w:tab/>
        <w:t>the place in the State at which he so resides;</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98" w:name="_Toc89495333"/>
      <w:bookmarkStart w:id="99" w:name="_Toc89495398"/>
      <w:bookmarkStart w:id="100" w:name="_Toc89582555"/>
      <w:bookmarkStart w:id="101" w:name="_Toc96999275"/>
      <w:bookmarkStart w:id="102" w:name="_Toc102539918"/>
      <w:bookmarkStart w:id="103" w:name="_Toc103142992"/>
      <w:bookmarkStart w:id="104" w:name="_Toc103143821"/>
      <w:bookmarkStart w:id="105" w:name="_Toc267925775"/>
      <w:bookmarkStart w:id="106" w:name="_Toc268185855"/>
      <w:bookmarkStart w:id="107" w:name="_Toc268617489"/>
      <w:bookmarkStart w:id="108" w:name="_Toc272309033"/>
      <w:r>
        <w:rPr>
          <w:rStyle w:val="CharPartNo"/>
        </w:rPr>
        <w:t>Part III</w:t>
      </w:r>
      <w:r>
        <w:rPr>
          <w:rStyle w:val="CharDivNo"/>
        </w:rPr>
        <w:t> </w:t>
      </w:r>
      <w:r>
        <w:t>—</w:t>
      </w:r>
      <w:r>
        <w:rPr>
          <w:rStyle w:val="CharDivText"/>
        </w:rPr>
        <w:t> </w:t>
      </w:r>
      <w:r>
        <w:rPr>
          <w:rStyle w:val="CharPartText"/>
        </w:rPr>
        <w:t>Pollution by noxious substances</w:t>
      </w:r>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11734481"/>
      <w:bookmarkStart w:id="110" w:name="_Toc526934750"/>
      <w:bookmarkStart w:id="111" w:name="_Toc527777280"/>
      <w:bookmarkStart w:id="112" w:name="_Toc103143822"/>
      <w:bookmarkStart w:id="113" w:name="_Toc272309034"/>
      <w:r>
        <w:rPr>
          <w:rStyle w:val="CharSectno"/>
        </w:rPr>
        <w:t>16</w:t>
      </w:r>
      <w:r>
        <w:rPr>
          <w:snapToGrid w:val="0"/>
        </w:rPr>
        <w:t>.</w:t>
      </w:r>
      <w:r>
        <w:rPr>
          <w:snapToGrid w:val="0"/>
        </w:rPr>
        <w:tab/>
        <w:t>Interpretation</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this Part and in section 28 — </w:t>
      </w:r>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114" w:name="_Toc411734482"/>
      <w:bookmarkStart w:id="115" w:name="_Toc526934751"/>
      <w:bookmarkStart w:id="116" w:name="_Toc527777281"/>
      <w:bookmarkStart w:id="117" w:name="_Toc103143823"/>
      <w:bookmarkStart w:id="118" w:name="_Toc272309035"/>
      <w:r>
        <w:rPr>
          <w:rStyle w:val="CharSectno"/>
        </w:rPr>
        <w:t>17</w:t>
      </w:r>
      <w:r>
        <w:rPr>
          <w:snapToGrid w:val="0"/>
        </w:rPr>
        <w:t>.</w:t>
      </w:r>
      <w:r>
        <w:rPr>
          <w:snapToGrid w:val="0"/>
        </w:rPr>
        <w:tab/>
        <w:t>Application of Act to mixture of oil and liquid substance</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119" w:name="_Toc411734483"/>
      <w:bookmarkStart w:id="120" w:name="_Toc526934752"/>
      <w:bookmarkStart w:id="121" w:name="_Toc527777282"/>
      <w:bookmarkStart w:id="122" w:name="_Toc103143824"/>
      <w:bookmarkStart w:id="123" w:name="_Toc272309036"/>
      <w:r>
        <w:rPr>
          <w:rStyle w:val="CharSectno"/>
        </w:rPr>
        <w:t>18</w:t>
      </w:r>
      <w:r>
        <w:rPr>
          <w:snapToGrid w:val="0"/>
        </w:rPr>
        <w:t>.</w:t>
      </w:r>
      <w:r>
        <w:rPr>
          <w:snapToGrid w:val="0"/>
        </w:rPr>
        <w:tab/>
        <w:t>Categories of noxious liquid substances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124" w:name="_Toc411734484"/>
      <w:bookmarkStart w:id="125" w:name="_Toc526934753"/>
      <w:bookmarkStart w:id="126" w:name="_Toc527777283"/>
      <w:bookmarkStart w:id="127" w:name="_Toc103143825"/>
      <w:bookmarkStart w:id="128" w:name="_Toc272309037"/>
      <w:r>
        <w:rPr>
          <w:rStyle w:val="CharSectno"/>
        </w:rPr>
        <w:t>19</w:t>
      </w:r>
      <w:r>
        <w:rPr>
          <w:snapToGrid w:val="0"/>
        </w:rPr>
        <w:t>.</w:t>
      </w:r>
      <w:r>
        <w:rPr>
          <w:snapToGrid w:val="0"/>
        </w:rPr>
        <w:tab/>
        <w:t>Appendix III substances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129" w:name="_Toc411734485"/>
      <w:bookmarkStart w:id="130" w:name="_Toc526934754"/>
      <w:bookmarkStart w:id="131" w:name="_Toc527777284"/>
      <w:bookmarkStart w:id="132" w:name="_Toc103143826"/>
      <w:bookmarkStart w:id="133" w:name="_Toc272309038"/>
      <w:r>
        <w:rPr>
          <w:rStyle w:val="CharSectno"/>
        </w:rPr>
        <w:t>20</w:t>
      </w:r>
      <w:r>
        <w:rPr>
          <w:snapToGrid w:val="0"/>
        </w:rPr>
        <w:t>.</w:t>
      </w:r>
      <w:r>
        <w:rPr>
          <w:snapToGrid w:val="0"/>
        </w:rPr>
        <w:tab/>
        <w:t>Prohibition of discharge of substances into State waters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 </w:t>
      </w:r>
    </w:p>
    <w:p>
      <w:pPr>
        <w:pStyle w:val="Indenta"/>
        <w:rPr>
          <w:snapToGrid w:val="0"/>
        </w:rPr>
      </w:pPr>
      <w:r>
        <w:rPr>
          <w:snapToGrid w:val="0"/>
        </w:rPr>
        <w:tab/>
        <w:t>(a)</w:t>
      </w:r>
      <w:r>
        <w:rPr>
          <w:snapToGrid w:val="0"/>
        </w:rPr>
        <w:tab/>
        <w:t>for the purpose of securing the safety of a ship or saving life at sea;</w:t>
      </w:r>
    </w:p>
    <w:p>
      <w:pPr>
        <w:pStyle w:val="Indenta"/>
        <w:rPr>
          <w:snapToGrid w:val="0"/>
        </w:rPr>
      </w:pPr>
      <w:r>
        <w:rPr>
          <w:snapToGrid w:val="0"/>
        </w:rPr>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rPr>
          <w:snapToGrid w:val="0"/>
        </w:rPr>
      </w:pPr>
      <w:r>
        <w:rPr>
          <w:snapToGrid w:val="0"/>
        </w:rPr>
        <w:tab/>
        <w:t>(4)</w:t>
      </w:r>
      <w:r>
        <w:rPr>
          <w:snapToGrid w:val="0"/>
        </w:rPr>
        <w:tab/>
        <w:t>Without limiting the generality of subsection (2), (5) or (12) but subject to subsection (13), where — </w:t>
      </w:r>
    </w:p>
    <w:p>
      <w:pPr>
        <w:pStyle w:val="Indenta"/>
        <w:rPr>
          <w:snapToGrid w:val="0"/>
        </w:rPr>
      </w:pPr>
      <w:r>
        <w:rPr>
          <w:snapToGrid w:val="0"/>
        </w:rPr>
        <w:tab/>
        <w:t>(a)</w:t>
      </w:r>
      <w:r>
        <w:rPr>
          <w:snapToGrid w:val="0"/>
        </w:rPr>
        <w:tab/>
        <w:t xml:space="preserve">the tank of a ship that held a substance in Category A or a mixture containing a substance in Category A has been cleaned in accordance with regulations made under section 26; </w:t>
      </w:r>
    </w:p>
    <w:p>
      <w:pPr>
        <w:pStyle w:val="Indenta"/>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 </w:t>
      </w:r>
    </w:p>
    <w:p>
      <w:pPr>
        <w:pStyle w:val="Indenta"/>
        <w:rPr>
          <w:snapToGrid w:val="0"/>
        </w:rPr>
      </w:pPr>
      <w:r>
        <w:rPr>
          <w:snapToGrid w:val="0"/>
        </w:rPr>
        <w:tab/>
        <w:t>(d)</w:t>
      </w:r>
      <w:r>
        <w:rPr>
          <w:snapToGrid w:val="0"/>
        </w:rPr>
        <w:tab/>
        <w:t>the discharge is made when the ship is not within a special area;</w:t>
      </w:r>
    </w:p>
    <w:p>
      <w:pPr>
        <w:pStyle w:val="Indenta"/>
        <w:rPr>
          <w:snapToGrid w:val="0"/>
        </w:rPr>
      </w:pPr>
      <w:r>
        <w:rPr>
          <w:snapToGrid w:val="0"/>
        </w:rPr>
        <w:tab/>
        <w:t>(e)</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the discharge is made when the ship is at a distance of not less than 12 nautical miles from the nearest land and is in a depth of water of not less than 25 metres.</w:t>
      </w:r>
    </w:p>
    <w:p>
      <w:pPr>
        <w:pStyle w:val="Subsection"/>
        <w:rPr>
          <w:snapToGrid w:val="0"/>
        </w:rPr>
      </w:pPr>
      <w:r>
        <w:rPr>
          <w:snapToGrid w:val="0"/>
        </w:rPr>
        <w:tab/>
        <w:t>(5)</w:t>
      </w:r>
      <w:r>
        <w:rPr>
          <w:snapToGrid w:val="0"/>
        </w:rPr>
        <w:tab/>
        <w:t>Without limiting the generality of subsection (2), (4) or (12) but subject to subsection (13), where — </w:t>
      </w:r>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w:t>
      </w:r>
    </w:p>
    <w:p>
      <w:pPr>
        <w:pStyle w:val="Indenta"/>
        <w:rPr>
          <w:snapToGrid w:val="0"/>
        </w:rPr>
      </w:pPr>
      <w:r>
        <w:rPr>
          <w:snapToGrid w:val="0"/>
        </w:rPr>
        <w:tab/>
        <w:t>(b)</w:t>
      </w:r>
      <w:r>
        <w:rPr>
          <w:snapToGrid w:val="0"/>
        </w:rPr>
        <w:tab/>
        <w:t>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substance in column IV of Appendix II to Annex II and until the tank is empty; and</w:t>
      </w:r>
    </w:p>
    <w:p>
      <w:pPr>
        <w:pStyle w:val="Indenta"/>
        <w:rPr>
          <w:snapToGrid w:val="0"/>
        </w:rPr>
      </w:pPr>
      <w:r>
        <w:rPr>
          <w:snapToGrid w:val="0"/>
        </w:rPr>
        <w:tab/>
        <w:t>(c)</w:t>
      </w:r>
      <w:r>
        <w:rPr>
          <w:snapToGrid w:val="0"/>
        </w:rPr>
        <w:tab/>
        <w:t xml:space="preserve">the residue then remaining in the tank has been subsequently diluted by the addition of a volume of water, </w:t>
      </w:r>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 </w:t>
      </w:r>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not within a special area;</w:t>
      </w:r>
    </w:p>
    <w:p>
      <w:pPr>
        <w:pStyle w:val="Indenta"/>
        <w:rPr>
          <w:snapToGrid w:val="0"/>
        </w:rPr>
      </w:pPr>
      <w:r>
        <w:rPr>
          <w:snapToGrid w:val="0"/>
        </w:rPr>
        <w:tab/>
        <w:t>(d)</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1 cubic metre or 1 part in 3 000 parts of the tank capacity in cubic metres, whichever is the greater;</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metres.</w:t>
      </w:r>
    </w:p>
    <w:p>
      <w:pPr>
        <w:pStyle w:val="Subsection"/>
        <w:rPr>
          <w:snapToGrid w:val="0"/>
        </w:rPr>
      </w:pPr>
      <w:r>
        <w:rPr>
          <w:snapToGrid w:val="0"/>
        </w:rPr>
        <w:tab/>
        <w:t>(7)</w:t>
      </w:r>
      <w:r>
        <w:rPr>
          <w:snapToGrid w:val="0"/>
        </w:rPr>
        <w:tab/>
        <w:t>Without limiting the generality of subsection (2), (6) or (12) but subject to subsection (13), where — </w:t>
      </w:r>
    </w:p>
    <w:p>
      <w:pPr>
        <w:pStyle w:val="Indenta"/>
        <w:rPr>
          <w:snapToGrid w:val="0"/>
        </w:rPr>
      </w:pPr>
      <w:r>
        <w:rPr>
          <w:snapToGrid w:val="0"/>
        </w:rPr>
        <w:tab/>
        <w:t>(a)</w:t>
      </w:r>
      <w:r>
        <w:rPr>
          <w:snapToGrid w:val="0"/>
        </w:rPr>
        <w:tab/>
        <w:t>the tank of a ship that held — </w:t>
      </w:r>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not within a special area;</w:t>
      </w:r>
    </w:p>
    <w:p>
      <w:pPr>
        <w:pStyle w:val="Indenta"/>
        <w:rPr>
          <w:snapToGrid w:val="0"/>
        </w:rPr>
      </w:pPr>
      <w:r>
        <w:rPr>
          <w:snapToGrid w:val="0"/>
        </w:rPr>
        <w:tab/>
        <w:t>(d)</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3 cubic metres or 1 part in 1 000 parts of the tank capacity in cubic metres, whichever is the greater;</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metres.</w:t>
      </w:r>
    </w:p>
    <w:p>
      <w:pPr>
        <w:pStyle w:val="Subsection"/>
        <w:rPr>
          <w:snapToGrid w:val="0"/>
        </w:rPr>
      </w:pPr>
      <w:r>
        <w:rPr>
          <w:snapToGrid w:val="0"/>
        </w:rPr>
        <w:tab/>
        <w:t>(9)</w:t>
      </w:r>
      <w:r>
        <w:rPr>
          <w:snapToGrid w:val="0"/>
        </w:rPr>
        <w:tab/>
        <w:t>Without limiting the generality of subsection (2), (8) or (12) but subject to subsection (13), subsection (1) does not apply to the discharge from a ship of —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keepNext/>
        <w:spacing w:before="80"/>
        <w:rPr>
          <w:snapToGrid w:val="0"/>
        </w:rPr>
      </w:pPr>
      <w:r>
        <w:rPr>
          <w:snapToGrid w:val="0"/>
        </w:rPr>
        <w:tab/>
      </w:r>
      <w:r>
        <w:rPr>
          <w:snapToGrid w:val="0"/>
        </w:rPr>
        <w:tab/>
        <w:t>if the following conditions are satisfied — </w:t>
      </w:r>
    </w:p>
    <w:p>
      <w:pPr>
        <w:pStyle w:val="Indenta"/>
        <w:spacing w:before="60"/>
        <w:rPr>
          <w:snapToGrid w:val="0"/>
        </w:rPr>
      </w:pPr>
      <w:r>
        <w:rPr>
          <w:snapToGrid w:val="0"/>
        </w:rPr>
        <w:tab/>
        <w:t>(c)</w:t>
      </w:r>
      <w:r>
        <w:rPr>
          <w:snapToGrid w:val="0"/>
        </w:rPr>
        <w:tab/>
        <w:t>the discharge is made when the ship is proceeding en route at a speed of — </w:t>
      </w:r>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w:t>
      </w:r>
    </w:p>
    <w:p>
      <w:pPr>
        <w:pStyle w:val="Indenta"/>
        <w:spacing w:before="60"/>
        <w:rPr>
          <w:snapToGrid w:val="0"/>
        </w:rPr>
      </w:pPr>
      <w:r>
        <w:rPr>
          <w:snapToGrid w:val="0"/>
        </w:rPr>
        <w:tab/>
        <w:t>(e)</w:t>
      </w:r>
      <w:r>
        <w:rPr>
          <w:snapToGrid w:val="0"/>
        </w:rPr>
        <w:tab/>
        <w:t>the maximum quantity of cargo discharged from each tank of the ship (including the associated piping system of the tank) does not exceed the maximum quantity specified in the procedures referred to in paragraph (d), not being a quantity exceeding 1 cubic metre or 1 part in 3 000 parts of the tank capacity in cubic metres, whichever is the greater;</w:t>
      </w:r>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 xml:space="preserve">water intakes; and </w:t>
      </w:r>
    </w:p>
    <w:p>
      <w:pPr>
        <w:pStyle w:val="Indenta"/>
        <w:spacing w:before="60"/>
        <w:rPr>
          <w:snapToGrid w:val="0"/>
        </w:rPr>
      </w:pPr>
      <w:r>
        <w:rPr>
          <w:snapToGrid w:val="0"/>
        </w:rPr>
        <w:tab/>
        <w:t>(g)</w:t>
      </w:r>
      <w:r>
        <w:rPr>
          <w:snapToGrid w:val="0"/>
        </w:rPr>
        <w:tab/>
        <w:t>the discharge is made when the ship is at a distance of not less than 12 nautical miles from the nearest land and in a depth of water of not less than 25 metres.</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 </w:t>
      </w:r>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spacing w:before="140"/>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spacing w:before="140"/>
        <w:rPr>
          <w:snapToGrid w:val="0"/>
        </w:rPr>
      </w:pPr>
      <w:r>
        <w:rPr>
          <w:snapToGrid w:val="0"/>
        </w:rPr>
        <w:tab/>
        <w:t>(12)</w:t>
      </w:r>
      <w:r>
        <w:rPr>
          <w:snapToGrid w:val="0"/>
        </w:rPr>
        <w:tab/>
        <w:t>Without limiting the generality of subsection (2) or subsections (4) to (10) (inclusive), subsection (1) does not apply to the discharge from a ship of clean ballast or segregated ballast.</w:t>
      </w:r>
    </w:p>
    <w:p>
      <w:pPr>
        <w:pStyle w:val="Subsection"/>
        <w:spacing w:before="140"/>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spacing w:before="140"/>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spacing w:before="120"/>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spacing w:before="160"/>
        <w:rPr>
          <w:snapToGrid w:val="0"/>
        </w:rPr>
      </w:pPr>
      <w:bookmarkStart w:id="134" w:name="_Toc411734486"/>
      <w:bookmarkStart w:id="135" w:name="_Toc526934755"/>
      <w:bookmarkStart w:id="136" w:name="_Toc527777285"/>
      <w:bookmarkStart w:id="137" w:name="_Toc103143827"/>
      <w:bookmarkStart w:id="138" w:name="_Toc272309039"/>
      <w:r>
        <w:rPr>
          <w:rStyle w:val="CharSectno"/>
        </w:rPr>
        <w:t>21</w:t>
      </w:r>
      <w:r>
        <w:rPr>
          <w:snapToGrid w:val="0"/>
        </w:rPr>
        <w:t>.</w:t>
      </w:r>
      <w:r>
        <w:rPr>
          <w:snapToGrid w:val="0"/>
        </w:rPr>
        <w:tab/>
        <w:t>Certain liquid substances to be treated as oil</w:t>
      </w:r>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 </w:t>
      </w:r>
    </w:p>
    <w:p>
      <w:pPr>
        <w:pStyle w:val="Indenta"/>
        <w:spacing w:before="60"/>
        <w:rPr>
          <w:snapToGrid w:val="0"/>
        </w:rPr>
      </w:pPr>
      <w:r>
        <w:rPr>
          <w:snapToGrid w:val="0"/>
        </w:rPr>
        <w:tab/>
        <w:t>(a)</w:t>
      </w:r>
      <w:r>
        <w:rPr>
          <w:snapToGrid w:val="0"/>
        </w:rPr>
        <w:tab/>
        <w:t>the oil tanker complies with the provisions of Annex I of the Convention as applicable to product carriers within the meaning of that Annex;</w:t>
      </w:r>
    </w:p>
    <w:p>
      <w:pPr>
        <w:pStyle w:val="Indenta"/>
        <w:keepNext/>
        <w:spacing w:before="60"/>
        <w:rPr>
          <w:snapToGrid w:val="0"/>
        </w:rPr>
      </w:pPr>
      <w:r>
        <w:rPr>
          <w:snapToGrid w:val="0"/>
        </w:rPr>
        <w:tab/>
        <w:t>(b)</w:t>
      </w:r>
      <w:r>
        <w:rPr>
          <w:snapToGrid w:val="0"/>
        </w:rPr>
        <w:tab/>
        <w:t>the oil tanker carries an International Oil Pollution Prevention Certificate and its Supplement B, being a certificate that has an endorsement — </w:t>
      </w:r>
    </w:p>
    <w:p>
      <w:pPr>
        <w:pStyle w:val="Indenti"/>
        <w:spacing w:before="60"/>
        <w:rPr>
          <w:snapToGrid w:val="0"/>
        </w:rPr>
      </w:pPr>
      <w:r>
        <w:rPr>
          <w:snapToGrid w:val="0"/>
        </w:rPr>
        <w:tab/>
        <w:t>(i)</w:t>
      </w:r>
      <w:r>
        <w:rPr>
          <w:snapToGrid w:val="0"/>
        </w:rPr>
        <w:tab/>
        <w:t>that indicates that the ship is permitted to carry oil</w:t>
      </w:r>
      <w:r>
        <w:rPr>
          <w:snapToGrid w:val="0"/>
        </w:rPr>
        <w:noBreakHyphen/>
        <w:t>like substances in conformity with Regulation 14 of Annex II of the Convention; and</w:t>
      </w:r>
    </w:p>
    <w:p>
      <w:pPr>
        <w:pStyle w:val="Indenti"/>
        <w:spacing w:before="60"/>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spacing w:before="60"/>
        <w:rPr>
          <w:snapToGrid w:val="0"/>
        </w:rPr>
      </w:pPr>
      <w:r>
        <w:rPr>
          <w:snapToGrid w:val="0"/>
        </w:rPr>
        <w:tab/>
        <w:t>(c)</w:t>
      </w:r>
      <w:r>
        <w:rPr>
          <w:snapToGrid w:val="0"/>
        </w:rPr>
        <w:tab/>
        <w:t>the prescribed substance is the substance, or a substance, referred to in paragraph (b)(ii);</w:t>
      </w:r>
    </w:p>
    <w:p>
      <w:pPr>
        <w:pStyle w:val="Indenta"/>
        <w:spacing w:before="60"/>
        <w:rPr>
          <w:snapToGrid w:val="0"/>
        </w:rPr>
      </w:pPr>
      <w:r>
        <w:rPr>
          <w:snapToGrid w:val="0"/>
        </w:rPr>
        <w:tab/>
        <w:t>(d)</w:t>
      </w:r>
      <w:r>
        <w:rPr>
          <w:snapToGrid w:val="0"/>
        </w:rPr>
        <w:tab/>
        <w:t>in the case of a substance in Category C — the tanker complies with the ship type 3 damage stability requirements of — </w:t>
      </w:r>
    </w:p>
    <w:p>
      <w:pPr>
        <w:pStyle w:val="Indenti"/>
        <w:spacing w:before="60"/>
        <w:rPr>
          <w:snapToGrid w:val="0"/>
        </w:rPr>
      </w:pPr>
      <w:r>
        <w:rPr>
          <w:snapToGrid w:val="0"/>
        </w:rPr>
        <w:tab/>
        <w:t>(i)</w:t>
      </w:r>
      <w:r>
        <w:rPr>
          <w:snapToGrid w:val="0"/>
        </w:rPr>
        <w:tab/>
        <w:t>in the case of a tanker constructed on or after 1 July 1986 — the International Bulk Chemical Code; or</w:t>
      </w:r>
    </w:p>
    <w:p>
      <w:pPr>
        <w:pStyle w:val="Indenti"/>
        <w:rPr>
          <w:snapToGrid w:val="0"/>
        </w:rPr>
      </w:pPr>
      <w:r>
        <w:rPr>
          <w:snapToGrid w:val="0"/>
        </w:rPr>
        <w:tab/>
        <w:t>(ii)</w:t>
      </w:r>
      <w:r>
        <w:rPr>
          <w:snapToGrid w:val="0"/>
        </w:rPr>
        <w:tab/>
        <w:t xml:space="preserve">in the case of a tanker constructed before 1 July 1986 — the Bulk Chemical Code applicable under Regulation 13 of Annex II of the Convention;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 </w:t>
      </w:r>
    </w:p>
    <w:p>
      <w:pPr>
        <w:pStyle w:val="Indenta"/>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rPr>
          <w:snapToGrid w:val="0"/>
        </w:rPr>
      </w:pPr>
      <w:r>
        <w:rPr>
          <w:snapToGrid w:val="0"/>
        </w:rPr>
        <w:tab/>
        <w:t>(b)</w:t>
      </w:r>
      <w:r>
        <w:rPr>
          <w:snapToGrid w:val="0"/>
        </w:rPr>
        <w:tab/>
        <w:t>section 20 does not apply in relation to the discharge of the substance.</w:t>
      </w:r>
    </w:p>
    <w:p>
      <w:pPr>
        <w:pStyle w:val="Heading5"/>
        <w:rPr>
          <w:snapToGrid w:val="0"/>
        </w:rPr>
      </w:pPr>
      <w:bookmarkStart w:id="139" w:name="_Toc411734487"/>
      <w:bookmarkStart w:id="140" w:name="_Toc526934756"/>
      <w:bookmarkStart w:id="141" w:name="_Toc527777286"/>
      <w:bookmarkStart w:id="142" w:name="_Toc103143828"/>
      <w:bookmarkStart w:id="143" w:name="_Toc272309040"/>
      <w:r>
        <w:rPr>
          <w:rStyle w:val="CharSectno"/>
        </w:rPr>
        <w:t>22</w:t>
      </w:r>
      <w:r>
        <w:rPr>
          <w:snapToGrid w:val="0"/>
        </w:rPr>
        <w:t>.</w:t>
      </w:r>
      <w:r>
        <w:rPr>
          <w:snapToGrid w:val="0"/>
        </w:rPr>
        <w:tab/>
        <w:t>Duty to report certain incidents involving certain substances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 </w:t>
      </w:r>
    </w:p>
    <w:p>
      <w:pPr>
        <w:pStyle w:val="Indenta"/>
        <w:rPr>
          <w:rFonts w:ascii="Courier New" w:hAnsi="Courier New"/>
          <w:snapToGrid w:val="0"/>
        </w:rPr>
      </w:pPr>
      <w:r>
        <w:rPr>
          <w:rFonts w:ascii="Courier New" w:hAnsi="Courier New"/>
          <w:snapToGrid w:val="0"/>
        </w:rPr>
        <w:tab/>
      </w:r>
      <w:r>
        <w:rPr>
          <w:snapToGrid w:val="0"/>
        </w:rPr>
        <w:t>(aa)</w:t>
      </w:r>
      <w:r>
        <w:rPr>
          <w:snapToGrid w:val="0"/>
        </w:rPr>
        <w:tab/>
        <w:t>if the offender is a natural person — $5 000; or</w:t>
      </w:r>
    </w:p>
    <w:p>
      <w:pPr>
        <w:pStyle w:val="Indenta"/>
        <w:rPr>
          <w:snapToGrid w:val="0"/>
        </w:rPr>
      </w:pPr>
      <w:r>
        <w:rPr>
          <w:snapToGrid w:val="0"/>
        </w:rPr>
        <w:tab/>
        <w:t>(bb)</w:t>
      </w:r>
      <w:r>
        <w:rPr>
          <w:snapToGrid w:val="0"/>
        </w:rPr>
        <w:tab/>
        <w:t xml:space="preserve"> 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keepNext/>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 </w:t>
      </w:r>
    </w:p>
    <w:p>
      <w:pPr>
        <w:pStyle w:val="Defpara"/>
      </w:pPr>
      <w:r>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144" w:name="_Toc411734488"/>
      <w:bookmarkStart w:id="145" w:name="_Toc526934757"/>
      <w:bookmarkStart w:id="146" w:name="_Toc527777287"/>
      <w:bookmarkStart w:id="147" w:name="_Toc103143829"/>
      <w:bookmarkStart w:id="148" w:name="_Toc272309041"/>
      <w:r>
        <w:rPr>
          <w:rStyle w:val="CharSectno"/>
        </w:rPr>
        <w:t>23</w:t>
      </w:r>
      <w:r>
        <w:rPr>
          <w:snapToGrid w:val="0"/>
        </w:rPr>
        <w:t>.</w:t>
      </w:r>
      <w:r>
        <w:rPr>
          <w:snapToGrid w:val="0"/>
        </w:rPr>
        <w:tab/>
        <w:t>Cargo record book</w:t>
      </w:r>
      <w:bookmarkEnd w:id="144"/>
      <w:bookmarkEnd w:id="145"/>
      <w:bookmarkEnd w:id="146"/>
      <w:bookmarkEnd w:id="147"/>
      <w:bookmarkEnd w:id="148"/>
      <w:r>
        <w:rPr>
          <w:snapToGrid w:val="0"/>
        </w:rPr>
        <w:t xml:space="preserve"> </w:t>
      </w:r>
    </w:p>
    <w:p>
      <w:pPr>
        <w:pStyle w:val="Subsection"/>
        <w:spacing w:before="140"/>
        <w:rPr>
          <w:snapToGrid w:val="0"/>
        </w:rPr>
      </w:pPr>
      <w:r>
        <w:rPr>
          <w:snapToGrid w:val="0"/>
        </w:rPr>
        <w:tab/>
        <w:t>(1)</w:t>
      </w:r>
      <w:r>
        <w:rPr>
          <w:snapToGrid w:val="0"/>
        </w:rPr>
        <w:tab/>
        <w:t>This section applies to a trading ship proceeding on an intra</w:t>
      </w:r>
      <w:r>
        <w:rPr>
          <w:snapToGrid w:val="0"/>
        </w:rPr>
        <w:noBreakHyphen/>
        <w:t>state voyage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149" w:name="_Toc411734489"/>
      <w:bookmarkStart w:id="150" w:name="_Toc526934758"/>
      <w:bookmarkStart w:id="151" w:name="_Toc527777288"/>
      <w:bookmarkStart w:id="152" w:name="_Toc103143830"/>
      <w:bookmarkStart w:id="153" w:name="_Toc272309042"/>
      <w:r>
        <w:rPr>
          <w:rStyle w:val="CharSectno"/>
        </w:rPr>
        <w:t>24</w:t>
      </w:r>
      <w:r>
        <w:rPr>
          <w:snapToGrid w:val="0"/>
        </w:rPr>
        <w:t>.</w:t>
      </w:r>
      <w:r>
        <w:rPr>
          <w:snapToGrid w:val="0"/>
        </w:rPr>
        <w:tab/>
        <w:t>False entries in cargo record book</w:t>
      </w:r>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154" w:name="_Toc411734490"/>
      <w:bookmarkStart w:id="155" w:name="_Toc526934759"/>
      <w:bookmarkStart w:id="156" w:name="_Toc527777289"/>
      <w:bookmarkStart w:id="157" w:name="_Toc103143831"/>
      <w:bookmarkStart w:id="158" w:name="_Toc272309043"/>
      <w:r>
        <w:rPr>
          <w:rStyle w:val="CharSectno"/>
        </w:rPr>
        <w:t>25</w:t>
      </w:r>
      <w:r>
        <w:rPr>
          <w:snapToGrid w:val="0"/>
        </w:rPr>
        <w:t>.</w:t>
      </w:r>
      <w:r>
        <w:rPr>
          <w:snapToGrid w:val="0"/>
        </w:rPr>
        <w:tab/>
        <w:t>Cargo record book to be retained</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tab/>
        <w:t>(3)</w:t>
      </w:r>
      <w:r>
        <w:rPr>
          <w:snapToGrid w:val="0"/>
        </w:rPr>
        <w:tab/>
        <w:t>The owner of a ship to which section 23 applies shall cause each of the ship’s cargo record books to be retained —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 </w:t>
      </w:r>
    </w:p>
    <w:p>
      <w:pPr>
        <w:pStyle w:val="Indenta"/>
        <w:rPr>
          <w:snapToGrid w:val="0"/>
        </w:rPr>
      </w:pPr>
      <w:r>
        <w:rPr>
          <w:snapToGrid w:val="0"/>
        </w:rPr>
        <w:tab/>
        <w:t>(a)</w:t>
      </w:r>
      <w:r>
        <w:rPr>
          <w:snapToGrid w:val="0"/>
        </w:rPr>
        <w:tab/>
        <w:t>the place in the State at which he so resides;</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Where the owner of a ship to which section 23 applies does not reside in the State and does not have an office or agent in the State, the owner may deposit a cargo record book of the ship with a prescribed officer and, while the book is so deposited, the book shall, for the purposes of subsection (3), be deemed to be retained at the registered office in the State of the owner.</w:t>
      </w:r>
    </w:p>
    <w:p>
      <w:pPr>
        <w:pStyle w:val="Heading5"/>
        <w:rPr>
          <w:snapToGrid w:val="0"/>
        </w:rPr>
      </w:pPr>
      <w:bookmarkStart w:id="159" w:name="_Toc411734491"/>
      <w:bookmarkStart w:id="160" w:name="_Toc526934760"/>
      <w:bookmarkStart w:id="161" w:name="_Toc527777290"/>
      <w:bookmarkStart w:id="162" w:name="_Toc103143832"/>
      <w:bookmarkStart w:id="163" w:name="_Toc272309044"/>
      <w:r>
        <w:rPr>
          <w:rStyle w:val="CharSectno"/>
        </w:rPr>
        <w:t>26</w:t>
      </w:r>
      <w:r>
        <w:rPr>
          <w:snapToGrid w:val="0"/>
        </w:rPr>
        <w:t>.</w:t>
      </w:r>
      <w:r>
        <w:rPr>
          <w:snapToGrid w:val="0"/>
        </w:rPr>
        <w:tab/>
        <w:t>Cleaning of tanks of ships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164" w:name="_Toc89495345"/>
      <w:bookmarkStart w:id="165" w:name="_Toc89495410"/>
      <w:bookmarkStart w:id="166" w:name="_Toc89582567"/>
      <w:bookmarkStart w:id="167" w:name="_Toc96999287"/>
      <w:bookmarkStart w:id="168" w:name="_Toc102539930"/>
      <w:bookmarkStart w:id="169" w:name="_Toc103143004"/>
      <w:bookmarkStart w:id="170" w:name="_Toc103143833"/>
      <w:bookmarkStart w:id="171" w:name="_Toc267925787"/>
      <w:bookmarkStart w:id="172" w:name="_Toc268185867"/>
      <w:bookmarkStart w:id="173" w:name="_Toc268617501"/>
      <w:bookmarkStart w:id="174" w:name="_Toc272309045"/>
      <w:r>
        <w:rPr>
          <w:rStyle w:val="CharPartNo"/>
        </w:rPr>
        <w:t>Part IV</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411734492"/>
      <w:bookmarkStart w:id="176" w:name="_Toc526934761"/>
      <w:bookmarkStart w:id="177" w:name="_Toc527777291"/>
      <w:bookmarkStart w:id="178" w:name="_Toc103143834"/>
      <w:bookmarkStart w:id="179" w:name="_Toc272309046"/>
      <w:r>
        <w:rPr>
          <w:rStyle w:val="CharSectno"/>
        </w:rPr>
        <w:t>27</w:t>
      </w:r>
      <w:r>
        <w:rPr>
          <w:snapToGrid w:val="0"/>
        </w:rPr>
        <w:t>.</w:t>
      </w:r>
      <w:r>
        <w:rPr>
          <w:snapToGrid w:val="0"/>
        </w:rPr>
        <w:tab/>
        <w:t>Recovery of expenses with respect to pollution by oil</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a discharge of oil or of an oily mixture occurs into State waters from — </w:t>
      </w:r>
    </w:p>
    <w:p>
      <w:pPr>
        <w:pStyle w:val="Indenta"/>
        <w:rPr>
          <w:snapToGrid w:val="0"/>
        </w:rPr>
      </w:pPr>
      <w:r>
        <w:rPr>
          <w:snapToGrid w:val="0"/>
        </w:rPr>
        <w:tab/>
        <w:t>(a)</w:t>
      </w:r>
      <w:r>
        <w:rPr>
          <w:snapToGrid w:val="0"/>
        </w:rPr>
        <w:tab/>
        <w:t>a ship;</w:t>
      </w:r>
    </w:p>
    <w:p>
      <w:pPr>
        <w:pStyle w:val="Indenta"/>
        <w:rPr>
          <w:snapToGrid w:val="0"/>
        </w:rPr>
      </w:pPr>
      <w:r>
        <w:rPr>
          <w:snapToGrid w:val="0"/>
        </w:rPr>
        <w:tab/>
        <w:t>(b)</w:t>
      </w:r>
      <w:r>
        <w:rPr>
          <w:snapToGrid w:val="0"/>
        </w:rPr>
        <w:tab/>
        <w:t>a place on land; or</w:t>
      </w:r>
    </w:p>
    <w:p>
      <w:pPr>
        <w:pStyle w:val="Indenta"/>
        <w:rPr>
          <w:snapToGrid w:val="0"/>
        </w:rPr>
      </w:pPr>
      <w:r>
        <w:rPr>
          <w:snapToGrid w:val="0"/>
        </w:rPr>
        <w:tab/>
        <w:t>(c)</w:t>
      </w:r>
      <w:r>
        <w:rPr>
          <w:snapToGrid w:val="0"/>
        </w:rPr>
        <w:tab/>
        <w:t>apparatus used for transferring oil or an oily mixture from or to any ship,</w:t>
      </w:r>
    </w:p>
    <w:p>
      <w:pPr>
        <w:pStyle w:val="Subsection"/>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 </w:t>
      </w:r>
    </w:p>
    <w:p>
      <w:pPr>
        <w:pStyle w:val="Indenta"/>
        <w:rPr>
          <w:snapToGrid w:val="0"/>
        </w:rPr>
      </w:pPr>
      <w:r>
        <w:rPr>
          <w:snapToGrid w:val="0"/>
        </w:rPr>
        <w:tab/>
        <w:t>(d)</w:t>
      </w:r>
      <w:r>
        <w:rPr>
          <w:snapToGrid w:val="0"/>
        </w:rPr>
        <w:tab/>
        <w:t>to prevent or limit the discharge;</w:t>
      </w:r>
    </w:p>
    <w:p>
      <w:pPr>
        <w:pStyle w:val="Indenta"/>
        <w:rPr>
          <w:snapToGrid w:val="0"/>
        </w:rPr>
      </w:pPr>
      <w:r>
        <w:rPr>
          <w:snapToGrid w:val="0"/>
        </w:rPr>
        <w:tab/>
        <w:t>(e)</w:t>
      </w:r>
      <w:r>
        <w:rPr>
          <w:snapToGrid w:val="0"/>
        </w:rPr>
        <w:tab/>
        <w:t xml:space="preserve">to </w:t>
      </w:r>
      <w:r>
        <w:t>disperse</w:t>
      </w:r>
      <w:r>
        <w:rPr>
          <w:snapToGrid w:val="0"/>
        </w:rPr>
        <w:t xml:space="preserve"> or contain the oil or oily mixture that has been so discharged;</w:t>
      </w:r>
    </w:p>
    <w:p>
      <w:pPr>
        <w:pStyle w:val="Indenta"/>
        <w:rPr>
          <w:snapToGrid w:val="0"/>
        </w:rPr>
      </w:pPr>
      <w:r>
        <w:rPr>
          <w:snapToGrid w:val="0"/>
        </w:rPr>
        <w:tab/>
        <w:t>(f)</w:t>
      </w:r>
      <w:r>
        <w:rPr>
          <w:snapToGrid w:val="0"/>
        </w:rPr>
        <w:tab/>
        <w:t>to remove any oil or oily mixture from waters or land affected by the discharge; or</w:t>
      </w:r>
    </w:p>
    <w:p>
      <w:pPr>
        <w:pStyle w:val="Indenta"/>
        <w:rPr>
          <w:snapToGrid w:val="0"/>
        </w:rPr>
      </w:pPr>
      <w:r>
        <w:rPr>
          <w:snapToGrid w:val="0"/>
        </w:rPr>
        <w:tab/>
        <w:t>(g)</w:t>
      </w:r>
      <w:r>
        <w:rPr>
          <w:snapToGrid w:val="0"/>
        </w:rPr>
        <w:tab/>
        <w:t>to minimize the damage from pollution resulting from or likely to result from the discharge.</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 </w:t>
      </w:r>
    </w:p>
    <w:p>
      <w:pPr>
        <w:pStyle w:val="Indenta"/>
        <w:rPr>
          <w:snapToGrid w:val="0"/>
        </w:rPr>
      </w:pPr>
      <w:r>
        <w:rPr>
          <w:snapToGrid w:val="0"/>
        </w:rPr>
        <w:tab/>
        <w:t>(a)</w:t>
      </w:r>
      <w:r>
        <w:rPr>
          <w:snapToGrid w:val="0"/>
        </w:rPr>
        <w:tab/>
        <w:t>the owner or master of the ship</w:t>
      </w:r>
      <w:r>
        <w:t xml:space="preserve"> concerned</w:t>
      </w:r>
      <w:r>
        <w:rPr>
          <w:snapToGrid w:val="0"/>
        </w:rPr>
        <w:t>;</w:t>
      </w:r>
    </w:p>
    <w:p>
      <w:pPr>
        <w:pStyle w:val="Indenta"/>
        <w:rPr>
          <w:snapToGrid w:val="0"/>
        </w:rPr>
      </w:pPr>
      <w:r>
        <w:rPr>
          <w:snapToGrid w:val="0"/>
        </w:rPr>
        <w:tab/>
        <w:t>(b)</w:t>
      </w:r>
      <w:r>
        <w:rPr>
          <w:snapToGrid w:val="0"/>
        </w:rPr>
        <w:tab/>
        <w:t>the occupier of the place</w:t>
      </w:r>
      <w:r>
        <w:t xml:space="preserve"> concerned</w:t>
      </w:r>
      <w:r>
        <w:rPr>
          <w:snapToGrid w:val="0"/>
        </w:rPr>
        <w:t>; or</w:t>
      </w:r>
    </w:p>
    <w:p>
      <w:pPr>
        <w:pStyle w:val="Indenta"/>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rPr>
          <w:snapToGrid w:val="0"/>
        </w:rPr>
      </w:pPr>
      <w:r>
        <w:rPr>
          <w:snapToGrid w:val="0"/>
        </w:rPr>
        <w:tab/>
        <w:t>(3)</w:t>
      </w:r>
      <w:r>
        <w:rPr>
          <w:snapToGrid w:val="0"/>
        </w:rPr>
        <w:tab/>
        <w:t>The costs and expenses referred to in subsection (1) may — </w:t>
      </w:r>
    </w:p>
    <w:p>
      <w:pPr>
        <w:pStyle w:val="Indenta"/>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 xml:space="preserve">[Section 27 amended by No. 47 of 1993 s. 27; No. 71 of 2003 s. 13.] </w:t>
      </w:r>
    </w:p>
    <w:p>
      <w:pPr>
        <w:pStyle w:val="Heading5"/>
        <w:rPr>
          <w:snapToGrid w:val="0"/>
        </w:rPr>
      </w:pPr>
      <w:bookmarkStart w:id="180" w:name="_Toc411734493"/>
      <w:bookmarkStart w:id="181" w:name="_Toc526934762"/>
      <w:bookmarkStart w:id="182" w:name="_Toc527777292"/>
      <w:bookmarkStart w:id="183" w:name="_Toc103143835"/>
      <w:bookmarkStart w:id="184" w:name="_Toc272309047"/>
      <w:r>
        <w:rPr>
          <w:rStyle w:val="CharSectno"/>
        </w:rPr>
        <w:t>28</w:t>
      </w:r>
      <w:r>
        <w:rPr>
          <w:snapToGrid w:val="0"/>
        </w:rPr>
        <w:t>.</w:t>
      </w:r>
      <w:r>
        <w:rPr>
          <w:snapToGrid w:val="0"/>
        </w:rPr>
        <w:tab/>
        <w:t>Recovery of expenses with respect to pollution by noxious liquid substances</w:t>
      </w:r>
      <w:bookmarkEnd w:id="180"/>
      <w:bookmarkEnd w:id="181"/>
      <w:bookmarkEnd w:id="182"/>
      <w:bookmarkEnd w:id="183"/>
      <w:bookmarkEnd w:id="184"/>
      <w:r>
        <w:rPr>
          <w:snapToGrid w:val="0"/>
        </w:rPr>
        <w:t xml:space="preserve"> </w:t>
      </w:r>
    </w:p>
    <w:p>
      <w:pPr>
        <w:pStyle w:val="Subsection"/>
      </w:pPr>
      <w:r>
        <w:tab/>
        <w:t>(1)</w:t>
      </w:r>
      <w:r>
        <w:tab/>
        <w:t xml:space="preserve">Where a discharge occurs into State waters from a ship or from transfer apparatus, or the appropriate authority is of the opinion that there is a probability of such a discharge occurring, the appropriate authority may take or cause to be taken such action as it thinks fit — </w:t>
      </w:r>
    </w:p>
    <w:p>
      <w:pPr>
        <w:pStyle w:val="Indenta"/>
      </w:pPr>
      <w:r>
        <w:tab/>
        <w:t>(a)</w:t>
      </w:r>
      <w:r>
        <w:tab/>
        <w:t>to prevent or limit the discharge;</w:t>
      </w:r>
    </w:p>
    <w:p>
      <w:pPr>
        <w:pStyle w:val="Indenta"/>
      </w:pPr>
      <w:r>
        <w:tab/>
        <w:t>(b)</w:t>
      </w:r>
      <w:r>
        <w:tab/>
        <w:t>to disperse or contain the substance or mixture that has been discharged;</w:t>
      </w:r>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pPr>
      <w:r>
        <w:tab/>
        <w:t>(1a)</w:t>
      </w:r>
      <w:r>
        <w:tab/>
        <w:t xml:space="preserve">In subsection (1) — </w:t>
      </w:r>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 </w:t>
      </w:r>
    </w:p>
    <w:p>
      <w:pPr>
        <w:pStyle w:val="Indenta"/>
        <w:spacing w:before="60"/>
        <w:rPr>
          <w:snapToGrid w:val="0"/>
        </w:rPr>
      </w:pPr>
      <w:r>
        <w:rPr>
          <w:snapToGrid w:val="0"/>
        </w:rPr>
        <w:tab/>
        <w:t>(a)</w:t>
      </w:r>
      <w:r>
        <w:rPr>
          <w:snapToGrid w:val="0"/>
        </w:rPr>
        <w:tab/>
        <w:t>the owner or master of the ship</w:t>
      </w:r>
      <w:r>
        <w:t xml:space="preserve"> concerned</w:t>
      </w:r>
      <w:r>
        <w:rPr>
          <w:snapToGrid w:val="0"/>
        </w:rPr>
        <w:t>; or</w:t>
      </w:r>
    </w:p>
    <w:p>
      <w:pPr>
        <w:pStyle w:val="Indenta"/>
        <w:spacing w:before="60"/>
        <w:rPr>
          <w:snapToGrid w:val="0"/>
        </w:rPr>
      </w:pPr>
      <w:r>
        <w:rPr>
          <w:snapToGrid w:val="0"/>
        </w:rPr>
        <w:tab/>
        <w:t>(b)</w:t>
      </w:r>
      <w:r>
        <w:rPr>
          <w:snapToGrid w:val="0"/>
        </w:rPr>
        <w:tab/>
        <w:t>the person in charge of the apparatus</w:t>
      </w:r>
      <w:r>
        <w:t xml:space="preserve"> concerned</w:t>
      </w:r>
      <w:r>
        <w:rPr>
          <w:snapToGrid w:val="0"/>
        </w:rPr>
        <w:t>.</w:t>
      </w:r>
    </w:p>
    <w:p>
      <w:pPr>
        <w:pStyle w:val="Subsection"/>
        <w:spacing w:before="120"/>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spacing w:before="120"/>
        <w:rPr>
          <w:snapToGrid w:val="0"/>
        </w:rPr>
      </w:pPr>
      <w:r>
        <w:rPr>
          <w:snapToGrid w:val="0"/>
        </w:rPr>
        <w:tab/>
        <w:t>(4)</w:t>
      </w:r>
      <w:r>
        <w:rPr>
          <w:snapToGrid w:val="0"/>
        </w:rPr>
        <w:tab/>
        <w:t>The costs and expenses referred to in subsection (1) may — </w:t>
      </w:r>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spacing w:before="60"/>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spacing w:before="120"/>
        <w:rPr>
          <w:snapToGrid w:val="0"/>
        </w:rPr>
      </w:pPr>
      <w:r>
        <w:rPr>
          <w:snapToGrid w:val="0"/>
        </w:rPr>
        <w:tab/>
        <w:t>(5)</w:t>
      </w:r>
      <w:r>
        <w:rPr>
          <w:snapToGrid w:val="0"/>
        </w:rPr>
        <w:tab/>
        <w:t xml:space="preserve">Nothing in this Act affects or qualifies any rights of the appropriate authority or of any other person to recover damages in respect of the consequences of any discharge from a ship or otherwise into State waters. </w:t>
      </w:r>
    </w:p>
    <w:p>
      <w:pPr>
        <w:pStyle w:val="Subsection"/>
        <w:keepNext/>
        <w:spacing w:before="120"/>
        <w:rPr>
          <w:snapToGrid w:val="0"/>
        </w:rPr>
      </w:pPr>
      <w:r>
        <w:rPr>
          <w:snapToGrid w:val="0"/>
        </w:rPr>
        <w:tab/>
        <w:t>(6)</w:t>
      </w:r>
      <w:r>
        <w:rPr>
          <w:snapToGrid w:val="0"/>
        </w:rPr>
        <w:tab/>
        <w:t xml:space="preserve">In this section </w:t>
      </w:r>
      <w:r>
        <w:rPr>
          <w:rStyle w:val="CharDefText"/>
        </w:rPr>
        <w:t>appropriate authority</w:t>
      </w:r>
      <w:r>
        <w:rPr>
          <w:snapToGrid w:val="0"/>
        </w:rPr>
        <w:t xml:space="preserve"> means — </w:t>
      </w:r>
    </w:p>
    <w:p>
      <w:pPr>
        <w:pStyle w:val="Indenta"/>
        <w:spacing w:before="60"/>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spacing w:before="60"/>
        <w:rPr>
          <w:snapToGrid w:val="0"/>
        </w:rPr>
      </w:pPr>
      <w:r>
        <w:rPr>
          <w:snapToGrid w:val="0"/>
        </w:rPr>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 xml:space="preserve">[Section 28 amended by No. 47 of 1993 s. 28; No. 71 of 2003 s. 14.] </w:t>
      </w:r>
    </w:p>
    <w:p>
      <w:pPr>
        <w:pStyle w:val="Heading5"/>
        <w:spacing w:before="180"/>
        <w:rPr>
          <w:snapToGrid w:val="0"/>
        </w:rPr>
      </w:pPr>
      <w:bookmarkStart w:id="185" w:name="_Toc411734494"/>
      <w:bookmarkStart w:id="186" w:name="_Toc526934763"/>
      <w:bookmarkStart w:id="187" w:name="_Toc527777293"/>
      <w:bookmarkStart w:id="188" w:name="_Toc103143836"/>
      <w:bookmarkStart w:id="189" w:name="_Toc272309048"/>
      <w:r>
        <w:rPr>
          <w:rStyle w:val="CharSectno"/>
        </w:rPr>
        <w:t>29</w:t>
      </w:r>
      <w:r>
        <w:rPr>
          <w:snapToGrid w:val="0"/>
        </w:rPr>
        <w:t>.</w:t>
      </w:r>
      <w:r>
        <w:rPr>
          <w:snapToGrid w:val="0"/>
        </w:rPr>
        <w:tab/>
        <w:t>Powers of inspectors</w:t>
      </w:r>
      <w:bookmarkEnd w:id="185"/>
      <w:bookmarkEnd w:id="186"/>
      <w:bookmarkEnd w:id="187"/>
      <w:bookmarkEnd w:id="188"/>
      <w:bookmarkEnd w:id="189"/>
      <w:r>
        <w:rPr>
          <w:snapToGrid w:val="0"/>
        </w:rPr>
        <w:t xml:space="preserve"> </w:t>
      </w:r>
    </w:p>
    <w:p>
      <w:pPr>
        <w:pStyle w:val="Subsection"/>
        <w:keepNext/>
        <w:spacing w:before="120"/>
        <w:rPr>
          <w:snapToGrid w:val="0"/>
        </w:rPr>
      </w:pPr>
      <w:r>
        <w:rPr>
          <w:snapToGrid w:val="0"/>
        </w:rPr>
        <w:tab/>
        <w:t>(1)</w:t>
      </w:r>
      <w:r>
        <w:rPr>
          <w:snapToGrid w:val="0"/>
        </w:rPr>
        <w:tab/>
        <w:t>For the purposes of ascertaining — </w:t>
      </w:r>
    </w:p>
    <w:p>
      <w:pPr>
        <w:pStyle w:val="Indenta"/>
        <w:spacing w:before="60"/>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 </w:t>
      </w:r>
    </w:p>
    <w:p>
      <w:pPr>
        <w:pStyle w:val="Indenta"/>
        <w:rPr>
          <w:snapToGrid w:val="0"/>
        </w:rPr>
      </w:pPr>
      <w:r>
        <w:rPr>
          <w:snapToGrid w:val="0"/>
        </w:rPr>
        <w:tab/>
        <w:t>(c)</w:t>
      </w:r>
      <w:r>
        <w:rPr>
          <w:snapToGrid w:val="0"/>
        </w:rPr>
        <w:tab/>
        <w:t>go on board the ship with such assistants and equipment as he considers necessary;</w:t>
      </w:r>
    </w:p>
    <w:p>
      <w:pPr>
        <w:pStyle w:val="Indenta"/>
        <w:rPr>
          <w:snapToGrid w:val="0"/>
        </w:rPr>
      </w:pPr>
      <w:r>
        <w:rPr>
          <w:snapToGrid w:val="0"/>
        </w:rPr>
        <w:tab/>
        <w:t>(d)</w:t>
      </w:r>
      <w:r>
        <w:rPr>
          <w:snapToGrid w:val="0"/>
        </w:rPr>
        <w:tab/>
        <w:t>require the master of the ship to take such steps as the inspector directs to facilitate the boarding;</w:t>
      </w:r>
    </w:p>
    <w:p>
      <w:pPr>
        <w:pStyle w:val="Indenta"/>
        <w:rPr>
          <w:snapToGrid w:val="0"/>
        </w:rPr>
      </w:pPr>
      <w:r>
        <w:rPr>
          <w:snapToGrid w:val="0"/>
        </w:rPr>
        <w:tab/>
        <w:t>(e)</w:t>
      </w:r>
      <w:r>
        <w:rPr>
          <w:snapToGrid w:val="0"/>
        </w:rPr>
        <w:tab/>
        <w:t>inspect and test any machinery or equipment of the ship;</w:t>
      </w:r>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w:t>
      </w:r>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w:t>
      </w:r>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w:t>
      </w:r>
    </w:p>
    <w:p>
      <w:pPr>
        <w:pStyle w:val="Indenta"/>
        <w:rPr>
          <w:snapToGrid w:val="0"/>
        </w:rPr>
      </w:pPr>
      <w:r>
        <w:rPr>
          <w:snapToGrid w:val="0"/>
        </w:rPr>
        <w:tab/>
        <w:t>(i)</w:t>
      </w:r>
      <w:r>
        <w:rPr>
          <w:snapToGrid w:val="0"/>
        </w:rPr>
        <w:tab/>
        <w:t>make copies of, or take extracts from, any such books, documents or records;</w:t>
      </w:r>
    </w:p>
    <w:p>
      <w:pPr>
        <w:pStyle w:val="Indenta"/>
        <w:rPr>
          <w:snapToGrid w:val="0"/>
        </w:rPr>
      </w:pPr>
      <w:r>
        <w:rPr>
          <w:snapToGrid w:val="0"/>
        </w:rPr>
        <w:tab/>
        <w:t>(j)</w:t>
      </w:r>
      <w:r>
        <w:rPr>
          <w:snapToGrid w:val="0"/>
        </w:rPr>
        <w:tab/>
        <w:t xml:space="preserve">require the master of the ship to certify that a true copy of an entry in a record book required by this Act to be carried in the ship made by the inspector is a true copy of such an entry; </w:t>
      </w:r>
    </w:p>
    <w:p>
      <w:pPr>
        <w:pStyle w:val="Indenta"/>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w:t>
      </w:r>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w:t>
      </w:r>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190" w:name="_Toc411734495"/>
      <w:bookmarkStart w:id="191" w:name="_Toc526934764"/>
      <w:bookmarkStart w:id="192" w:name="_Toc527777294"/>
      <w:bookmarkStart w:id="193" w:name="_Toc103143837"/>
      <w:bookmarkStart w:id="194" w:name="_Toc272309049"/>
      <w:r>
        <w:rPr>
          <w:rStyle w:val="CharSectno"/>
        </w:rPr>
        <w:t>30</w:t>
      </w:r>
      <w:r>
        <w:rPr>
          <w:snapToGrid w:val="0"/>
        </w:rPr>
        <w:t>.</w:t>
      </w:r>
      <w:r>
        <w:rPr>
          <w:snapToGrid w:val="0"/>
        </w:rPr>
        <w:tab/>
        <w:t>No time limit for prosecution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195" w:name="_Toc411734496"/>
      <w:bookmarkStart w:id="196" w:name="_Toc526934765"/>
      <w:bookmarkStart w:id="197" w:name="_Toc527777295"/>
      <w:bookmarkStart w:id="198" w:name="_Toc103143838"/>
      <w:bookmarkStart w:id="199" w:name="_Toc272309050"/>
      <w:r>
        <w:rPr>
          <w:rStyle w:val="CharSectno"/>
        </w:rPr>
        <w:t>31</w:t>
      </w:r>
      <w:r>
        <w:rPr>
          <w:snapToGrid w:val="0"/>
        </w:rPr>
        <w:t>.</w:t>
      </w:r>
      <w:r>
        <w:rPr>
          <w:snapToGrid w:val="0"/>
        </w:rPr>
        <w:tab/>
        <w:t>Service of summonses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 by No. 49 of 1997 s. 5; No. 59 of 2004 s. 141; No. 84 of 2004 s. 78.]</w:t>
      </w:r>
    </w:p>
    <w:p>
      <w:pPr>
        <w:pStyle w:val="Heading5"/>
        <w:rPr>
          <w:snapToGrid w:val="0"/>
        </w:rPr>
      </w:pPr>
      <w:bookmarkStart w:id="200" w:name="_Toc411734497"/>
      <w:bookmarkStart w:id="201" w:name="_Toc526934766"/>
      <w:bookmarkStart w:id="202" w:name="_Toc527777296"/>
      <w:bookmarkStart w:id="203" w:name="_Toc103143839"/>
      <w:bookmarkStart w:id="204" w:name="_Toc272309051"/>
      <w:r>
        <w:rPr>
          <w:rStyle w:val="CharSectno"/>
        </w:rPr>
        <w:t>32</w:t>
      </w:r>
      <w:r>
        <w:rPr>
          <w:snapToGrid w:val="0"/>
        </w:rPr>
        <w:t>.</w:t>
      </w:r>
      <w:r>
        <w:rPr>
          <w:snapToGrid w:val="0"/>
        </w:rPr>
        <w:tab/>
        <w:t>Evidence</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In any proceedings for an offence against a provision of this Act — </w:t>
      </w:r>
    </w:p>
    <w:p>
      <w:pPr>
        <w:pStyle w:val="Indenta"/>
        <w:rPr>
          <w:snapToGrid w:val="0"/>
        </w:rPr>
      </w:pPr>
      <w:r>
        <w:rPr>
          <w:snapToGrid w:val="0"/>
        </w:rPr>
        <w:tab/>
        <w:t>(a)</w:t>
      </w:r>
      <w:r>
        <w:rPr>
          <w:snapToGrid w:val="0"/>
        </w:rPr>
        <w:tab/>
        <w:t>any record kept in pursuance of this Act is admissible as prima facie evidence of the facts stated in the record;</w:t>
      </w:r>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a document purporting to be a record kept in pursuance of this Act, or purporting to be such a certified copy as referred to in paragraph (b), shall, unless the contrary is proved, be deemed to be such a record or certified copy, as the case may be.</w:t>
      </w:r>
    </w:p>
    <w:p>
      <w:pPr>
        <w:pStyle w:val="Heading5"/>
        <w:rPr>
          <w:snapToGrid w:val="0"/>
        </w:rPr>
      </w:pPr>
      <w:bookmarkStart w:id="205" w:name="_Toc411734498"/>
      <w:bookmarkStart w:id="206" w:name="_Toc526934767"/>
      <w:bookmarkStart w:id="207" w:name="_Toc527777297"/>
      <w:bookmarkStart w:id="208" w:name="_Toc103143840"/>
      <w:bookmarkStart w:id="209" w:name="_Toc272309052"/>
      <w:r>
        <w:rPr>
          <w:rStyle w:val="CharSectno"/>
        </w:rPr>
        <w:t>33</w:t>
      </w:r>
      <w:r>
        <w:rPr>
          <w:snapToGrid w:val="0"/>
        </w:rPr>
        <w:t>.</w:t>
      </w:r>
      <w:r>
        <w:rPr>
          <w:snapToGrid w:val="0"/>
        </w:rPr>
        <w:tab/>
        <w:t>Evidence of analysts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210" w:name="_Toc411734499"/>
      <w:bookmarkStart w:id="211" w:name="_Toc526934768"/>
      <w:bookmarkStart w:id="212" w:name="_Toc527777298"/>
      <w:bookmarkStart w:id="213" w:name="_Toc103143841"/>
      <w:bookmarkStart w:id="214" w:name="_Toc272309053"/>
      <w:r>
        <w:rPr>
          <w:rStyle w:val="CharSectno"/>
        </w:rPr>
        <w:t>34</w:t>
      </w:r>
      <w:r>
        <w:rPr>
          <w:snapToGrid w:val="0"/>
        </w:rPr>
        <w:t>.</w:t>
      </w:r>
      <w:r>
        <w:rPr>
          <w:snapToGrid w:val="0"/>
        </w:rPr>
        <w:tab/>
        <w:t>Immunity of inspectors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215" w:name="_Toc411734500"/>
      <w:bookmarkStart w:id="216" w:name="_Toc526934769"/>
      <w:bookmarkStart w:id="217" w:name="_Toc527777299"/>
      <w:bookmarkStart w:id="218" w:name="_Toc103143842"/>
      <w:bookmarkStart w:id="219" w:name="_Toc272309054"/>
      <w:r>
        <w:rPr>
          <w:rStyle w:val="CharSectno"/>
        </w:rPr>
        <w:t>35</w:t>
      </w:r>
      <w:r>
        <w:rPr>
          <w:snapToGrid w:val="0"/>
        </w:rPr>
        <w:t>.</w:t>
      </w:r>
      <w:r>
        <w:rPr>
          <w:snapToGrid w:val="0"/>
        </w:rPr>
        <w:tab/>
        <w:t>Regulations</w:t>
      </w:r>
      <w:bookmarkEnd w:id="215"/>
      <w:bookmarkEnd w:id="216"/>
      <w:bookmarkEnd w:id="217"/>
      <w:bookmarkEnd w:id="218"/>
      <w:bookmarkEnd w:id="219"/>
      <w:r>
        <w:rPr>
          <w:snapToGrid w:val="0"/>
        </w:rPr>
        <w:t xml:space="preserve"> </w:t>
      </w:r>
    </w:p>
    <w:p>
      <w:pPr>
        <w:pStyle w:val="Subsection"/>
        <w:keepNext/>
        <w:rPr>
          <w:snapToGrid w:val="0"/>
        </w:rPr>
      </w:pPr>
      <w:r>
        <w:rPr>
          <w:snapToGrid w:val="0"/>
        </w:rPr>
        <w:tab/>
      </w:r>
      <w:r>
        <w:rPr>
          <w:snapToGrid w:val="0"/>
        </w:rPr>
        <w:tab/>
        <w:t>The Governor may make regulations prescribing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 </w:t>
      </w:r>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w:t>
      </w:r>
    </w:p>
    <w:p>
      <w:pPr>
        <w:pStyle w:val="Indenta"/>
        <w:rPr>
          <w:snapToGrid w:val="0"/>
        </w:rPr>
      </w:pPr>
      <w:r>
        <w:rPr>
          <w:snapToGrid w:val="0"/>
        </w:rPr>
        <w:tab/>
        <w:t>(bb)</w:t>
      </w:r>
      <w:r>
        <w:rPr>
          <w:snapToGrid w:val="0"/>
        </w:rPr>
        <w:tab/>
        <w:t>empowering the Minister to make orders for and in relation to — </w:t>
      </w:r>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snapToGrid w:val="0"/>
        </w:rPr>
      </w:pPr>
      <w:r>
        <w:rPr>
          <w:snapToGrid w:val="0"/>
        </w:rPr>
        <w:tab/>
        <w:t>(cc)</w:t>
      </w:r>
      <w:r>
        <w:rPr>
          <w:snapToGrid w:val="0"/>
        </w:rPr>
        <w:tab/>
        <w:t>fixing fees to be paid in respect of any matters under this Act;</w:t>
      </w:r>
    </w:p>
    <w:p>
      <w:pPr>
        <w:pStyle w:val="Indenta"/>
        <w:rPr>
          <w:snapToGrid w:val="0"/>
        </w:rPr>
      </w:pPr>
      <w:r>
        <w:rPr>
          <w:snapToGrid w:val="0"/>
        </w:rPr>
        <w:tab/>
        <w:t>(dd)</w:t>
      </w:r>
      <w:r>
        <w:rPr>
          <w:snapToGrid w:val="0"/>
        </w:rPr>
        <w:tab/>
        <w:t>prescribing penalties, not exceeding — </w:t>
      </w:r>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w:t>
      </w:r>
    </w:p>
    <w:p>
      <w:pPr>
        <w:pStyle w:val="Indenta"/>
        <w:rPr>
          <w:snapToGrid w:val="0"/>
        </w:rPr>
      </w:pPr>
      <w:r>
        <w:rPr>
          <w:snapToGrid w:val="0"/>
        </w:rPr>
        <w:tab/>
        <w:t>(ee)</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tab/>
        <w:t>(ii)</w:t>
      </w:r>
      <w:r>
        <w:rPr>
          <w:snapToGrid w:val="0"/>
        </w:rPr>
        <w:tab/>
        <w:t xml:space="preserve">throughout the State and all State waters or in a prescribed part or prescribed parts of the State or State waters; </w:t>
      </w:r>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220" w:name="_Toc411734501"/>
      <w:bookmarkStart w:id="221" w:name="_Toc526934770"/>
      <w:bookmarkStart w:id="222" w:name="_Toc527777300"/>
      <w:bookmarkStart w:id="223" w:name="_Toc103143843"/>
      <w:bookmarkStart w:id="224" w:name="_Toc272309055"/>
      <w:r>
        <w:rPr>
          <w:rStyle w:val="CharSectno"/>
        </w:rPr>
        <w:t>36</w:t>
      </w:r>
      <w:r>
        <w:rPr>
          <w:snapToGrid w:val="0"/>
        </w:rPr>
        <w:t>.</w:t>
      </w:r>
      <w:r>
        <w:rPr>
          <w:snapToGrid w:val="0"/>
        </w:rPr>
        <w:tab/>
        <w:t>Orders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225" w:name="_Toc411734502"/>
      <w:bookmarkStart w:id="226" w:name="_Toc526934771"/>
      <w:bookmarkStart w:id="227" w:name="_Toc527777301"/>
      <w:bookmarkStart w:id="228" w:name="_Toc103143844"/>
      <w:bookmarkStart w:id="229" w:name="_Toc272309056"/>
      <w:r>
        <w:rPr>
          <w:rStyle w:val="CharSectno"/>
        </w:rPr>
        <w:t>37</w:t>
      </w:r>
      <w:r>
        <w:rPr>
          <w:snapToGrid w:val="0"/>
        </w:rPr>
        <w:t>.</w:t>
      </w:r>
      <w:r>
        <w:rPr>
          <w:snapToGrid w:val="0"/>
        </w:rPr>
        <w:tab/>
        <w:t>Prescribing matters by reference to other instruments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230" w:name="_Toc411734503"/>
      <w:bookmarkStart w:id="231" w:name="_Toc526934772"/>
      <w:bookmarkStart w:id="232" w:name="_Toc527777302"/>
      <w:bookmarkStart w:id="233" w:name="_Toc103143845"/>
      <w:bookmarkStart w:id="234" w:name="_Toc272309057"/>
      <w:r>
        <w:rPr>
          <w:rStyle w:val="CharSectno"/>
        </w:rPr>
        <w:t>38</w:t>
      </w:r>
      <w:r>
        <w:rPr>
          <w:snapToGrid w:val="0"/>
        </w:rPr>
        <w:t>.</w:t>
      </w:r>
      <w:r>
        <w:rPr>
          <w:snapToGrid w:val="0"/>
        </w:rPr>
        <w:tab/>
        <w:t>Repeal and saving</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footnotePr>
            <w:numStart w:val="2"/>
          </w:footnotePr>
          <w:pgSz w:w="11906" w:h="16838" w:code="9"/>
          <w:pgMar w:top="2381" w:right="2409" w:bottom="3543" w:left="2409" w:header="720" w:footer="3380" w:gutter="0"/>
          <w:pgNumType w:start="1"/>
          <w:cols w:space="720"/>
          <w:noEndnote/>
          <w:titlePg/>
          <w:docGrid w:linePitch="326"/>
        </w:sectPr>
      </w:pPr>
    </w:p>
    <w:p>
      <w:pPr>
        <w:pStyle w:val="yScheduleHeading"/>
      </w:pPr>
      <w:bookmarkStart w:id="235" w:name="_Toc527777303"/>
      <w:bookmarkStart w:id="236" w:name="_Toc103143846"/>
      <w:bookmarkStart w:id="237" w:name="_Toc267925800"/>
      <w:bookmarkStart w:id="238" w:name="_Toc268185880"/>
      <w:bookmarkStart w:id="239" w:name="_Toc268617514"/>
      <w:bookmarkStart w:id="240" w:name="_Toc272309058"/>
      <w:r>
        <w:rPr>
          <w:rStyle w:val="CharSchNo"/>
        </w:rPr>
        <w:t>Schedule 1</w:t>
      </w:r>
      <w:bookmarkEnd w:id="235"/>
      <w:bookmarkEnd w:id="236"/>
      <w:bookmarkEnd w:id="237"/>
      <w:r>
        <w:t> — </w:t>
      </w:r>
      <w:r>
        <w:rPr>
          <w:rStyle w:val="CharSchText"/>
        </w:rPr>
        <w:t>1973 Convention</w:t>
      </w:r>
      <w:bookmarkEnd w:id="238"/>
      <w:bookmarkEnd w:id="239"/>
      <w:bookmarkEnd w:id="240"/>
    </w:p>
    <w:p>
      <w:pPr>
        <w:pStyle w:val="yShoulderClause"/>
      </w:pPr>
      <w:r>
        <w:t>[s. 3]</w:t>
      </w:r>
    </w:p>
    <w:p>
      <w:pPr>
        <w:pStyle w:val="yFootnoteheading"/>
      </w:pPr>
      <w:r>
        <w:tab/>
        <w:t>[Heading amended by No. 19 of 2010 s. 4.]</w:t>
      </w:r>
    </w:p>
    <w:p>
      <w:pPr>
        <w:pStyle w:val="MiscellaneousHeading"/>
        <w:rPr>
          <w:b/>
          <w:spacing w:val="-2"/>
        </w:rPr>
      </w:pPr>
      <w:r>
        <w:rPr>
          <w:b/>
        </w:rPr>
        <w:t xml:space="preserve">INTERNATIONAL CONVENTION FOR THE PREVENTION OF </w:t>
      </w:r>
      <w:r>
        <w:rPr>
          <w:b/>
          <w:spacing w:val="-2"/>
        </w:rPr>
        <w:t>POLLUTION FROM SHIPS, 1973</w:t>
      </w:r>
    </w:p>
    <w:p>
      <w:pPr>
        <w:pStyle w:val="MiscellaneousBody"/>
        <w:rPr>
          <w:sz w:val="22"/>
        </w:rPr>
      </w:pPr>
      <w:r>
        <w:rPr>
          <w:sz w:val="22"/>
        </w:rPr>
        <w:t>THE PARTIES TO THE CONVENTION,</w:t>
      </w:r>
    </w:p>
    <w:p>
      <w:pPr>
        <w:pStyle w:val="MiscellaneousBody"/>
        <w:rPr>
          <w:sz w:val="22"/>
        </w:rPr>
      </w:pPr>
      <w:r>
        <w:rPr>
          <w:sz w:val="22"/>
        </w:rPr>
        <w:t>BEING CONSCIOUS of the need to preserve the human environment in general and the marine environment in particular,</w:t>
      </w:r>
    </w:p>
    <w:p>
      <w:pPr>
        <w:pStyle w:val="MiscellaneousBody"/>
        <w:rPr>
          <w:sz w:val="22"/>
        </w:rPr>
      </w:pPr>
      <w:r>
        <w:rPr>
          <w:sz w:val="22"/>
        </w:rPr>
        <w:t>RECOGNIZING that deliberate, negligent or accidental release of oil and other harmful substances from ships constitutes a serious source of pollution,</w:t>
      </w:r>
    </w:p>
    <w:p>
      <w:pPr>
        <w:pStyle w:val="MiscellaneousBody"/>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rPr>
          <w:sz w:val="22"/>
        </w:rPr>
      </w:pPr>
      <w:r>
        <w:rPr>
          <w:sz w:val="22"/>
        </w:rPr>
        <w:t>CONSIDERING that this object may best be achieved by establishing rules not limited to oil pollution having a universal purport,</w:t>
      </w:r>
    </w:p>
    <w:p>
      <w:pPr>
        <w:pStyle w:val="MiscellaneousBody"/>
        <w:rPr>
          <w:sz w:val="22"/>
        </w:rPr>
      </w:pPr>
      <w:r>
        <w:rPr>
          <w:sz w:val="22"/>
        </w:rPr>
        <w:t>HAVE AGREED as follows:</w:t>
      </w:r>
    </w:p>
    <w:p>
      <w:pPr>
        <w:pStyle w:val="MiscellaneousHeading"/>
      </w:pPr>
      <w:r>
        <w:t>ARTICLE 1</w:t>
      </w:r>
    </w:p>
    <w:p>
      <w:pPr>
        <w:pStyle w:val="MiscellaneousHeading"/>
      </w:pPr>
      <w:r>
        <w:rPr>
          <w:i/>
        </w:rPr>
        <w:t>General Obligations under the Convention</w:t>
      </w:r>
    </w:p>
    <w:p>
      <w:pPr>
        <w:pStyle w:val="MiscellaneousBody"/>
        <w:rPr>
          <w:sz w:val="22"/>
        </w:rPr>
      </w:pPr>
      <w:r>
        <w:rPr>
          <w:sz w:val="22"/>
        </w:rPr>
        <w:t>(1) 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rPr>
          <w:sz w:val="22"/>
        </w:rPr>
      </w:pPr>
      <w:r>
        <w:rPr>
          <w:sz w:val="22"/>
        </w:rPr>
        <w:t>(2) Unless expressly provided otherwise, a reference to the present Convention constitutes at the same time a reference to its Protocols and to the Annexes.</w:t>
      </w:r>
    </w:p>
    <w:p>
      <w:pPr>
        <w:pStyle w:val="MiscellaneousHeading"/>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 “Regulations” means the Regulations contained in the Annexes to the present Convention.</w:t>
      </w:r>
    </w:p>
    <w:p>
      <w:pPr>
        <w:pStyle w:val="MiscellaneousBody"/>
        <w:rPr>
          <w:sz w:val="22"/>
        </w:rPr>
      </w:pPr>
      <w:r>
        <w:rPr>
          <w:sz w:val="22"/>
        </w:rPr>
        <w:t>(2) “Harmful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rPr>
          <w:sz w:val="22"/>
        </w:rPr>
        <w:t>(4) “Ship”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(5) “Administration” means the Government of the State under whose authority the ship is operating. With respect to a ship entitled to fly a flag of any State, the Administration is the Government of that State. With respect to fixed 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 “Incident” means an event involving the actual or probable discharge into the sea of a harmful substance, or effluents containing such a substance.</w:t>
      </w:r>
    </w:p>
    <w:p>
      <w:pPr>
        <w:pStyle w:val="MiscellaneousBody"/>
        <w:rPr>
          <w:sz w:val="22"/>
        </w:rPr>
      </w:pPr>
      <w:r>
        <w:rPr>
          <w:sz w:val="22"/>
        </w:rPr>
        <w:t>(7) “Organization” means the Inter</w:t>
      </w:r>
      <w:r>
        <w:rPr>
          <w:sz w:val="22"/>
        </w:rPr>
        <w:noBreakHyphen/>
        <w:t>Governmental Maritime Consultative Organization.</w:t>
      </w:r>
    </w:p>
    <w:p>
      <w:pPr>
        <w:pStyle w:val="MiscellaneousHeading"/>
      </w:pPr>
      <w:r>
        <w:tab/>
        <w:t>ARTICLE 3</w:t>
      </w:r>
    </w:p>
    <w:p>
      <w:pPr>
        <w:pStyle w:val="MiscellaneousHeading"/>
        <w:rPr>
          <w:i/>
          <w:spacing w:val="-2"/>
        </w:rPr>
      </w:pPr>
      <w:r>
        <w:tab/>
      </w:r>
      <w:r>
        <w:rPr>
          <w:i/>
        </w:rPr>
        <w:t>Application</w:t>
      </w:r>
    </w:p>
    <w:p>
      <w:pPr>
        <w:pStyle w:val="MiscellaneousBody"/>
        <w:rPr>
          <w:sz w:val="22"/>
        </w:rPr>
      </w:pPr>
      <w:r>
        <w:rPr>
          <w:sz w:val="22"/>
        </w:rPr>
        <w:t>(1) 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rPr>
          <w:sz w:val="22"/>
        </w:rPr>
        <w:t>(2) 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 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pPr>
      <w:r>
        <w:t>ARTICLE 4</w:t>
      </w:r>
    </w:p>
    <w:p>
      <w:pPr>
        <w:pStyle w:val="MiscellaneousHeading"/>
      </w:pPr>
      <w:r>
        <w:rPr>
          <w:i/>
        </w:rPr>
        <w:t>Violation</w:t>
      </w:r>
    </w:p>
    <w:p>
      <w:pPr>
        <w:pStyle w:val="MiscellaneousBody"/>
        <w:rPr>
          <w:sz w:val="22"/>
        </w:rPr>
      </w:pPr>
      <w:r>
        <w:rPr>
          <w:sz w:val="22"/>
        </w:rPr>
        <w:t>(1) 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 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rPr>
          <w:sz w:val="22"/>
        </w:rPr>
        <w:t>(3) 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 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pPr>
      <w:r>
        <w:t>ARTICLE 5</w:t>
      </w:r>
    </w:p>
    <w:p>
      <w:pPr>
        <w:pStyle w:val="MiscellaneousHeading"/>
        <w:rPr>
          <w:i/>
        </w:rPr>
      </w:pPr>
      <w:r>
        <w:rPr>
          <w:i/>
        </w:rPr>
        <w:t>Certificates and Special Rules on Inspection of Ships</w:t>
      </w:r>
    </w:p>
    <w:p>
      <w:pPr>
        <w:pStyle w:val="MiscellaneousBody"/>
        <w:rPr>
          <w:sz w:val="22"/>
        </w:rPr>
      </w:pPr>
      <w:r>
        <w:rPr>
          <w:sz w:val="22"/>
        </w:rPr>
        <w:t>(1) 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 A ship required to hold a certificate in accordance with the provisions of the Regulations is subject, while in the ports or off</w:t>
      </w:r>
      <w:r>
        <w:rPr>
          <w:sz w:val="22"/>
        </w:rPr>
        <w:noBreakHyphen/>
        <w:t>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 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 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pPr>
      <w:r>
        <w:t>ARTICLE 6</w:t>
      </w:r>
    </w:p>
    <w:p>
      <w:pPr>
        <w:pStyle w:val="MiscellaneousHeading"/>
      </w:pPr>
      <w:r>
        <w:rPr>
          <w:i/>
        </w:rPr>
        <w:t>Detection of Violations and Enforcement of the Convention</w:t>
      </w:r>
    </w:p>
    <w:p>
      <w:pPr>
        <w:pStyle w:val="MiscellaneousBody"/>
        <w:rPr>
          <w:sz w:val="22"/>
        </w:rPr>
      </w:pPr>
      <w:r>
        <w:rPr>
          <w:sz w:val="22"/>
        </w:rPr>
        <w:t>(1) 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 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 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t>(4) 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 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pPr>
      <w:r>
        <w:t>ARTICLE 7</w:t>
      </w:r>
    </w:p>
    <w:p>
      <w:pPr>
        <w:pStyle w:val="MiscellaneousHeading"/>
      </w:pPr>
      <w:r>
        <w:rPr>
          <w:i/>
        </w:rPr>
        <w:t>Undue Delay to Ships</w:t>
      </w:r>
    </w:p>
    <w:p>
      <w:pPr>
        <w:pStyle w:val="MiscellaneousBody"/>
        <w:rPr>
          <w:sz w:val="22"/>
        </w:rPr>
      </w:pPr>
      <w:r>
        <w:rPr>
          <w:sz w:val="22"/>
        </w:rPr>
        <w:t>(1) All possible efforts shall be made to avoid a ship being unduly detained or delayed under Article 4, 5 or 6 of the present Convention.</w:t>
      </w:r>
    </w:p>
    <w:p>
      <w:pPr>
        <w:pStyle w:val="MiscellaneousBody"/>
        <w:rPr>
          <w:sz w:val="22"/>
        </w:rPr>
      </w:pPr>
      <w:r>
        <w:rPr>
          <w:sz w:val="22"/>
        </w:rPr>
        <w:t>(2) When a ship is unduly detained or delayed under Article 4, 5 or 6 of the present Convention, it shall be entitled to compensation for any loss or damage suffered.</w:t>
      </w:r>
    </w:p>
    <w:p>
      <w:pPr>
        <w:pStyle w:val="MiscellaneousHeading"/>
      </w:pPr>
      <w:r>
        <w:t>ARTICLE 8</w:t>
      </w:r>
    </w:p>
    <w:p>
      <w:pPr>
        <w:pStyle w:val="MiscellaneousHeading"/>
        <w:rPr>
          <w:i/>
        </w:rPr>
      </w:pPr>
      <w:r>
        <w:rPr>
          <w:i/>
        </w:rPr>
        <w:t>Reports on Incidents Involving Harmful Substances</w:t>
      </w:r>
    </w:p>
    <w:p>
      <w:pPr>
        <w:pStyle w:val="MiscellaneousBody"/>
        <w:rPr>
          <w:sz w:val="22"/>
        </w:rPr>
      </w:pPr>
      <w:r>
        <w:rPr>
          <w:sz w:val="22"/>
        </w:rPr>
        <w:t>(1) A report of an incident shall be made without delay to the fullest extent possible in accordance with the provisions of Protocol I to the present Convention.</w:t>
      </w:r>
    </w:p>
    <w:p>
      <w:pPr>
        <w:pStyle w:val="MiscellaneousBody"/>
        <w:rPr>
          <w:sz w:val="22"/>
        </w:rPr>
      </w:pPr>
      <w:r>
        <w:rPr>
          <w:sz w:val="22"/>
        </w:rPr>
        <w:t>(2) Each Party to the Convention shall:</w:t>
      </w:r>
    </w:p>
    <w:p>
      <w:pPr>
        <w:pStyle w:val="ySubsection"/>
      </w:pPr>
      <w:r>
        <w:tab/>
        <w:t>(a)</w:t>
      </w:r>
      <w:r>
        <w:tab/>
        <w:t>make all arrangements necessary for an appropriate officer or agency to receive and process all reports on incidents; and</w:t>
      </w:r>
    </w:p>
    <w:p>
      <w:pPr>
        <w:pStyle w:val="ySubsection"/>
      </w:pPr>
      <w:r>
        <w:tab/>
        <w:t>(b)</w:t>
      </w:r>
      <w:r>
        <w:tab/>
        <w:t>notify the Organization with complete details of such arrangements for circulation to other Parties and Member States of the Organization.</w:t>
      </w:r>
    </w:p>
    <w:p>
      <w:pPr>
        <w:pStyle w:val="MiscellaneousBody"/>
        <w:keepNext/>
        <w:keepLines/>
        <w:rPr>
          <w:sz w:val="22"/>
        </w:rPr>
      </w:pPr>
      <w:r>
        <w:rPr>
          <w:sz w:val="22"/>
        </w:rPr>
        <w:t>(3) Whenever a Party receives a report under the provisions of the present Article, that Party shall relay the report without delay to:</w:t>
      </w:r>
    </w:p>
    <w:p>
      <w:pPr>
        <w:pStyle w:val="ySubsection"/>
        <w:keepNext/>
        <w:keepLines/>
      </w:pPr>
      <w:r>
        <w:tab/>
        <w:t>(a)</w:t>
      </w:r>
      <w:r>
        <w:tab/>
        <w:t>the Administration of the ship involved; and</w:t>
      </w:r>
    </w:p>
    <w:p>
      <w:pPr>
        <w:pStyle w:val="ySubsection"/>
      </w:pPr>
      <w:r>
        <w:tab/>
        <w:t>(b)</w:t>
      </w:r>
      <w:r>
        <w:tab/>
        <w:t>any other State which may be affected.</w:t>
      </w:r>
    </w:p>
    <w:p>
      <w:pPr>
        <w:pStyle w:val="MiscellaneousBody"/>
        <w:rPr>
          <w:sz w:val="22"/>
        </w:rPr>
      </w:pPr>
      <w:r>
        <w:rPr>
          <w:sz w:val="22"/>
        </w:rPr>
        <w:t>(4) 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pPr>
      <w:r>
        <w:t>ARTICLE 9</w:t>
      </w:r>
    </w:p>
    <w:p>
      <w:pPr>
        <w:pStyle w:val="MiscellaneousHeading"/>
      </w:pPr>
      <w:r>
        <w:rPr>
          <w:i/>
        </w:rPr>
        <w:t>Other Treaties and Interpretation</w:t>
      </w:r>
    </w:p>
    <w:p>
      <w:pPr>
        <w:pStyle w:val="MiscellaneousBody"/>
        <w:rPr>
          <w:sz w:val="22"/>
        </w:rPr>
      </w:pPr>
      <w:r>
        <w:rPr>
          <w:sz w:val="22"/>
        </w:rPr>
        <w:t>(1) 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 The term “jurisdiction” in the present Convention shall be construed in the light of international law in force at the time of application or interpretation of the present Convention.</w:t>
      </w:r>
    </w:p>
    <w:p>
      <w:pPr>
        <w:pStyle w:val="MiscellaneousHeading"/>
      </w:pPr>
      <w:r>
        <w:t>ARTICLE 10</w:t>
      </w:r>
    </w:p>
    <w:p>
      <w:pPr>
        <w:pStyle w:val="MiscellaneousHeading"/>
      </w:pPr>
      <w:r>
        <w:rPr>
          <w:i/>
        </w:rPr>
        <w:t>Settlement of Disputes</w:t>
      </w:r>
    </w:p>
    <w:p>
      <w:pPr>
        <w:pStyle w:val="MiscellaneousBody"/>
        <w:rPr>
          <w:sz w:val="22"/>
        </w:rPr>
      </w:pPr>
      <w:r>
        <w:rPr>
          <w:sz w:val="22"/>
        </w:rPr>
        <w:t>Any dispute between two or more Parties to the Convention concerning the interpretation or application of the present Convention shall, if settlement by negotiation between the Parties involved has not been possible, and if these Parties do not otherwise agree, be submitted upon request of any of them to arbitration as set out in Protocol II to the present Convention.</w:t>
      </w:r>
    </w:p>
    <w:p>
      <w:pPr>
        <w:pStyle w:val="MiscellaneousHeading"/>
      </w:pPr>
      <w:r>
        <w:t>ARTICLE 11</w:t>
      </w:r>
    </w:p>
    <w:p>
      <w:pPr>
        <w:pStyle w:val="MiscellaneousHeading"/>
      </w:pPr>
      <w:r>
        <w:rPr>
          <w:i/>
        </w:rPr>
        <w:t>Communication of Information</w:t>
      </w:r>
    </w:p>
    <w:p>
      <w:pPr>
        <w:pStyle w:val="MiscellaneousBody"/>
        <w:rPr>
          <w:sz w:val="22"/>
        </w:rPr>
      </w:pPr>
      <w:r>
        <w:rPr>
          <w:sz w:val="22"/>
        </w:rPr>
        <w:t>(1) The Parties to the Convention undertake to communicate to the Organization:</w:t>
      </w:r>
    </w:p>
    <w:p>
      <w:pPr>
        <w:pStyle w:val="ySubsection"/>
      </w:pPr>
      <w:r>
        <w:tab/>
        <w:t>(a)</w:t>
      </w:r>
      <w:r>
        <w:tab/>
        <w:t>the text of laws, orders, decrees and regulations and other instruments which have been promulgated on the various matters within the scope of the present Convention;</w:t>
      </w:r>
    </w:p>
    <w:p>
      <w:pPr>
        <w:pStyle w:val="ySubsection"/>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pPr>
      <w:r>
        <w:tab/>
        <w:t>(c)</w:t>
      </w:r>
      <w:r>
        <w:tab/>
        <w:t>a sufficient number of specimens of their certificates issued under the provisions of the Regulations;</w:t>
      </w:r>
    </w:p>
    <w:p>
      <w:pPr>
        <w:pStyle w:val="ySubsection"/>
      </w:pPr>
      <w:r>
        <w:tab/>
        <w:t>(d)</w:t>
      </w:r>
      <w:r>
        <w:tab/>
        <w:t>a list of reception facilities including their location, capacity and available facilities and other characteristics;</w:t>
      </w:r>
    </w:p>
    <w:p>
      <w:pPr>
        <w:pStyle w:val="ySubsection"/>
      </w:pPr>
      <w:r>
        <w:tab/>
        <w:t>(e)</w:t>
      </w:r>
      <w:r>
        <w:tab/>
        <w:t>official reports or summaries of official reports in so far as they show the results of the application of the present Convention; and</w:t>
      </w:r>
    </w:p>
    <w:p>
      <w:pPr>
        <w:pStyle w:val="ySubsection"/>
      </w:pPr>
      <w:r>
        <w:tab/>
        <w:t>(f)</w:t>
      </w:r>
      <w:r>
        <w:tab/>
        <w:t>an annual statistical report, in a form standardized by the Organization, of penalties actually imposed for infringement of the present Convention.</w:t>
      </w:r>
    </w:p>
    <w:p>
      <w:pPr>
        <w:pStyle w:val="MiscellaneousBody"/>
        <w:rPr>
          <w:sz w:val="22"/>
        </w:rPr>
      </w:pPr>
      <w:r>
        <w:rPr>
          <w:sz w:val="22"/>
        </w:rPr>
        <w:t>(2) 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pPr>
      <w:r>
        <w:t>ARTICLE 12</w:t>
      </w:r>
    </w:p>
    <w:p>
      <w:pPr>
        <w:pStyle w:val="MiscellaneousHeading"/>
      </w:pPr>
      <w:r>
        <w:rPr>
          <w:i/>
        </w:rPr>
        <w:t>Casualties to Ships</w:t>
      </w:r>
    </w:p>
    <w:p>
      <w:pPr>
        <w:pStyle w:val="MiscellaneousBody"/>
        <w:rPr>
          <w:sz w:val="22"/>
        </w:rPr>
      </w:pPr>
      <w:r>
        <w:rPr>
          <w:sz w:val="22"/>
        </w:rPr>
        <w:t>(1) Each Administration undertakes to conduct an investigation of any casualty occurring to any of its ships subject to the provisions of the Regulations if such casualty has produced a major deleterious effect upon the marine environment.</w:t>
      </w:r>
    </w:p>
    <w:p>
      <w:pPr>
        <w:pStyle w:val="MiscellaneousBody"/>
        <w:rPr>
          <w:sz w:val="22"/>
        </w:rPr>
      </w:pPr>
      <w:r>
        <w:rPr>
          <w:sz w:val="22"/>
        </w:rPr>
        <w:t>(2) 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pPr>
      <w:r>
        <w:t>ARTICLE 13</w:t>
      </w:r>
    </w:p>
    <w:p>
      <w:pPr>
        <w:pStyle w:val="MiscellaneousHeading"/>
      </w:pPr>
      <w:r>
        <w:rPr>
          <w:i/>
        </w:rPr>
        <w:t>Signature, Ratification, Acceptance, Approval and Accession</w:t>
      </w:r>
    </w:p>
    <w:p>
      <w:pPr>
        <w:pStyle w:val="MiscellaneousBody"/>
        <w:rPr>
          <w:sz w:val="22"/>
        </w:rPr>
      </w:pPr>
      <w:r>
        <w:rPr>
          <w:sz w:val="22"/>
        </w:rPr>
        <w:t>(1) 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 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 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pPr>
      <w:r>
        <w:t>ARTICLE 14</w:t>
      </w:r>
    </w:p>
    <w:p>
      <w:pPr>
        <w:pStyle w:val="MiscellaneousHeading"/>
      </w:pPr>
      <w:r>
        <w:rPr>
          <w:i/>
        </w:rPr>
        <w:t>Optional Annexes</w:t>
      </w:r>
    </w:p>
    <w:p>
      <w:pPr>
        <w:pStyle w:val="MiscellaneousBody"/>
        <w:rPr>
          <w:sz w:val="22"/>
        </w:rPr>
      </w:pPr>
      <w:r>
        <w:rPr>
          <w:sz w:val="22"/>
        </w:rPr>
        <w:t>(1) 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t>(2) 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 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 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pPr>
      <w:r>
        <w:t>ARTICLE 15</w:t>
      </w:r>
    </w:p>
    <w:p>
      <w:pPr>
        <w:pStyle w:val="MiscellaneousHeading"/>
      </w:pPr>
      <w:r>
        <w:rPr>
          <w:i/>
        </w:rPr>
        <w:t>Entry into Force</w:t>
      </w:r>
    </w:p>
    <w:p>
      <w:pPr>
        <w:pStyle w:val="MiscellaneousBody"/>
        <w:rPr>
          <w:sz w:val="22"/>
        </w:rPr>
      </w:pPr>
      <w:r>
        <w:rPr>
          <w:sz w:val="22"/>
        </w:rPr>
        <w:t>(1) 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 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 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(4) 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such Annex or three months after the date of deposit of the instrument whichever is the later date.</w:t>
      </w:r>
    </w:p>
    <w:p>
      <w:pPr>
        <w:pStyle w:val="MiscellaneousBody"/>
        <w:rPr>
          <w:sz w:val="22"/>
        </w:rPr>
      </w:pPr>
      <w:r>
        <w:rPr>
          <w:sz w:val="22"/>
        </w:rPr>
        <w:t>(5) 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 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pPr>
      <w:r>
        <w:t>ARTICLE 16</w:t>
      </w:r>
    </w:p>
    <w:p>
      <w:pPr>
        <w:pStyle w:val="MiscellaneousHeading"/>
        <w:rPr>
          <w:sz w:val="22"/>
        </w:rPr>
      </w:pPr>
      <w:r>
        <w:rPr>
          <w:i/>
          <w:sz w:val="22"/>
        </w:rPr>
        <w:t>Amendments</w:t>
      </w:r>
    </w:p>
    <w:p>
      <w:pPr>
        <w:pStyle w:val="MiscellaneousBody"/>
        <w:rPr>
          <w:sz w:val="22"/>
        </w:rPr>
      </w:pPr>
      <w:r>
        <w:rPr>
          <w:sz w:val="22"/>
        </w:rPr>
        <w:t>(1) The present Convention may be amended by any of the procedures specified in the following paragraphs.</w:t>
      </w:r>
    </w:p>
    <w:p>
      <w:pPr>
        <w:pStyle w:val="MiscellaneousBody"/>
        <w:rPr>
          <w:sz w:val="22"/>
        </w:rPr>
      </w:pPr>
      <w:r>
        <w:rPr>
          <w:sz w:val="22"/>
        </w:rPr>
        <w:t>(2) 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rPr>
          <w:sz w:val="22"/>
        </w:rPr>
      </w:pPr>
      <w:r>
        <w:rPr>
          <w:sz w:val="22"/>
        </w:rPr>
        <w:t>(3) Amendment by a Conference:</w:t>
      </w:r>
    </w:p>
    <w:p>
      <w:pPr>
        <w:pStyle w:val="ySubsection"/>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pPr>
      <w:r>
        <w:tab/>
        <w:t>(b)</w:t>
      </w:r>
      <w:r>
        <w:tab/>
        <w:t>Any Party which has declined to accept an amendment to an Annex shall be treated as a non</w:t>
      </w:r>
      <w:r>
        <w:noBreakHyphen/>
        <w:t>Party only for the purpose of application of that Amendment.</w:t>
      </w:r>
    </w:p>
    <w:p>
      <w:pPr>
        <w:pStyle w:val="MiscellaneousBody"/>
        <w:rPr>
          <w:sz w:val="22"/>
        </w:rPr>
      </w:pPr>
      <w:r>
        <w:rPr>
          <w:sz w:val="22"/>
        </w:rPr>
        <w:t>(5) The adoption and entry into force of a new Annex shall be subject to the same procedures as for the adoption and entry into force of an amendment to an Article of the Convention.</w:t>
      </w:r>
    </w:p>
    <w:p>
      <w:pPr>
        <w:pStyle w:val="MiscellaneousBody"/>
        <w:rPr>
          <w:sz w:val="22"/>
        </w:rPr>
      </w:pPr>
      <w:r>
        <w:rPr>
          <w:sz w:val="22"/>
        </w:rPr>
        <w:t>(6) 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 Any amendment to a Protocol or to an Annex shall relate to the substance of that Protocol or Annex and shall be consistent with the Articles of the present Convention.</w:t>
      </w:r>
    </w:p>
    <w:p>
      <w:pPr>
        <w:pStyle w:val="MiscellaneousBody"/>
        <w:rPr>
          <w:sz w:val="22"/>
        </w:rPr>
      </w:pPr>
      <w:r>
        <w:rPr>
          <w:sz w:val="22"/>
        </w:rPr>
        <w:t>(8) 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 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pPr>
      <w:r>
        <w:tab/>
        <w:t>(a)</w:t>
      </w:r>
      <w:r>
        <w:tab/>
        <w:t>the training of scientific and technical personnel;</w:t>
      </w:r>
    </w:p>
    <w:p>
      <w:pPr>
        <w:pStyle w:val="ySubsection"/>
      </w:pPr>
      <w:r>
        <w:tab/>
        <w:t>(b)</w:t>
      </w:r>
      <w:r>
        <w:tab/>
        <w:t>the supply of necessary equipment and facilities for reception and monitoring;</w:t>
      </w:r>
    </w:p>
    <w:p>
      <w:pPr>
        <w:pStyle w:val="ySubsection"/>
      </w:pPr>
      <w:r>
        <w:tab/>
        <w:t>(c)</w:t>
      </w:r>
      <w:r>
        <w:tab/>
        <w:t>the facilitation of other measures and arrangements to prevent or mitigate pollution of the marine environment by ships; and</w:t>
      </w:r>
    </w:p>
    <w:p>
      <w:pPr>
        <w:pStyle w:val="ySubsection"/>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pPr>
      <w:r>
        <w:t>ARTICLE 18</w:t>
      </w:r>
    </w:p>
    <w:p>
      <w:pPr>
        <w:pStyle w:val="MiscellaneousHeading"/>
        <w:spacing w:before="100"/>
      </w:pPr>
      <w:r>
        <w:rPr>
          <w:i/>
        </w:rPr>
        <w:t>Denunciation</w:t>
      </w:r>
    </w:p>
    <w:p>
      <w:pPr>
        <w:pStyle w:val="MiscellaneousBody"/>
        <w:spacing w:before="100"/>
        <w:rPr>
          <w:sz w:val="22"/>
        </w:rPr>
      </w:pPr>
      <w:r>
        <w:rPr>
          <w:sz w:val="22"/>
        </w:rPr>
        <w:t>(1) 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 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 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pPr>
      <w:r>
        <w:t>ARTICLE 19</w:t>
      </w:r>
    </w:p>
    <w:p>
      <w:pPr>
        <w:pStyle w:val="MiscellaneousHeading"/>
        <w:spacing w:before="100"/>
      </w:pPr>
      <w:r>
        <w:rPr>
          <w:i/>
        </w:rPr>
        <w:t>Deposit and Registration</w:t>
      </w:r>
    </w:p>
    <w:p>
      <w:pPr>
        <w:pStyle w:val="MiscellaneousBody"/>
        <w:spacing w:before="100"/>
        <w:rPr>
          <w:sz w:val="22"/>
        </w:rPr>
      </w:pPr>
      <w:r>
        <w:rPr>
          <w:sz w:val="22"/>
        </w:rPr>
        <w:t>(1) 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 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rPr>
          <w:sz w:val="22"/>
        </w:rPr>
        <w:t>(1) 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pPr>
      <w:r>
        <w:t>Article II</w:t>
      </w:r>
    </w:p>
    <w:p>
      <w:pPr>
        <w:pStyle w:val="MiscellaneousHeading"/>
      </w:pPr>
      <w:r>
        <w:rPr>
          <w:i/>
        </w:rPr>
        <w:t>Methods of Reporting</w:t>
      </w:r>
    </w:p>
    <w:p>
      <w:pPr>
        <w:pStyle w:val="MiscellaneousBody"/>
        <w:rPr>
          <w:sz w:val="22"/>
        </w:rPr>
      </w:pPr>
      <w:r>
        <w:rPr>
          <w:sz w:val="22"/>
        </w:rPr>
        <w:t>(1) 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 Reports shall be directed to the appropriate officer or agency specified in paragraph (2)(a) of Article 8 of the Convention.</w:t>
      </w:r>
    </w:p>
    <w:p>
      <w:pPr>
        <w:pStyle w:val="MiscellaneousHeading"/>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40"/>
      </w:pPr>
      <w:r>
        <w:tab/>
        <w:t>(a)</w:t>
      </w:r>
      <w:r>
        <w:tab/>
        <w:t>a discharge other than as permitted under the present Convention; or</w:t>
      </w:r>
    </w:p>
    <w:p>
      <w:pPr>
        <w:pStyle w:val="ySubsection"/>
        <w:spacing w:before="140"/>
      </w:pPr>
      <w:r>
        <w:tab/>
        <w:t>(b)</w:t>
      </w:r>
      <w:r>
        <w:tab/>
        <w:t>a discharge permitted under the present Convention by virtue of the fact that:</w:t>
      </w:r>
    </w:p>
    <w:p>
      <w:pPr>
        <w:pStyle w:val="yIndenta"/>
      </w:pPr>
      <w:r>
        <w:tab/>
        <w:t>(i)</w:t>
      </w:r>
      <w:r>
        <w:tab/>
        <w:t>it is for the purpose of securing the safety of a ship or saving life at sea; or</w:t>
      </w:r>
    </w:p>
    <w:p>
      <w:pPr>
        <w:pStyle w:val="yIndenta"/>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pPr>
      <w:r>
        <w:t>Article IV</w:t>
      </w:r>
    </w:p>
    <w:p>
      <w:pPr>
        <w:pStyle w:val="MiscellaneousHeading"/>
      </w:pPr>
      <w:r>
        <w:rPr>
          <w:i/>
        </w:rPr>
        <w:t>Contents of Report</w:t>
      </w:r>
    </w:p>
    <w:p>
      <w:pPr>
        <w:pStyle w:val="MiscellaneousBody"/>
        <w:rPr>
          <w:sz w:val="22"/>
        </w:rPr>
      </w:pPr>
      <w:r>
        <w:rPr>
          <w:sz w:val="22"/>
        </w:rPr>
        <w:t>(1) 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rPr>
          <w:sz w:val="22"/>
        </w:rPr>
        <w:t>(2) 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rPr>
          <w:sz w:val="22"/>
        </w:rPr>
        <w:t>(3) Each report shall clearly indicate whether the harmful substance discharged, or likely to be discharged is oil, a noxious liquid substance, a 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 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40"/>
      </w:pPr>
      <w:r>
        <w:rPr>
          <w:i/>
        </w:rPr>
        <w:t>Supplementary Report</w:t>
      </w:r>
    </w:p>
    <w:p>
      <w:pPr>
        <w:pStyle w:val="MiscellaneousBody"/>
        <w:spacing w:before="140"/>
        <w:rPr>
          <w:sz w:val="22"/>
        </w:rPr>
      </w:pPr>
      <w:r>
        <w:rPr>
          <w:sz w:val="22"/>
        </w:rPr>
        <w:t>Any person who is obliged under the provisions of this Protocol to send a report shall, when possible:</w:t>
      </w:r>
    </w:p>
    <w:p>
      <w:pPr>
        <w:pStyle w:val="ySubsection"/>
        <w:spacing w:before="140"/>
      </w:pPr>
      <w:r>
        <w:tab/>
        <w:t>(a)</w:t>
      </w:r>
      <w:r>
        <w:tab/>
        <w:t>supplement the initial report, as necessary, with information concerning further developments; and</w:t>
      </w:r>
    </w:p>
    <w:p>
      <w:pPr>
        <w:pStyle w:val="ySubsection"/>
        <w:spacing w:before="140"/>
      </w:pPr>
      <w:r>
        <w:tab/>
        <w:t>(b)</w:t>
      </w:r>
      <w:r>
        <w:tab/>
        <w:t>comply as fully as possible with requests from affected States for additional information concerning the incident.</w:t>
      </w:r>
    </w:p>
    <w:p>
      <w:pPr>
        <w:pStyle w:val="MiscellaneousHeading"/>
        <w:spacing w:before="280"/>
        <w:rPr>
          <w:b/>
        </w:rPr>
      </w:pPr>
      <w:r>
        <w:rPr>
          <w:b/>
        </w:rPr>
        <w:t>PROTOCOL II</w:t>
      </w:r>
    </w:p>
    <w:p>
      <w:pPr>
        <w:pStyle w:val="MiscellaneousHeading"/>
      </w:pPr>
      <w:r>
        <w:rPr>
          <w:b/>
        </w:rPr>
        <w:t>ARBITRATION</w:t>
      </w:r>
      <w:r>
        <w:rPr>
          <w:b/>
        </w:rPr>
        <w:br/>
      </w:r>
      <w:r>
        <w:t>(in accordance with Article 10 of the Convention)</w:t>
      </w:r>
    </w:p>
    <w:p>
      <w:pPr>
        <w:pStyle w:val="MiscellaneousHeading"/>
      </w:pPr>
      <w:r>
        <w:t>Article I</w:t>
      </w:r>
    </w:p>
    <w:p>
      <w:pPr>
        <w:pStyle w:val="MiscellaneousBody"/>
        <w:spacing w:before="140"/>
        <w:rPr>
          <w:sz w:val="22"/>
        </w:rPr>
      </w:pPr>
      <w:r>
        <w:rPr>
          <w:sz w:val="22"/>
        </w:rPr>
        <w:t>Arbitration procedure, unless the Parties to the dispute decide otherwise, shall be in accordance with the rules set out in this Protocol.</w:t>
      </w:r>
    </w:p>
    <w:p>
      <w:pPr>
        <w:pStyle w:val="MiscellaneousHeading"/>
      </w:pPr>
      <w:r>
        <w:t>Article II</w:t>
      </w:r>
    </w:p>
    <w:p>
      <w:pPr>
        <w:pStyle w:val="MiscellaneousBody"/>
        <w:spacing w:before="140"/>
        <w:rPr>
          <w:sz w:val="22"/>
        </w:rPr>
      </w:pPr>
      <w:r>
        <w:rPr>
          <w:sz w:val="22"/>
        </w:rPr>
        <w:t>(1) 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40"/>
        <w:rPr>
          <w:sz w:val="22"/>
        </w:rPr>
      </w:pPr>
      <w:r>
        <w:rPr>
          <w:sz w:val="22"/>
        </w:rPr>
        <w:t>(2) 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pPr>
      <w:r>
        <w:t>Article III</w:t>
      </w:r>
    </w:p>
    <w:p>
      <w:pPr>
        <w:pStyle w:val="MiscellaneousBody"/>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pPr>
      <w:r>
        <w:t>Article IV</w:t>
      </w:r>
    </w:p>
    <w:p>
      <w:pPr>
        <w:pStyle w:val="MiscellaneousBody"/>
        <w:rPr>
          <w:sz w:val="22"/>
        </w:rPr>
      </w:pPr>
      <w:r>
        <w:rPr>
          <w:sz w:val="22"/>
        </w:rPr>
        <w:t>(1) 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 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 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 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 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pPr>
      <w:r>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pPr>
      <w:r>
        <w:t>Article IX</w:t>
      </w:r>
    </w:p>
    <w:p>
      <w:pPr>
        <w:pStyle w:val="MiscellaneousBody"/>
        <w:rPr>
          <w:sz w:val="22"/>
        </w:rPr>
      </w:pPr>
      <w:r>
        <w:rPr>
          <w:sz w:val="22"/>
        </w:rPr>
        <w:t>(1) 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 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rPr>
          <w:sz w:val="22"/>
        </w:rPr>
        <w:t>(3) Absence or default of one Party shall not constitute an impediment to the procedure.</w:t>
      </w:r>
    </w:p>
    <w:p>
      <w:pPr>
        <w:pStyle w:val="MiscellaneousHeading"/>
      </w:pPr>
      <w:r>
        <w:t>Article X</w:t>
      </w:r>
    </w:p>
    <w:p>
      <w:pPr>
        <w:pStyle w:val="MiscellaneousBody"/>
        <w:rPr>
          <w:sz w:val="22"/>
        </w:rPr>
      </w:pPr>
      <w:r>
        <w:rPr>
          <w:sz w:val="22"/>
        </w:rPr>
        <w:t>(1) 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 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 “Oil”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 “Oily mixture” means a mixture with any oil content.</w:t>
      </w:r>
    </w:p>
    <w:p>
      <w:pPr>
        <w:pStyle w:val="MiscellaneousBody"/>
        <w:keepNext/>
        <w:keepLines/>
        <w:rPr>
          <w:sz w:val="22"/>
        </w:rPr>
      </w:pPr>
      <w:r>
        <w:rPr>
          <w:sz w:val="22"/>
        </w:rPr>
        <w:t>(3) “Oil fuel” means any oil used as fuel in connexion with the propulsion and auxiliary machinery of the ship in which such oil is carried.</w:t>
      </w:r>
    </w:p>
    <w:p>
      <w:pPr>
        <w:pStyle w:val="MiscellaneousBody"/>
        <w:rPr>
          <w:sz w:val="22"/>
        </w:rPr>
      </w:pPr>
      <w:r>
        <w:rPr>
          <w:sz w:val="22"/>
        </w:rPr>
        <w:t>(4) “Oil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 “Combination carrier” means a ship designed to carry either oil or solid cargoes in bulk.</w:t>
      </w:r>
    </w:p>
    <w:p>
      <w:pPr>
        <w:pStyle w:val="MiscellaneousBody"/>
        <w:rPr>
          <w:sz w:val="22"/>
        </w:rPr>
      </w:pPr>
      <w:r>
        <w:rPr>
          <w:sz w:val="22"/>
        </w:rPr>
        <w:t>(6) “New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rPr>
          <w:sz w:val="22"/>
        </w:rPr>
        <w:t>(7) “Existing ship” means a ship which is not a new ship.</w:t>
      </w:r>
    </w:p>
    <w:p>
      <w:pPr>
        <w:pStyle w:val="MiscellaneousBody"/>
        <w:rPr>
          <w:sz w:val="22"/>
        </w:rPr>
      </w:pPr>
      <w:r>
        <w:rPr>
          <w:sz w:val="22"/>
        </w:rPr>
        <w:t>(8) “Major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rPr>
          <w:sz w:val="22"/>
        </w:rPr>
        <w:t>(9) “Nearest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(10) “Special area” means a sea area where for recognized technical reasons in relation to its oceanographical and ecological condition and to the particular character of its traffic the adoption of special mandatory methods for the prevention of sea pollution by oil is required. Special areas shall include those listed in Regulation 10 of this Annex.</w:t>
      </w:r>
    </w:p>
    <w:p>
      <w:pPr>
        <w:pStyle w:val="MiscellaneousBody"/>
        <w:rPr>
          <w:sz w:val="22"/>
        </w:rPr>
      </w:pPr>
      <w:r>
        <w:rPr>
          <w:sz w:val="22"/>
        </w:rPr>
        <w:t>(11) “Instantaneous rate of discharge of oil content” means the rate of discharge of oil in litres per hour at any instant divided by the speed of the ship in knots at the same instant.</w:t>
      </w:r>
    </w:p>
    <w:p>
      <w:pPr>
        <w:pStyle w:val="MiscellaneousBody"/>
        <w:rPr>
          <w:sz w:val="22"/>
        </w:rPr>
      </w:pPr>
      <w:r>
        <w:rPr>
          <w:sz w:val="22"/>
        </w:rPr>
        <w:t>(12) “Tank” means an enclosed space which is formed by the permanent structure of a ship and which is designed for the carriage of liquid in bulk.</w:t>
      </w:r>
    </w:p>
    <w:p>
      <w:pPr>
        <w:pStyle w:val="MiscellaneousBody"/>
        <w:rPr>
          <w:sz w:val="22"/>
        </w:rPr>
      </w:pPr>
      <w:r>
        <w:rPr>
          <w:sz w:val="22"/>
        </w:rPr>
        <w:t>(13) “Wing tank” means any tank adjacent to the side shell plating.</w:t>
      </w:r>
    </w:p>
    <w:p>
      <w:pPr>
        <w:pStyle w:val="MiscellaneousBody"/>
        <w:rPr>
          <w:sz w:val="22"/>
        </w:rPr>
      </w:pPr>
      <w:r>
        <w:rPr>
          <w:sz w:val="22"/>
        </w:rPr>
        <w:t>(14) “Centre tank” means any tank inboard of a longitudinal bulkhead.</w:t>
      </w:r>
    </w:p>
    <w:p>
      <w:pPr>
        <w:pStyle w:val="MiscellaneousBody"/>
        <w:rPr>
          <w:sz w:val="22"/>
        </w:rPr>
      </w:pPr>
      <w:r>
        <w:rPr>
          <w:sz w:val="22"/>
        </w:rPr>
        <w:t>(15) “Slop tank” means a tank specifically designated for the collection of tank drainings, tank washings and other oily mixtures.</w:t>
      </w:r>
    </w:p>
    <w:p>
      <w:pPr>
        <w:pStyle w:val="MiscellaneousBody"/>
        <w:rPr>
          <w:sz w:val="22"/>
        </w:rPr>
      </w:pPr>
      <w:r>
        <w:rPr>
          <w:sz w:val="22"/>
        </w:rPr>
        <w:t>(16) “Clean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 “Segregated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 “Length”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t>(19) “Forward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 “Amidships” is at the middle of the length (L).</w:t>
      </w:r>
    </w:p>
    <w:p>
      <w:pPr>
        <w:pStyle w:val="MiscellaneousBody"/>
        <w:rPr>
          <w:sz w:val="22"/>
        </w:rPr>
      </w:pPr>
      <w:r>
        <w:rPr>
          <w:sz w:val="22"/>
        </w:rPr>
        <w:t>(21) “Breadth”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 “Deadweight”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 “Lightweight”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 “Permeability” of a space means the ratio of the volume within that space which is assumed to be occupied by water to the total volume of that space.</w:t>
      </w:r>
    </w:p>
    <w:p>
      <w:pPr>
        <w:pStyle w:val="MiscellaneousBody"/>
        <w:rPr>
          <w:sz w:val="22"/>
        </w:rPr>
      </w:pPr>
      <w:r>
        <w:rPr>
          <w:sz w:val="22"/>
        </w:rPr>
        <w:t>(25) “Volumes” and “areas” in a ship shall be calculated in all cases to moulded lines.</w:t>
      </w:r>
    </w:p>
    <w:p>
      <w:pPr>
        <w:pStyle w:val="MiscellaneousHeading"/>
        <w:rPr>
          <w:sz w:val="22"/>
        </w:rPr>
      </w:pPr>
      <w:r>
        <w:rPr>
          <w:sz w:val="22"/>
        </w:rPr>
        <w:t>Regulation 2</w:t>
      </w:r>
    </w:p>
    <w:p>
      <w:pPr>
        <w:pStyle w:val="MiscellaneousHeading"/>
        <w:rPr>
          <w:i/>
          <w:spacing w:val="-2"/>
          <w:sz w:val="22"/>
        </w:rPr>
      </w:pPr>
      <w:r>
        <w:rPr>
          <w:i/>
          <w:sz w:val="22"/>
        </w:rPr>
        <w:t>Application</w:t>
      </w:r>
    </w:p>
    <w:p>
      <w:pPr>
        <w:pStyle w:val="MiscellaneousBody"/>
        <w:rPr>
          <w:sz w:val="22"/>
        </w:rPr>
      </w:pPr>
      <w:r>
        <w:rPr>
          <w:sz w:val="22"/>
        </w:rPr>
        <w:t>(1) Unless expressly provided otherwise, the provisions of this Annex shall apply to all ships.</w:t>
      </w:r>
    </w:p>
    <w:p>
      <w:pPr>
        <w:pStyle w:val="MiscellaneousBody"/>
        <w:rPr>
          <w:sz w:val="22"/>
        </w:rPr>
      </w:pPr>
      <w:r>
        <w:rPr>
          <w:sz w:val="22"/>
        </w:rPr>
        <w:t>(2) 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t>(3) 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rPr>
          <w:sz w:val="22"/>
        </w:rPr>
      </w:pPr>
      <w:r>
        <w:rPr>
          <w:sz w:val="22"/>
        </w:rPr>
        <w:t>Regulation 3</w:t>
      </w:r>
    </w:p>
    <w:p>
      <w:pPr>
        <w:pStyle w:val="MiscellaneousHeading"/>
        <w:rPr>
          <w:i/>
          <w:spacing w:val="-2"/>
          <w:sz w:val="22"/>
        </w:rPr>
      </w:pPr>
      <w:r>
        <w:rPr>
          <w:i/>
          <w:sz w:val="22"/>
        </w:rPr>
        <w:t>Equivalents</w:t>
      </w:r>
    </w:p>
    <w:p>
      <w:pPr>
        <w:pStyle w:val="MiscellaneousBody"/>
        <w:rPr>
          <w:sz w:val="22"/>
        </w:rPr>
      </w:pPr>
      <w:r>
        <w:rPr>
          <w:sz w:val="22"/>
        </w:rPr>
        <w:t>(1)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 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rPr>
          <w:sz w:val="22"/>
        </w:rPr>
      </w:pPr>
      <w:r>
        <w:rPr>
          <w:sz w:val="22"/>
        </w:rPr>
        <w:t>Regulation 4</w:t>
      </w:r>
    </w:p>
    <w:p>
      <w:pPr>
        <w:pStyle w:val="MiscellaneousHeading"/>
        <w:rPr>
          <w:i/>
          <w:spacing w:val="-2"/>
          <w:sz w:val="22"/>
        </w:rPr>
      </w:pPr>
      <w:r>
        <w:rPr>
          <w:i/>
          <w:sz w:val="22"/>
        </w:rPr>
        <w:t>Surveys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rPr>
          <w:sz w:val="22"/>
        </w:rPr>
        <w:t>(2) 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(3) Surveys of the ship as regards enforcement of the provisions of this Annex shall be carried out by officers of the Administration. The Administration may, however, entrust the surveys either to surveyors nominated for the purpose or to organizations recognized by it. In every case the Administration concerned fully guarantees the completeness and efficiency of the surveys.</w:t>
      </w:r>
    </w:p>
    <w:p>
      <w:pPr>
        <w:pStyle w:val="MiscellaneousBody"/>
        <w:rPr>
          <w:sz w:val="22"/>
        </w:rPr>
      </w:pPr>
      <w:r>
        <w:rPr>
          <w:sz w:val="22"/>
        </w:rPr>
        <w:t>(4) 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rPr>
          <w:sz w:val="22"/>
        </w:rPr>
      </w:pPr>
      <w:r>
        <w:rPr>
          <w:sz w:val="22"/>
        </w:rPr>
        <w:t>Regulation 5</w:t>
      </w:r>
    </w:p>
    <w:p>
      <w:pPr>
        <w:pStyle w:val="MiscellaneousHeading"/>
        <w:rPr>
          <w:i/>
          <w:spacing w:val="-2"/>
          <w:sz w:val="22"/>
        </w:rPr>
      </w:pPr>
      <w:r>
        <w:rPr>
          <w:i/>
          <w:sz w:val="22"/>
        </w:rPr>
        <w:t>Issue of Certificate</w:t>
      </w:r>
    </w:p>
    <w:p>
      <w:pPr>
        <w:pStyle w:val="MiscellaneousBody"/>
        <w:rPr>
          <w:sz w:val="22"/>
        </w:rPr>
      </w:pPr>
      <w:r>
        <w:rPr>
          <w:sz w:val="22"/>
        </w:rPr>
        <w:t>(1) 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 Such Certificate shall be issued either by the Administration or by any persons or organization duly authorized by it. In every case the Administration assumes full responsibility for the certificate.</w:t>
      </w:r>
    </w:p>
    <w:p>
      <w:pPr>
        <w:pStyle w:val="MiscellaneousHeading"/>
        <w:rPr>
          <w:sz w:val="22"/>
        </w:rPr>
      </w:pPr>
      <w:r>
        <w:rPr>
          <w:sz w:val="22"/>
        </w:rPr>
        <w:t>Regulation 6</w:t>
      </w:r>
    </w:p>
    <w:p>
      <w:pPr>
        <w:pStyle w:val="MiscellaneousHeading"/>
        <w:rPr>
          <w:i/>
          <w:spacing w:val="-2"/>
          <w:sz w:val="22"/>
        </w:rPr>
      </w:pPr>
      <w:r>
        <w:rPr>
          <w:i/>
          <w:sz w:val="22"/>
        </w:rPr>
        <w:t>Issue of a Certificate by another Government</w:t>
      </w:r>
    </w:p>
    <w:p>
      <w:pPr>
        <w:pStyle w:val="MiscellaneousBody"/>
        <w:rPr>
          <w:sz w:val="22"/>
        </w:rPr>
      </w:pPr>
      <w:r>
        <w:rPr>
          <w:sz w:val="22"/>
        </w:rPr>
        <w:t>(1) 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 A copy of the Certificate and a copy of the survey report shall be transmitted as soon as possible to the requesting Administration.</w:t>
      </w:r>
    </w:p>
    <w:p>
      <w:pPr>
        <w:pStyle w:val="MiscellaneousBody"/>
        <w:rPr>
          <w:sz w:val="22"/>
        </w:rPr>
      </w:pPr>
      <w:r>
        <w:rPr>
          <w:sz w:val="22"/>
        </w:rPr>
        <w:t>(3) 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t>(4) No International Oil Pollution Prevention Certificate (1973) shall be issued to a ship which is entitled to fly the flag of a State which is not a Party.</w:t>
      </w:r>
    </w:p>
    <w:p>
      <w:pPr>
        <w:pStyle w:val="MiscellaneousHeading"/>
        <w:rPr>
          <w:sz w:val="22"/>
        </w:rPr>
      </w:pPr>
      <w:r>
        <w:rPr>
          <w:sz w:val="22"/>
        </w:rPr>
        <w:t>Regulation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rPr>
          <w:sz w:val="22"/>
        </w:rPr>
      </w:pPr>
      <w:r>
        <w:rPr>
          <w:sz w:val="22"/>
        </w:rPr>
        <w:t>Regulation 8</w:t>
      </w:r>
    </w:p>
    <w:p>
      <w:pPr>
        <w:pStyle w:val="MiscellaneousHeading"/>
        <w:rPr>
          <w:i/>
          <w:sz w:val="22"/>
        </w:rPr>
      </w:pPr>
      <w:r>
        <w:rPr>
          <w:i/>
          <w:sz w:val="22"/>
        </w:rPr>
        <w:t>Duration of Certificate</w:t>
      </w:r>
    </w:p>
    <w:p>
      <w:pPr>
        <w:pStyle w:val="MiscellaneousBody"/>
        <w:rPr>
          <w:sz w:val="22"/>
        </w:rPr>
      </w:pPr>
      <w:r>
        <w:rPr>
          <w:sz w:val="22"/>
        </w:rPr>
        <w:t>(1) 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construction, equipment,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i/>
          <w:spacing w:val="-2"/>
          <w:sz w:val="22"/>
        </w:rPr>
      </w:pPr>
      <w:r>
        <w:rPr>
          <w:i/>
          <w:sz w:val="22"/>
        </w:rPr>
        <w:t>Control of Discharge of Oil</w:t>
      </w:r>
    </w:p>
    <w:p>
      <w:pPr>
        <w:pStyle w:val="MiscellaneousBody"/>
        <w:rPr>
          <w:sz w:val="22"/>
        </w:rPr>
      </w:pPr>
      <w:r>
        <w:rPr>
          <w:sz w:val="22"/>
        </w:rPr>
        <w:t>(1) 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the total quantity of oil discharged into the sea does not exceed for existing tankers 1/15,000 of the total quantity of the particular cargo of which the residue formed a part, and 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rPr>
          <w:sz w:val="22"/>
        </w:rPr>
        <w:t>(2) 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 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 The provisions of paragraph (1) of this Regulation shall not apply to the discharge of clean or segregated ballast. The provisions of sub</w:t>
      </w:r>
      <w:r>
        <w:rPr>
          <w:sz w:val="22"/>
        </w:rPr>
        <w:noBreakHyphen/>
        <w:t>paragraph (1)(b) of this Regulation shall not apply to the discharge of oily mixture which without dilution has an oil content not exceeding 15 parts per million.</w:t>
      </w:r>
    </w:p>
    <w:p>
      <w:pPr>
        <w:pStyle w:val="MiscellaneousBody"/>
        <w:rPr>
          <w:sz w:val="22"/>
        </w:rPr>
      </w:pPr>
      <w:r>
        <w:rPr>
          <w:sz w:val="22"/>
        </w:rPr>
        <w:t>(5)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 The oil residues which cannot be discharged into the sea in compliance with paragraphs (1), (2) and (4) of this Regulation shall be retained on board or discharged to reception facilities.</w:t>
      </w:r>
    </w:p>
    <w:p>
      <w:pPr>
        <w:pStyle w:val="MiscellaneousHeading"/>
        <w:rPr>
          <w:sz w:val="22"/>
        </w:rPr>
      </w:pPr>
      <w:r>
        <w:rPr>
          <w:sz w:val="22"/>
        </w:rPr>
        <w:t>Regulation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(1) For the purposes of this Annex the special areas are the Mediterranean Sea area, the Baltic Sea area, the Black Sea area, the Red Sea area and the Gulfs area which are defined as follows:</w:t>
      </w:r>
    </w:p>
    <w:p>
      <w:pPr>
        <w:pStyle w:val="ySubsection"/>
      </w:pPr>
      <w:r>
        <w:tab/>
        <w:t>(a)</w:t>
      </w:r>
      <w:r>
        <w:tab/>
        <w:t>The Mediterranean Sea area means the Mediterranean Sea proper including the gulfs and seas therein with the boundary between the Mediterranean and the Black Sea constituted by the 41</w:t>
      </w:r>
      <w:r>
        <w:rPr>
          <w:vertAlign w:val="superscript"/>
        </w:rPr>
        <w:t>o</w:t>
      </w:r>
      <w:r>
        <w:t>N parallel and bounded to the west by the Straits of Gibraltar at the meridian of 5°36′W.</w:t>
      </w:r>
    </w:p>
    <w:p>
      <w:pPr>
        <w:pStyle w:val="ySubsection"/>
      </w:pPr>
      <w:r>
        <w:tab/>
        <w:t>(b)</w:t>
      </w:r>
      <w:r>
        <w:tab/>
        <w:t>The Baltic Sea area means the Baltic Sea proper with the Gulf of Bothnia, the Gulf of Finland and the entrance to the Baltic Sea bounded by the parallel of the Skaw in the Skagerrak at 57°44.8′N.</w:t>
      </w:r>
    </w:p>
    <w:p>
      <w:pPr>
        <w:pStyle w:val="ySubsection"/>
      </w:pPr>
      <w:r>
        <w:tab/>
        <w:t>(c)</w:t>
      </w:r>
      <w:r>
        <w:tab/>
        <w:t xml:space="preserve">The Black Sea area means the Black Sea proper with the boundary between the Mediterranean and the Black Sea constituted by the parrallel 41°N. </w:t>
      </w:r>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The Gulfs area means the sea area located north west of the rhumb line between Ras al Hadd (22°30’N, 59°48’E) and Ras Al Fasteh (25°4′N, 61°25′E).</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rPr>
          <w:sz w:val="22"/>
        </w:rPr>
        <w:t>(4) The provisions of this Regulation shall not apply to the discharge of clean or segregated ballast.</w:t>
      </w:r>
    </w:p>
    <w:p>
      <w:pPr>
        <w:pStyle w:val="MiscellaneousBody"/>
        <w:rPr>
          <w:sz w:val="22"/>
        </w:rPr>
      </w:pPr>
      <w:r>
        <w:rPr>
          <w:sz w:val="22"/>
        </w:rPr>
        <w:t>(5) 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(6) Whenever visible traces of oil are observed on or below the surface of the water in the immediate vicinity of a ship or its wake, the Governments of Parties to the Convention should, to the extent they are reasonably able to do so, 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(7) Reception facilities within special areas:</w:t>
      </w:r>
    </w:p>
    <w:p>
      <w:pPr>
        <w:pStyle w:val="ySubsection"/>
      </w:pPr>
      <w:r>
        <w:tab/>
        <w:t>(a)</w:t>
      </w:r>
      <w:r>
        <w:tab/>
        <w:t>Mediterranean Sea, Black Sea and Baltic Sea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t>Red Sea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rPr>
          <w:sz w:val="22"/>
        </w:rPr>
      </w:pPr>
      <w:r>
        <w:rPr>
          <w:sz w:val="22"/>
        </w:rPr>
        <w:t>Regulation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rPr>
          <w:sz w:val="22"/>
        </w:rPr>
      </w:pPr>
      <w:r>
        <w:rPr>
          <w:sz w:val="22"/>
        </w:rPr>
        <w:t>Regulation 12</w:t>
      </w:r>
    </w:p>
    <w:p>
      <w:pPr>
        <w:pStyle w:val="MiscellaneousHeading"/>
        <w:rPr>
          <w:sz w:val="22"/>
        </w:rPr>
      </w:pPr>
      <w:r>
        <w:rPr>
          <w:i/>
          <w:sz w:val="22"/>
        </w:rPr>
        <w:t>Reception Facilities</w:t>
      </w:r>
    </w:p>
    <w:p>
      <w:pPr>
        <w:pStyle w:val="MiscellaneousBody"/>
        <w:rPr>
          <w:sz w:val="22"/>
        </w:rPr>
      </w:pPr>
      <w:r>
        <w:rPr>
          <w:sz w:val="22"/>
        </w:rPr>
        <w:t>(1) 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 Reception facilities in accordance with paragraph (1) of this Regulation shall be provided in:</w:t>
      </w:r>
    </w:p>
    <w:p>
      <w:pPr>
        <w:pStyle w:val="ySubsection"/>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pPr>
      <w:r>
        <w:tab/>
        <w:t>(b)</w:t>
      </w:r>
      <w:r>
        <w:tab/>
        <w:t>all ports and terminals in which oil other than crude oil in bulk is loaded at an average quantity of more than 1,000 metric tons per day;</w:t>
      </w:r>
    </w:p>
    <w:p>
      <w:pPr>
        <w:pStyle w:val="ySubsection"/>
      </w:pPr>
      <w:r>
        <w:tab/>
        <w:t>(c)</w:t>
      </w:r>
      <w:r>
        <w:tab/>
        <w:t>all ports having ship repair yards or tank cleaning facilities;</w:t>
      </w:r>
    </w:p>
    <w:p>
      <w:pPr>
        <w:pStyle w:val="ySubsection"/>
      </w:pPr>
      <w:r>
        <w:tab/>
        <w:t>(d)</w:t>
      </w:r>
      <w:r>
        <w:tab/>
        <w:t>all ports and terminals which handle ships provided with the sludge tank(s) required by Regulation 17 of this Annex;</w:t>
      </w:r>
    </w:p>
    <w:p>
      <w:pPr>
        <w:pStyle w:val="ySubsection"/>
      </w:pPr>
      <w:r>
        <w:tab/>
        <w:t>(e)</w:t>
      </w:r>
      <w:r>
        <w:tab/>
        <w:t>all ports in respect of oily bilge waters and other residues, which cannot be discharged in accordance with Regulation 9 of this Annex; and</w:t>
      </w:r>
    </w:p>
    <w:p>
      <w:pPr>
        <w:pStyle w:val="ySubsection"/>
      </w:pPr>
      <w:r>
        <w:tab/>
        <w:t>(f)</w:t>
      </w:r>
      <w:r>
        <w:tab/>
        <w:t>all loading ports for bulk cargoes in respect of oil residues from combination carriers which cannot be discharged in accordance with Regulation 9 of this Annex.</w:t>
      </w:r>
    </w:p>
    <w:p>
      <w:pPr>
        <w:pStyle w:val="MiscellaneousBody"/>
        <w:rPr>
          <w:sz w:val="22"/>
        </w:rPr>
      </w:pPr>
      <w:r>
        <w:rPr>
          <w:sz w:val="22"/>
        </w:rPr>
        <w:t>(3) The capacity for the reception facilities shall be as follows:</w:t>
      </w:r>
    </w:p>
    <w:p>
      <w:pPr>
        <w:pStyle w:val="ySubsection"/>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pPr>
      <w:r>
        <w:tab/>
        <w:t>(b)</w:t>
      </w:r>
      <w:r>
        <w:tab/>
        <w:t>Loading ports and terminals referred to in paragraph (2)(b) of this Regulation shall have sufficient reception facilities to receive oil and oily mixtures which cannot be discharged in accordance with the 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rPr>
          <w:sz w:val="22"/>
        </w:rPr>
        <w:t>(4) 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 Each Party shall notify the Organization for transmission to the Parties concerned of all cases where the facilities provided under this Regulation are alleged to be inadequate.</w:t>
      </w:r>
    </w:p>
    <w:p>
      <w:pPr>
        <w:pStyle w:val="MiscellaneousHeading"/>
        <w:rPr>
          <w:sz w:val="22"/>
        </w:rPr>
      </w:pPr>
      <w:r>
        <w:rPr>
          <w:sz w:val="22"/>
        </w:rPr>
        <w:t>Regulation 13</w:t>
      </w:r>
    </w:p>
    <w:p>
      <w:pPr>
        <w:pStyle w:val="MiscellaneousHeading"/>
        <w:spacing w:before="140"/>
        <w:rPr>
          <w:sz w:val="22"/>
        </w:rPr>
      </w:pPr>
      <w:r>
        <w:rPr>
          <w:i/>
          <w:sz w:val="22"/>
        </w:rPr>
        <w:t>Segregated Ballast Oil Tankers</w:t>
      </w:r>
    </w:p>
    <w:p>
      <w:pPr>
        <w:pStyle w:val="MiscellaneousBody"/>
        <w:spacing w:before="140"/>
        <w:rPr>
          <w:sz w:val="22"/>
        </w:rPr>
      </w:pPr>
      <w:r>
        <w:rPr>
          <w:sz w:val="22"/>
        </w:rPr>
        <w:t>(1) 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(2) 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spacing w:before="140"/>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rPr>
          <w:sz w:val="22"/>
        </w:rPr>
        <w:t xml:space="preserve">(3) </w:t>
      </w:r>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z w:val="22"/>
        </w:rPr>
        <w:t>(4) 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rPr>
          <w:sz w:val="22"/>
        </w:rPr>
      </w:pPr>
      <w:r>
        <w:rPr>
          <w:sz w:val="22"/>
        </w:rPr>
        <w:t>Regulation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 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(2) Where abnormal conditions or the need to carry large quantities of oil fuel render it necessary to carry ballast water which is not a clean ballast in any oil 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 All other ships shall comply with the requirements of paragraph (1) of this Regulation as far as reasonable and practicable.</w:t>
      </w:r>
    </w:p>
    <w:p>
      <w:pPr>
        <w:pStyle w:val="MiscellaneousHeading"/>
        <w:rPr>
          <w:sz w:val="22"/>
        </w:rPr>
      </w:pPr>
      <w:r>
        <w:rPr>
          <w:sz w:val="22"/>
        </w:rPr>
        <w:t>Regulation 15</w:t>
      </w:r>
    </w:p>
    <w:p>
      <w:pPr>
        <w:pStyle w:val="MiscellaneousHeading"/>
        <w:spacing w:before="100"/>
        <w:rPr>
          <w:sz w:val="22"/>
        </w:rPr>
      </w:pPr>
      <w:r>
        <w:rPr>
          <w:i/>
          <w:sz w:val="22"/>
        </w:rPr>
        <w:t>Retention of Oil on Board</w:t>
      </w:r>
    </w:p>
    <w:p>
      <w:pPr>
        <w:pStyle w:val="MiscellaneousBody"/>
        <w:spacing w:before="100"/>
        <w:rPr>
          <w:sz w:val="22"/>
        </w:rPr>
      </w:pPr>
      <w:r>
        <w:rPr>
          <w:sz w:val="22"/>
        </w:rPr>
        <w:t>(1) 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rPr>
          <w:sz w:val="22"/>
        </w:rPr>
        <w:t>(4) 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 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 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 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rPr>
          <w:sz w:val="22"/>
        </w:rPr>
      </w:pPr>
      <w:r>
        <w:rPr>
          <w:sz w:val="22"/>
        </w:rPr>
        <w:t>Regulation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 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spacing w:before="80"/>
        <w:rPr>
          <w:sz w:val="22"/>
        </w:rPr>
      </w:pPr>
      <w:r>
        <w:rPr>
          <w:sz w:val="22"/>
        </w:rPr>
        <w:t>(2) 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spacing w:before="80"/>
        <w:rPr>
          <w:sz w:val="22"/>
        </w:rPr>
      </w:pPr>
      <w:r>
        <w:rPr>
          <w:sz w:val="22"/>
        </w:rPr>
        <w:t>(3) 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spacing w:before="80"/>
        <w:rPr>
          <w:sz w:val="22"/>
        </w:rPr>
      </w:pPr>
      <w:r>
        <w:rPr>
          <w:sz w:val="22"/>
        </w:rPr>
        <w:t>(4) For existing ships the requirements of paragraphs (1), (2) and (3) of this Regulation shall apply three years after the date of entry into force of the present Convention.</w:t>
      </w:r>
    </w:p>
    <w:p>
      <w:pPr>
        <w:pStyle w:val="MiscellaneousBody"/>
        <w:spacing w:before="0" w:line="240" w:lineRule="auto"/>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 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rPr>
          <w:sz w:val="22"/>
        </w:rPr>
      </w:pPr>
      <w:r>
        <w:rPr>
          <w:sz w:val="22"/>
        </w:rPr>
        <w:t>Regulation 17</w:t>
      </w:r>
    </w:p>
    <w:p>
      <w:pPr>
        <w:pStyle w:val="MiscellaneousHeading"/>
        <w:rPr>
          <w:sz w:val="22"/>
        </w:rPr>
      </w:pPr>
      <w:r>
        <w:rPr>
          <w:i/>
          <w:sz w:val="22"/>
        </w:rPr>
        <w:t>Tanks for Oil Residues (Sludge)</w:t>
      </w:r>
    </w:p>
    <w:p>
      <w:pPr>
        <w:pStyle w:val="MiscellaneousBody"/>
        <w:rPr>
          <w:sz w:val="22"/>
        </w:rPr>
      </w:pPr>
      <w:r>
        <w:rPr>
          <w:sz w:val="22"/>
        </w:rPr>
        <w:t>(1) 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(2) In new ships, such tanks shall be designed and constructed so as to facilitate their cleaning and the discharge of residues to reception facilities. Existing ships shall comply with this requirement as far as is reasonable and practicable.</w:t>
      </w:r>
    </w:p>
    <w:p>
      <w:pPr>
        <w:pStyle w:val="MiscellaneousHeading"/>
        <w:spacing w:before="220"/>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 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 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rPr>
          <w:sz w:val="22"/>
        </w:rPr>
      </w:pPr>
      <w:r>
        <w:rPr>
          <w:sz w:val="22"/>
        </w:rPr>
        <w:t>Regulation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tcBorders>
          </w:tcPr>
          <w:p>
            <w:pPr>
              <w:pStyle w:val="yTable"/>
              <w:rPr>
                <w:sz w:val="18"/>
              </w:rPr>
            </w:pPr>
            <w:r>
              <w:rPr>
                <w:sz w:val="18"/>
              </w:rPr>
              <w:t>Bolt circle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183 mm</w:t>
            </w:r>
          </w:p>
        </w:tc>
      </w:tr>
      <w:tr>
        <w:tc>
          <w:tcPr>
            <w:tcW w:w="3402" w:type="dxa"/>
            <w:tcBorders>
              <w:top w:val="single" w:sz="7" w:space="0" w:color="auto"/>
              <w:left w:val="single" w:sz="7" w:space="0" w:color="auto"/>
            </w:tcBorders>
          </w:tcPr>
          <w:p>
            <w:pPr>
              <w:pStyle w:val="yTable"/>
              <w:rPr>
                <w:sz w:val="18"/>
              </w:rPr>
            </w:pPr>
            <w:r>
              <w:rPr>
                <w:sz w:val="18"/>
              </w:rPr>
              <w:t>Slots in flange</w:t>
            </w:r>
          </w:p>
        </w:tc>
        <w:tc>
          <w:tcPr>
            <w:tcW w:w="3686" w:type="dxa"/>
            <w:tcBorders>
              <w:top w:val="single" w:sz="7" w:space="0" w:color="auto"/>
              <w:left w:val="single" w:sz="7" w:space="0" w:color="auto"/>
              <w:right w:val="single" w:sz="7"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7" w:space="0" w:color="auto"/>
              <w:left w:val="single" w:sz="7" w:space="0" w:color="auto"/>
            </w:tcBorders>
          </w:tcPr>
          <w:p>
            <w:pPr>
              <w:pStyle w:val="yTable"/>
              <w:rPr>
                <w:sz w:val="18"/>
              </w:rPr>
            </w:pPr>
            <w:r>
              <w:rPr>
                <w:sz w:val="18"/>
              </w:rPr>
              <w:t>Flange thickness</w:t>
            </w:r>
          </w:p>
        </w:tc>
        <w:tc>
          <w:tcPr>
            <w:tcW w:w="3686" w:type="dxa"/>
            <w:tcBorders>
              <w:top w:val="single" w:sz="7" w:space="0" w:color="auto"/>
              <w:left w:val="single" w:sz="7" w:space="0" w:color="auto"/>
              <w:right w:val="single" w:sz="7" w:space="0" w:color="auto"/>
            </w:tcBorders>
          </w:tcPr>
          <w:p>
            <w:pPr>
              <w:pStyle w:val="yTable"/>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rPr>
          <w:sz w:val="22"/>
        </w:rPr>
      </w:pPr>
      <w:r>
        <w:rPr>
          <w:sz w:val="22"/>
        </w:rPr>
        <w:t>Regulation 20</w:t>
      </w:r>
    </w:p>
    <w:p>
      <w:pPr>
        <w:pStyle w:val="MiscellaneousHeading"/>
        <w:rPr>
          <w:sz w:val="22"/>
        </w:rPr>
      </w:pPr>
      <w:r>
        <w:rPr>
          <w:i/>
          <w:sz w:val="22"/>
        </w:rPr>
        <w:t>Oil Record Book</w:t>
      </w:r>
    </w:p>
    <w:p>
      <w:pPr>
        <w:pStyle w:val="MiscellaneousBody"/>
        <w:rPr>
          <w:sz w:val="22"/>
        </w:rPr>
      </w:pPr>
      <w:r>
        <w:rPr>
          <w:sz w:val="22"/>
        </w:rPr>
        <w:t>(1) 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 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rPr>
          <w:sz w:val="22"/>
        </w:rPr>
        <w:t>(3) 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(4) 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 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 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rPr>
          <w:sz w:val="22"/>
        </w:rPr>
      </w:pPr>
      <w:r>
        <w:rPr>
          <w:sz w:val="22"/>
        </w:rPr>
        <w:t>Regulation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rPr>
          <w:sz w:val="22"/>
        </w:rPr>
      </w:pPr>
      <w:r>
        <w:rPr>
          <w:sz w:val="22"/>
        </w:rPr>
        <w:t>CHAPTER III — REQUIREMENTS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 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MiscellaneousBody"/>
        <w:spacing w:after="80"/>
        <w:rPr>
          <w:sz w:val="22"/>
        </w:rPr>
      </w:pPr>
      <w:r>
        <w:rPr>
          <w:sz w:val="22"/>
        </w:rPr>
        <w:t xml:space="preserve">(a) </w:t>
      </w:r>
      <w:r>
        <w:rPr>
          <w:i/>
          <w:sz w:val="22"/>
        </w:rPr>
        <w:t>Side damage</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2696"/>
        <w:gridCol w:w="1273"/>
      </w:tblGrid>
      <w:tr>
        <w:tc>
          <w:tcPr>
            <w:tcW w:w="3119" w:type="dxa"/>
          </w:tcPr>
          <w:p>
            <w:pPr>
              <w:pStyle w:val="yTable"/>
              <w:tabs>
                <w:tab w:val="left" w:pos="426"/>
              </w:tabs>
              <w:ind w:left="426" w:hanging="426"/>
              <w:rPr>
                <w:sz w:val="20"/>
              </w:rPr>
            </w:pPr>
            <w:r>
              <w:rPr>
                <w:sz w:val="20"/>
              </w:rPr>
              <w:t>(i)</w:t>
            </w:r>
            <w:r>
              <w:rPr>
                <w:sz w:val="20"/>
              </w:rPr>
              <w:tab/>
              <w:t>Longitudinal extent (</w:t>
            </w:r>
            <w:r>
              <w:rPr>
                <w:i/>
                <w:sz w:val="20"/>
              </w:rPr>
              <w:t>l</w:t>
            </w:r>
            <w:r>
              <w:rPr>
                <w:sz w:val="20"/>
                <w:vertAlign w:val="subscript"/>
              </w:rPr>
              <w:t>c</w:t>
            </w:r>
            <w:r>
              <w:rPr>
                <w:sz w:val="20"/>
              </w:rPr>
              <w:t>):</w:t>
            </w:r>
            <w:r>
              <w:rPr>
                <w:sz w:val="20"/>
              </w:rPr>
              <w:br/>
            </w:r>
            <w:r>
              <w:rPr>
                <w:sz w:val="20"/>
              </w:rPr>
              <w:br/>
            </w:r>
          </w:p>
        </w:tc>
        <w:tc>
          <w:tcPr>
            <w:tcW w:w="2696" w:type="dxa"/>
          </w:tcPr>
          <w:p>
            <w:pPr>
              <w:pStyle w:val="yTable"/>
              <w:tabs>
                <w:tab w:val="left" w:pos="0"/>
              </w:tabs>
              <w:spacing w:before="0"/>
              <w:rPr>
                <w:sz w:val="20"/>
              </w:rPr>
            </w:pPr>
            <w:r>
              <w:rPr>
                <w:noProof/>
                <w:position w:val="-12"/>
                <w:sz w:val="20"/>
                <w:vertAlign w:val="superscript"/>
                <w:lang w:eastAsia="en-AU"/>
              </w:rPr>
              <w:drawing>
                <wp:inline distT="0" distB="0" distL="0" distR="0">
                  <wp:extent cx="310515"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Pr>
                <w:sz w:val="20"/>
                <w:vertAlign w:val="superscript"/>
              </w:rPr>
              <w:t xml:space="preserve"> </w:t>
            </w:r>
            <w:r>
              <w:rPr>
                <w:sz w:val="20"/>
              </w:rPr>
              <w:t>or 14.5 metres,</w:t>
            </w:r>
            <w:r>
              <w:rPr>
                <w:sz w:val="20"/>
              </w:rPr>
              <w:br/>
              <w:t>whichever is less</w:t>
            </w:r>
          </w:p>
        </w:tc>
        <w:tc>
          <w:tcPr>
            <w:tcW w:w="1273" w:type="dxa"/>
          </w:tcPr>
          <w:p>
            <w:pPr>
              <w:pStyle w:val="yTable"/>
            </w:pPr>
          </w:p>
        </w:tc>
      </w:tr>
      <w:tr>
        <w:tc>
          <w:tcPr>
            <w:tcW w:w="3119" w:type="dxa"/>
          </w:tcPr>
          <w:p>
            <w:pPr>
              <w:pStyle w:val="yTable"/>
              <w:tabs>
                <w:tab w:val="left" w:pos="426"/>
              </w:tabs>
              <w:spacing w:before="0"/>
              <w:ind w:left="425" w:right="284" w:hanging="425"/>
              <w:rPr>
                <w:sz w:val="20"/>
              </w:rPr>
            </w:pPr>
            <w:r>
              <w:rPr>
                <w:sz w:val="20"/>
              </w:rPr>
              <w:t>(ii)</w:t>
            </w:r>
            <w:r>
              <w:rPr>
                <w:sz w:val="20"/>
              </w:rPr>
              <w:tab/>
              <w:t>Transverse extent (t</w:t>
            </w:r>
            <w:r>
              <w:rPr>
                <w:sz w:val="20"/>
                <w:vertAlign w:val="subscript"/>
              </w:rPr>
              <w:t>c</w:t>
            </w:r>
            <w:r>
              <w:rPr>
                <w:sz w:val="20"/>
              </w:rPr>
              <w:t xml:space="preserve">): </w:t>
            </w:r>
            <w:r>
              <w:rPr>
                <w:sz w:val="20"/>
              </w:rPr>
              <w:br/>
            </w:r>
            <w:r>
              <w:rPr>
                <w:sz w:val="20"/>
              </w:rPr>
              <w:br/>
              <w:t>(inboard from the ship’s side at right angles to the</w:t>
            </w:r>
          </w:p>
        </w:tc>
        <w:tc>
          <w:tcPr>
            <w:tcW w:w="2696" w:type="dxa"/>
          </w:tcPr>
          <w:p>
            <w:pPr>
              <w:pStyle w:val="yTable"/>
              <w:spacing w:before="0"/>
              <w:rPr>
                <w:sz w:val="20"/>
              </w:rPr>
            </w:pPr>
            <w:r>
              <w:rPr>
                <w:sz w:val="20"/>
                <w:u w:val="single"/>
              </w:rPr>
              <w:t>B</w:t>
            </w:r>
            <w:r>
              <w:rPr>
                <w:sz w:val="20"/>
              </w:rPr>
              <w:t xml:space="preserve"> or 11.5 metres,</w:t>
            </w:r>
            <w:r>
              <w:rPr>
                <w:sz w:val="20"/>
              </w:rPr>
              <w:br/>
              <w:t>5</w:t>
            </w:r>
            <w:r>
              <w:rPr>
                <w:sz w:val="20"/>
              </w:rPr>
              <w:br/>
              <w:t>whichever is less</w:t>
            </w:r>
          </w:p>
        </w:tc>
        <w:tc>
          <w:tcPr>
            <w:tcW w:w="1273" w:type="dxa"/>
          </w:tcPr>
          <w:p>
            <w:pPr>
              <w:pStyle w:val="yTable"/>
            </w:pPr>
          </w:p>
        </w:tc>
      </w:tr>
      <w:tr>
        <w:tc>
          <w:tcPr>
            <w:tcW w:w="3119" w:type="dxa"/>
          </w:tcPr>
          <w:p>
            <w:pPr>
              <w:pStyle w:val="yTable"/>
              <w:tabs>
                <w:tab w:val="left" w:pos="426"/>
              </w:tabs>
              <w:spacing w:before="0"/>
              <w:ind w:left="425" w:right="426" w:firstLine="1"/>
              <w:rPr>
                <w:sz w:val="20"/>
              </w:rPr>
            </w:pPr>
            <w:r>
              <w:rPr>
                <w:sz w:val="20"/>
              </w:rPr>
              <w:t>centreline at the level corresponding to the assigned summer freeboard)</w:t>
            </w:r>
          </w:p>
        </w:tc>
        <w:tc>
          <w:tcPr>
            <w:tcW w:w="2696" w:type="dxa"/>
          </w:tcPr>
          <w:p>
            <w:pPr>
              <w:pStyle w:val="yTable"/>
              <w:tabs>
                <w:tab w:val="left" w:pos="426"/>
              </w:tabs>
              <w:ind w:left="426" w:hanging="426"/>
              <w:rPr>
                <w:sz w:val="20"/>
              </w:rPr>
            </w:pPr>
          </w:p>
        </w:tc>
        <w:tc>
          <w:tcPr>
            <w:tcW w:w="1273" w:type="dxa"/>
          </w:tcPr>
          <w:p>
            <w:pPr>
              <w:pStyle w:val="yTable"/>
            </w:pPr>
          </w:p>
        </w:tc>
      </w:tr>
      <w:tr>
        <w:tc>
          <w:tcPr>
            <w:tcW w:w="3119"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696" w:type="dxa"/>
          </w:tcPr>
          <w:p>
            <w:pPr>
              <w:pStyle w:val="yTable"/>
              <w:rPr>
                <w:sz w:val="20"/>
              </w:rPr>
            </w:pPr>
            <w:r>
              <w:rPr>
                <w:sz w:val="20"/>
              </w:rPr>
              <w:t>from the base line upwards without limit</w:t>
            </w:r>
          </w:p>
        </w:tc>
        <w:tc>
          <w:tcPr>
            <w:tcW w:w="1273" w:type="dxa"/>
          </w:tcPr>
          <w:p>
            <w:pPr>
              <w:pStyle w:val="yTable"/>
            </w:pPr>
          </w:p>
        </w:tc>
      </w:tr>
    </w:tbl>
    <w:p>
      <w:pPr>
        <w:pStyle w:val="MiscellaneousBody"/>
        <w:spacing w:after="80"/>
        <w:rPr>
          <w:sz w:val="22"/>
        </w:rPr>
      </w:pPr>
      <w:r>
        <w:rPr>
          <w:sz w:val="22"/>
        </w:rPr>
        <w:t xml:space="preserve">(b) </w:t>
      </w:r>
      <w:r>
        <w:rPr>
          <w:i/>
          <w:sz w:val="22"/>
        </w:rPr>
        <w:t>Bottom damage</w:t>
      </w:r>
    </w:p>
    <w:tbl>
      <w:tblPr>
        <w:tblW w:w="0" w:type="auto"/>
        <w:tblInd w:w="141" w:type="dxa"/>
        <w:tblLayout w:type="fixed"/>
        <w:tblCellMar>
          <w:left w:w="141" w:type="dxa"/>
          <w:right w:w="141" w:type="dxa"/>
        </w:tblCellMar>
        <w:tblLook w:val="0000" w:firstRow="0" w:lastRow="0" w:firstColumn="0" w:lastColumn="0" w:noHBand="0" w:noVBand="0"/>
      </w:tblPr>
      <w:tblGrid>
        <w:gridCol w:w="2124"/>
        <w:gridCol w:w="2696"/>
        <w:gridCol w:w="2268"/>
      </w:tblGrid>
      <w:tr>
        <w:tc>
          <w:tcPr>
            <w:tcW w:w="2124" w:type="dxa"/>
          </w:tcPr>
          <w:p>
            <w:pPr>
              <w:pStyle w:val="yTable"/>
              <w:rPr>
                <w:sz w:val="20"/>
              </w:rPr>
            </w:pPr>
          </w:p>
        </w:tc>
        <w:tc>
          <w:tcPr>
            <w:tcW w:w="2696" w:type="dxa"/>
          </w:tcPr>
          <w:p>
            <w:pPr>
              <w:pStyle w:val="yTable"/>
              <w:rPr>
                <w:sz w:val="20"/>
              </w:rPr>
            </w:pPr>
            <w:r>
              <w:rPr>
                <w:sz w:val="20"/>
              </w:rPr>
              <w:t>For 0.3L from the forward perpendicular of the ship</w:t>
            </w:r>
          </w:p>
        </w:tc>
        <w:tc>
          <w:tcPr>
            <w:tcW w:w="2268" w:type="dxa"/>
          </w:tcPr>
          <w:p>
            <w:pPr>
              <w:pStyle w:val="yTable"/>
              <w:rPr>
                <w:sz w:val="20"/>
              </w:rPr>
            </w:pPr>
            <w:r>
              <w:rPr>
                <w:sz w:val="20"/>
              </w:rPr>
              <w:t>Any other part of the ship</w:t>
            </w:r>
          </w:p>
        </w:tc>
      </w:tr>
      <w:tr>
        <w:tc>
          <w:tcPr>
            <w:tcW w:w="2124" w:type="dxa"/>
          </w:tcPr>
          <w:p>
            <w:pPr>
              <w:pStyle w:val="yTable"/>
              <w:ind w:left="426" w:hanging="426"/>
              <w:rPr>
                <w:sz w:val="20"/>
              </w:rPr>
            </w:pPr>
            <w:r>
              <w:rPr>
                <w:sz w:val="20"/>
              </w:rPr>
              <w:t>(i)</w:t>
            </w:r>
            <w:r>
              <w:rPr>
                <w:sz w:val="20"/>
              </w:rPr>
              <w:tab/>
              <w:t>Longitudinal extent (</w:t>
            </w:r>
            <w:r>
              <w:rPr>
                <w:i/>
                <w:sz w:val="20"/>
              </w:rPr>
              <w:t>l</w:t>
            </w:r>
            <w:r>
              <w:rPr>
                <w:sz w:val="20"/>
                <w:vertAlign w:val="subscript"/>
              </w:rPr>
              <w:t>s</w:t>
            </w:r>
            <w:r>
              <w:rPr>
                <w:sz w:val="20"/>
              </w:rPr>
              <w:t>):</w:t>
            </w:r>
          </w:p>
        </w:tc>
        <w:tc>
          <w:tcPr>
            <w:tcW w:w="2696" w:type="dxa"/>
          </w:tcPr>
          <w:p>
            <w:pPr>
              <w:pStyle w:val="yTable"/>
              <w:rPr>
                <w:sz w:val="20"/>
              </w:rPr>
            </w:pPr>
            <w:r>
              <w:rPr>
                <w:sz w:val="20"/>
                <w:u w:val="single"/>
              </w:rPr>
              <w:t xml:space="preserve"> L </w:t>
            </w:r>
            <w:r>
              <w:rPr>
                <w:sz w:val="20"/>
                <w:u w:val="single"/>
              </w:rPr>
              <w:br/>
            </w:r>
            <w:r>
              <w:rPr>
                <w:sz w:val="20"/>
              </w:rPr>
              <w:t xml:space="preserve">10 </w:t>
            </w:r>
          </w:p>
        </w:tc>
        <w:tc>
          <w:tcPr>
            <w:tcW w:w="2268" w:type="dxa"/>
          </w:tcPr>
          <w:p>
            <w:pPr>
              <w:pStyle w:val="yTable"/>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124" w:type="dxa"/>
          </w:tcPr>
          <w:p>
            <w:pPr>
              <w:pStyle w:val="yTable"/>
              <w:ind w:left="426" w:hanging="426"/>
              <w:rPr>
                <w:sz w:val="20"/>
              </w:rPr>
            </w:pPr>
            <w:r>
              <w:rPr>
                <w:sz w:val="20"/>
              </w:rPr>
              <w:t>(ii)</w:t>
            </w:r>
            <w:r>
              <w:rPr>
                <w:sz w:val="20"/>
              </w:rPr>
              <w:tab/>
              <w:t>Transverse extent (t</w:t>
            </w:r>
            <w:r>
              <w:rPr>
                <w:sz w:val="20"/>
                <w:vertAlign w:val="subscript"/>
              </w:rPr>
              <w:t>s</w:t>
            </w:r>
            <w:r>
              <w:rPr>
                <w:sz w:val="20"/>
              </w:rPr>
              <w:t>):</w:t>
            </w:r>
          </w:p>
        </w:tc>
        <w:tc>
          <w:tcPr>
            <w:tcW w:w="2696"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2268" w:type="dxa"/>
          </w:tcPr>
          <w:p>
            <w:pPr>
              <w:pStyle w:val="yTable"/>
              <w:rPr>
                <w:sz w:val="20"/>
              </w:rPr>
            </w:pPr>
            <w:r>
              <w:rPr>
                <w:sz w:val="20"/>
              </w:rPr>
              <w:t>5 metres</w:t>
            </w:r>
          </w:p>
        </w:tc>
      </w:tr>
      <w:tr>
        <w:tc>
          <w:tcPr>
            <w:tcW w:w="2124" w:type="dxa"/>
          </w:tcPr>
          <w:p>
            <w:pPr>
              <w:pStyle w:val="yTable"/>
              <w:ind w:left="426" w:hanging="426"/>
              <w:rPr>
                <w:sz w:val="20"/>
              </w:rPr>
            </w:pPr>
            <w:r>
              <w:rPr>
                <w:sz w:val="20"/>
              </w:rPr>
              <w:t>(iii)</w:t>
            </w:r>
            <w:r>
              <w:rPr>
                <w:sz w:val="20"/>
              </w:rPr>
              <w:tab/>
              <w:t>Vertical extent from the base line (v</w:t>
            </w:r>
            <w:r>
              <w:rPr>
                <w:sz w:val="20"/>
                <w:vertAlign w:val="subscript"/>
              </w:rPr>
              <w:t>s</w:t>
            </w:r>
            <w:r>
              <w:rPr>
                <w:sz w:val="20"/>
              </w:rPr>
              <w:t>):</w:t>
            </w:r>
          </w:p>
        </w:tc>
        <w:tc>
          <w:tcPr>
            <w:tcW w:w="2696"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2268" w:type="dxa"/>
          </w:tcPr>
          <w:p>
            <w:pPr>
              <w:pStyle w:val="yTable"/>
              <w:rPr>
                <w:sz w:val="20"/>
              </w:rPr>
            </w:pPr>
          </w:p>
        </w:tc>
      </w:tr>
    </w:tbl>
    <w:p>
      <w:pPr>
        <w:pStyle w:val="MiscellaneousBody"/>
        <w:rPr>
          <w:sz w:val="22"/>
        </w:rPr>
      </w:pPr>
      <w:r>
        <w:rPr>
          <w:sz w:val="22"/>
        </w:rPr>
        <w:t>(2) Wherever the symbols given in this Regulation appear in this Chapter, they have the meaning as defined in this Regulation.</w:t>
      </w:r>
    </w:p>
    <w:p>
      <w:pPr>
        <w:pStyle w:val="MiscellaneousHeading"/>
        <w:rPr>
          <w:sz w:val="22"/>
        </w:rPr>
      </w:pPr>
      <w:r>
        <w:rPr>
          <w:sz w:val="22"/>
        </w:rPr>
        <w:t>Regulation 23</w:t>
      </w:r>
    </w:p>
    <w:p>
      <w:pPr>
        <w:pStyle w:val="MiscellaneousHeading"/>
        <w:rPr>
          <w:sz w:val="22"/>
        </w:rPr>
      </w:pPr>
      <w:r>
        <w:rPr>
          <w:i/>
          <w:sz w:val="22"/>
        </w:rPr>
        <w:t>Hypothetical Outflow of Oil</w:t>
      </w:r>
    </w:p>
    <w:p>
      <w:pPr>
        <w:pStyle w:val="MiscellaneousBody"/>
        <w:rPr>
          <w:sz w:val="22"/>
        </w:rPr>
      </w:pPr>
      <w:r>
        <w:rPr>
          <w:sz w:val="22"/>
        </w:rPr>
        <w:t>(1) 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r>
        <w:rPr>
          <w:noProof/>
          <w:position w:val="-10"/>
          <w:sz w:val="22"/>
          <w:lang w:eastAsia="en-AU"/>
        </w:rPr>
        <w:drawing>
          <wp:inline distT="0" distB="0" distL="0" distR="0">
            <wp:extent cx="1216025" cy="215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r>
        <w:rPr>
          <w:sz w:val="22"/>
        </w:rPr>
        <w:tab/>
        <w:t>(I)</w:t>
      </w:r>
    </w:p>
    <w:p>
      <w:pPr>
        <w:pStyle w:val="ySubsection"/>
      </w:pPr>
      <w:r>
        <w:tab/>
        <w:t>(b)</w:t>
      </w:r>
      <w:r>
        <w:tab/>
        <w:t>for bottom damages:</w:t>
      </w:r>
    </w:p>
    <w:p>
      <w:pPr>
        <w:pStyle w:val="MiscellaneousBody"/>
        <w:tabs>
          <w:tab w:val="left" w:pos="993"/>
          <w:tab w:val="left" w:pos="3969"/>
        </w:tabs>
        <w:spacing w:before="140"/>
        <w:rPr>
          <w:sz w:val="22"/>
        </w:rPr>
      </w:pPr>
      <w:r>
        <w:rPr>
          <w:sz w:val="22"/>
        </w:rPr>
        <w:tab/>
      </w:r>
      <w:r>
        <w:rPr>
          <w:noProof/>
          <w:position w:val="-24"/>
          <w:sz w:val="22"/>
          <w:lang w:eastAsia="en-AU"/>
        </w:rPr>
        <w:drawing>
          <wp:inline distT="0" distB="0" distL="0" distR="0">
            <wp:extent cx="1612900" cy="39687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r>
        <w:rPr>
          <w:sz w:val="22"/>
        </w:rPr>
        <w:tab/>
        <w:t>(II)</w:t>
      </w:r>
    </w:p>
    <w:p>
      <w:pPr>
        <w:pStyle w:val="MiscellaneousBody"/>
        <w:tabs>
          <w:tab w:val="left" w:pos="426"/>
          <w:tab w:val="left" w:pos="1276"/>
          <w:tab w:val="left" w:pos="1985"/>
        </w:tabs>
        <w:ind w:left="1985" w:hanging="198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426"/>
          <w:tab w:val="left" w:pos="1276"/>
          <w:tab w:val="left" w:pos="1985"/>
        </w:tabs>
        <w:ind w:left="1985" w:hanging="198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0" w:type="auto"/>
        <w:tblInd w:w="1242" w:type="dxa"/>
        <w:tblBorders>
          <w:insideH w:val="single" w:sz="4" w:space="0" w:color="auto"/>
        </w:tblBorders>
        <w:tblLayout w:type="fixed"/>
        <w:tblLook w:val="0000" w:firstRow="0" w:lastRow="0" w:firstColumn="0" w:lastColumn="0" w:noHBand="0" w:noVBand="0"/>
      </w:tblPr>
      <w:tblGrid>
        <w:gridCol w:w="1560"/>
        <w:gridCol w:w="4502"/>
      </w:tblGrid>
      <w:tr>
        <w:tc>
          <w:tcPr>
            <w:tcW w:w="1560" w:type="dxa"/>
          </w:tcPr>
          <w:p>
            <w:pPr>
              <w:pStyle w:val="MiscellaneousBody"/>
              <w:tabs>
                <w:tab w:val="left" w:pos="426"/>
                <w:tab w:val="left" w:pos="1276"/>
                <w:tab w:val="left" w:pos="1985"/>
              </w:tabs>
              <w:rPr>
                <w:sz w:val="22"/>
              </w:rPr>
            </w:pPr>
            <w:r>
              <w:rPr>
                <w:noProof/>
                <w:position w:val="-30"/>
                <w:sz w:val="22"/>
                <w:lang w:eastAsia="en-AU"/>
              </w:rPr>
              <w:drawing>
                <wp:inline distT="0" distB="0" distL="0" distR="0">
                  <wp:extent cx="673100" cy="448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p>
        </w:tc>
        <w:tc>
          <w:tcPr>
            <w:tcW w:w="4502" w:type="dxa"/>
          </w:tcPr>
          <w:p>
            <w:pPr>
              <w:pStyle w:val="MiscellaneousBody"/>
              <w:tabs>
                <w:tab w:val="left" w:pos="426"/>
                <w:tab w:val="left" w:pos="1276"/>
                <w:tab w:val="left" w:pos="1985"/>
              </w:tabs>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bl>
    <w:p>
      <w:pPr>
        <w:pStyle w:val="MiscellaneousBody"/>
        <w:tabs>
          <w:tab w:val="left" w:pos="426"/>
          <w:tab w:val="left" w:pos="1276"/>
          <w:tab w:val="left" w:pos="2694"/>
        </w:tabs>
        <w:spacing w:before="0" w:line="240" w:lineRule="auto"/>
        <w:ind w:left="2694" w:hanging="1418"/>
        <w:rPr>
          <w:sz w:val="22"/>
        </w:rPr>
      </w:pPr>
    </w:p>
    <w:tbl>
      <w:tblPr>
        <w:tblW w:w="0" w:type="auto"/>
        <w:tblInd w:w="1242" w:type="dxa"/>
        <w:tblLayout w:type="fixed"/>
        <w:tblLook w:val="0000" w:firstRow="0" w:lastRow="0" w:firstColumn="0" w:lastColumn="0" w:noHBand="0" w:noVBand="0"/>
      </w:tblPr>
      <w:tblGrid>
        <w:gridCol w:w="1560"/>
        <w:gridCol w:w="4502"/>
      </w:tblGrid>
      <w:tr>
        <w:tc>
          <w:tcPr>
            <w:tcW w:w="1560" w:type="dxa"/>
          </w:tcPr>
          <w:p>
            <w:pPr>
              <w:pStyle w:val="MiscellaneousBody"/>
              <w:tabs>
                <w:tab w:val="left" w:pos="426"/>
                <w:tab w:val="left" w:pos="1276"/>
                <w:tab w:val="left" w:pos="1985"/>
                <w:tab w:val="left" w:pos="2694"/>
              </w:tabs>
              <w:spacing w:before="0" w:line="240" w:lineRule="auto"/>
              <w:rPr>
                <w:noProof/>
                <w:sz w:val="22"/>
              </w:rPr>
            </w:pPr>
            <w:r>
              <w:rPr>
                <w:noProof/>
                <w:position w:val="-30"/>
                <w:sz w:val="22"/>
                <w:lang w:eastAsia="en-AU"/>
              </w:rPr>
              <w:drawing>
                <wp:inline distT="0" distB="0" distL="0" distR="0">
                  <wp:extent cx="647065" cy="4311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p>
        </w:tc>
        <w:tc>
          <w:tcPr>
            <w:tcW w:w="4502" w:type="dxa"/>
          </w:tcPr>
          <w:p>
            <w:pPr>
              <w:pStyle w:val="MiscellaneousBody"/>
              <w:tabs>
                <w:tab w:val="left" w:pos="426"/>
                <w:tab w:val="left" w:pos="1276"/>
                <w:tab w:val="left" w:pos="1985"/>
                <w:tab w:val="left" w:pos="2694"/>
              </w:tabs>
              <w:spacing w:before="0" w:line="240" w:lineRule="auto"/>
              <w:rPr>
                <w:noProof/>
                <w:sz w:val="22"/>
              </w:rPr>
            </w:pPr>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p>
        </w:tc>
      </w:tr>
    </w:tbl>
    <w:p>
      <w:pPr>
        <w:pStyle w:val="MiscellaneousBody"/>
        <w:tabs>
          <w:tab w:val="left" w:pos="426"/>
          <w:tab w:val="left" w:pos="1276"/>
          <w:tab w:val="left" w:pos="1985"/>
        </w:tabs>
        <w:ind w:left="1985" w:hanging="1985"/>
        <w:rPr>
          <w:sz w:val="22"/>
        </w:rPr>
      </w:pPr>
      <w:r>
        <w:rPr>
          <w:sz w:val="22"/>
        </w:rPr>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426"/>
          <w:tab w:val="left" w:pos="1276"/>
          <w:tab w:val="left" w:pos="1985"/>
        </w:tabs>
        <w:ind w:left="1985" w:hanging="198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rPr>
          <w:sz w:val="22"/>
        </w:rPr>
      </w:pPr>
      <w:r>
        <w:rPr>
          <w:sz w:val="22"/>
        </w:rPr>
        <w:t>Whenever symbols given in this paragraph appear in this Chapter, they have the meaning as defined in this Regulation.</w:t>
      </w:r>
    </w:p>
    <w:p>
      <w:pPr>
        <w:pStyle w:val="MiscellaneousBody"/>
        <w:rPr>
          <w:sz w:val="22"/>
        </w:rPr>
      </w:pPr>
      <w:r>
        <w:rPr>
          <w:sz w:val="22"/>
        </w:rPr>
        <w:t>(2) 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r>
        <w:rPr>
          <w:noProof/>
          <w:position w:val="-30"/>
          <w:sz w:val="22"/>
          <w:lang w:eastAsia="en-AU"/>
        </w:rPr>
        <w:drawing>
          <wp:inline distT="0" distB="0" distL="0" distR="0">
            <wp:extent cx="594995"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r>
        <w:rPr>
          <w:noProof/>
          <w:sz w:val="22"/>
        </w:rPr>
        <w:t xml:space="preserve"> </w:t>
      </w:r>
    </w:p>
    <w:p>
      <w:pPr>
        <w:pStyle w:val="MiscellaneousBody"/>
        <w:tabs>
          <w:tab w:val="left" w:pos="567"/>
          <w:tab w:val="left" w:pos="1276"/>
          <w:tab w:val="left" w:pos="1985"/>
        </w:tabs>
        <w:ind w:left="1985" w:hanging="1985"/>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rPr>
          <w:sz w:val="22"/>
        </w:rPr>
        <w:t>(4) 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r>
        <w:rPr>
          <w:noProof/>
          <w:position w:val="-12"/>
          <w:sz w:val="22"/>
          <w:lang w:eastAsia="en-AU"/>
        </w:rPr>
        <w:drawing>
          <wp:inline distT="0" distB="0" distL="0" distR="0">
            <wp:extent cx="1587500" cy="233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r>
        <w:rPr>
          <w:sz w:val="22"/>
        </w:rPr>
        <w:tab/>
        <w:t>(III)</w:t>
      </w:r>
    </w:p>
    <w:p>
      <w:pPr>
        <w:pStyle w:val="MiscellaneousBody"/>
        <w:rPr>
          <w:sz w:val="22"/>
        </w:rPr>
      </w:pPr>
      <w:r>
        <w:rPr>
          <w:sz w:val="22"/>
        </w:rPr>
        <w:t>(5) 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rPr>
          <w:sz w:val="22"/>
        </w:rPr>
      </w:pPr>
      <w:r>
        <w:rPr>
          <w:sz w:val="22"/>
        </w:rPr>
        <w:t>Regulation 24</w:t>
      </w:r>
    </w:p>
    <w:p>
      <w:pPr>
        <w:pStyle w:val="MiscellaneousHeading"/>
        <w:rPr>
          <w:sz w:val="22"/>
        </w:rPr>
      </w:pPr>
      <w:r>
        <w:rPr>
          <w:i/>
          <w:sz w:val="22"/>
        </w:rPr>
        <w:t>Limitation of Size and Arrangement of Cargo Tanks</w:t>
      </w:r>
    </w:p>
    <w:p>
      <w:pPr>
        <w:pStyle w:val="MiscellaneousBody"/>
        <w:rPr>
          <w:sz w:val="22"/>
        </w:rPr>
      </w:pPr>
      <w:r>
        <w:rPr>
          <w:sz w:val="22"/>
        </w:rPr>
        <w:t>(1) 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pPr>
      <w:r>
        <w:tab/>
        <w:t>(a)</w:t>
      </w:r>
      <w:r>
        <w:tab/>
        <w:t>a tanker, the delivery of which is after 1 January 1977; or</w:t>
      </w:r>
    </w:p>
    <w:p>
      <w:pPr>
        <w:pStyle w:val="ySubsection"/>
      </w:pPr>
      <w:r>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rPr>
          <w:sz w:val="22"/>
        </w:rPr>
        <w:t>(2) 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 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 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r>
        <w:rPr>
          <w:noProof/>
          <w:position w:val="-20"/>
          <w:lang w:eastAsia="en-AU"/>
        </w:rPr>
        <w:drawing>
          <wp:inline distT="0" distB="0" distL="0" distR="0">
            <wp:extent cx="180975" cy="319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equal to or greater than </w:t>
      </w:r>
      <w:r>
        <w:rPr>
          <w:noProof/>
          <w:position w:val="-20"/>
          <w:lang w:eastAsia="en-AU"/>
        </w:rPr>
        <w:drawing>
          <wp:inline distT="0" distB="0" distL="0" distR="0">
            <wp:extent cx="137795" cy="2844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i0"/>
        <w:spacing w:before="0"/>
      </w:pPr>
      <w:r>
        <w:tab/>
      </w:r>
      <w:r>
        <w:tab/>
        <w:t>0.2L</w:t>
      </w:r>
    </w:p>
    <w:p>
      <w:pPr>
        <w:pStyle w:val="yIndenti0"/>
        <w:keepNext/>
        <w:keepLines/>
      </w:pPr>
      <w:r>
        <w:tab/>
        <w:t>(2)</w:t>
      </w:r>
      <w:r>
        <w:tab/>
        <w:t xml:space="preserve">if </w:t>
      </w:r>
      <w:r>
        <w:rPr>
          <w:noProof/>
          <w:position w:val="-20"/>
          <w:lang w:eastAsia="en-AU"/>
        </w:rPr>
        <w:drawing>
          <wp:inline distT="0" distB="0" distL="0" distR="0">
            <wp:extent cx="180975" cy="3194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less than </w:t>
      </w:r>
      <w:r>
        <w:rPr>
          <w:noProof/>
          <w:position w:val="-20"/>
          <w:lang w:eastAsia="en-AU"/>
        </w:rPr>
        <w:drawing>
          <wp:inline distT="0" distB="0" distL="0" distR="0">
            <wp:extent cx="137795" cy="2844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A0"/>
        <w:keepNext/>
        <w:keepLines/>
        <w:tabs>
          <w:tab w:val="clear" w:pos="3686"/>
          <w:tab w:val="clear" w:pos="3969"/>
          <w:tab w:val="right" w:pos="2694"/>
          <w:tab w:val="left" w:pos="3119"/>
        </w:tabs>
        <w:ind w:left="3119"/>
      </w:pPr>
      <w:r>
        <w:tab/>
        <w:t> — </w:t>
      </w:r>
      <w:r>
        <w:tab/>
        <w:t>where no centreline longitudinal bulkhead is provided:</w:t>
      </w:r>
    </w:p>
    <w:p>
      <w:pPr>
        <w:pStyle w:val="yIndentA0"/>
        <w:keepLines/>
        <w:tabs>
          <w:tab w:val="clear" w:pos="3686"/>
          <w:tab w:val="clear" w:pos="3969"/>
          <w:tab w:val="right" w:pos="2694"/>
          <w:tab w:val="left" w:pos="3119"/>
        </w:tabs>
        <w:ind w:left="3119" w:hanging="3119"/>
      </w:pPr>
      <w:r>
        <w:tab/>
      </w:r>
      <w:r>
        <w:tab/>
        <w:t xml:space="preserve">(0.5 </w:t>
      </w:r>
      <w:r>
        <w:rPr>
          <w:noProof/>
          <w:position w:val="-20"/>
          <w:lang w:eastAsia="en-AU"/>
        </w:rPr>
        <w:drawing>
          <wp:inline distT="0" distB="0" distL="0" distR="0">
            <wp:extent cx="180975" cy="3194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 L</w:t>
      </w:r>
    </w:p>
    <w:p>
      <w:pPr>
        <w:pStyle w:val="yIndentA0"/>
        <w:keepNext/>
        <w:keepLines/>
        <w:tabs>
          <w:tab w:val="clear" w:pos="3686"/>
          <w:tab w:val="clear" w:pos="3969"/>
          <w:tab w:val="right" w:pos="2694"/>
          <w:tab w:val="left" w:pos="3119"/>
        </w:tabs>
        <w:ind w:left="3119" w:hanging="3119"/>
      </w:pPr>
      <w:r>
        <w:tab/>
        <w:t> — </w:t>
      </w:r>
      <w:r>
        <w:tab/>
        <w:t>where a centreline longitudinal bulkhead is provided:</w:t>
      </w:r>
    </w:p>
    <w:p>
      <w:pPr>
        <w:pStyle w:val="yIndentA0"/>
        <w:keepNext/>
        <w:keepLines/>
        <w:tabs>
          <w:tab w:val="clear" w:pos="3686"/>
          <w:tab w:val="clear" w:pos="3969"/>
          <w:tab w:val="right" w:pos="2552"/>
          <w:tab w:val="left" w:pos="3119"/>
        </w:tabs>
        <w:ind w:left="3119" w:hanging="3119"/>
      </w:pPr>
      <w:r>
        <w:tab/>
      </w:r>
      <w:r>
        <w:tab/>
        <w:t xml:space="preserve">(0.25 </w:t>
      </w:r>
      <w:r>
        <w:rPr>
          <w:noProof/>
          <w:position w:val="-20"/>
          <w:lang w:eastAsia="en-AU"/>
        </w:rPr>
        <w:drawing>
          <wp:inline distT="0" distB="0" distL="0" distR="0">
            <wp:extent cx="180975" cy="319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+ 0.15) L</w:t>
      </w:r>
    </w:p>
    <w:p>
      <w:pPr>
        <w:pStyle w:val="MiscellaneousBody"/>
        <w:keepNext/>
        <w:keepLines/>
        <w:rPr>
          <w:sz w:val="22"/>
        </w:rPr>
      </w:pPr>
      <w:r>
        <w:rPr>
          <w:sz w:val="22"/>
        </w:rPr>
        <w:t>(5) In order not to exceed the volume limits established by paragraphs (2), (3)</w:t>
      </w:r>
      <w:r>
        <w:rPr>
          <w:sz w:val="22"/>
        </w:rPr>
        <w:fldChar w:fldCharType="begin"/>
      </w:r>
      <w:r>
        <w:rPr>
          <w:sz w:val="22"/>
        </w:rPr>
        <w:instrText>ADVANCE \R 14.15</w:instrText>
      </w:r>
      <w:r>
        <w:rPr>
          <w:sz w:val="22"/>
        </w:rPr>
        <w:fldChar w:fldCharType="end"/>
      </w:r>
      <w:r>
        <w:rPr>
          <w:sz w:val="22"/>
        </w:rPr>
        <w:t>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 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rPr>
          <w:sz w:val="22"/>
        </w:rPr>
      </w:pPr>
      <w:r>
        <w:rPr>
          <w:sz w:val="22"/>
        </w:rPr>
        <w:t>Regulation 25</w:t>
      </w:r>
    </w:p>
    <w:p>
      <w:pPr>
        <w:pStyle w:val="MiscellaneousHeading"/>
        <w:rPr>
          <w:sz w:val="22"/>
        </w:rPr>
      </w:pPr>
      <w:r>
        <w:rPr>
          <w:i/>
          <w:sz w:val="22"/>
        </w:rPr>
        <w:t>Subdivision and Stability</w:t>
      </w:r>
    </w:p>
    <w:p>
      <w:pPr>
        <w:pStyle w:val="MiscellaneousBody"/>
        <w:rPr>
          <w:sz w:val="22"/>
        </w:rPr>
      </w:pPr>
      <w:r>
        <w:rPr>
          <w:sz w:val="22"/>
        </w:rPr>
        <w:t>(1) 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 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rPr>
          <w:sz w:val="22"/>
        </w:rPr>
        <w:t>(3) 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rPr>
          <w:sz w:val="22"/>
        </w:rPr>
        <w:t>(4) The requirements of paragraph (1) of this Regulation shall be confirmed by calculations which take into consideration the design characteristics of the ship, the arrangements, configuration and contents of the damaged 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rPr>
          <w:sz w:val="22"/>
        </w:rPr>
        <w:t>(5) 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jc w:val="center"/>
            </w:pPr>
            <w:r>
              <w:t>Name of Ship</w:t>
            </w:r>
          </w:p>
        </w:tc>
        <w:tc>
          <w:tcPr>
            <w:tcW w:w="1843" w:type="dxa"/>
            <w:tcBorders>
              <w:top w:val="single" w:sz="7" w:space="0" w:color="auto"/>
              <w:left w:val="single" w:sz="7" w:space="0" w:color="auto"/>
            </w:tcBorders>
          </w:tcPr>
          <w:p>
            <w:pPr>
              <w:pStyle w:val="yTable"/>
              <w:keepNext/>
              <w:keepLines/>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jc w:val="center"/>
            </w:pPr>
            <w:r>
              <w:t>Port of</w:t>
            </w:r>
            <w:r>
              <w:br/>
              <w:t>Registry</w:t>
            </w:r>
          </w:p>
        </w:tc>
        <w:tc>
          <w:tcPr>
            <w:tcW w:w="1698" w:type="dxa"/>
            <w:tcBorders>
              <w:top w:val="single" w:sz="7" w:space="0" w:color="auto"/>
              <w:left w:val="single" w:sz="7" w:space="0" w:color="auto"/>
              <w:right w:val="single" w:sz="7" w:space="0" w:color="auto"/>
            </w:tcBorders>
          </w:tcPr>
          <w:p>
            <w:pPr>
              <w:pStyle w:val="yTable"/>
              <w:keepNext/>
              <w:keepLines/>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bookmarkStart w:id="241" w:name="_Ref527253522"/>
      <w:r>
        <w:rPr>
          <w:rStyle w:val="FootnoteReference"/>
          <w:sz w:val="22"/>
          <w:vertAlign w:val="baseline"/>
        </w:rPr>
        <w:footnoteReference w:customMarkFollows="1" w:id="6"/>
        <w:t>*</w:t>
      </w:r>
      <w:bookmarkEnd w:id="241"/>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bookmarkStart w:id="242" w:name="_Hlt527253660"/>
      <w:r>
        <w:rPr>
          <w:sz w:val="22"/>
        </w:rPr>
        <w:t>*</w:t>
      </w:r>
      <w:bookmarkEnd w:id="242"/>
    </w:p>
    <w:p>
      <w:pPr>
        <w:pStyle w:val="MiscellaneousBody"/>
        <w:spacing w:before="120"/>
        <w:ind w:left="567"/>
        <w:rPr>
          <w:sz w:val="22"/>
        </w:rPr>
      </w:pPr>
      <w:r>
        <w:rPr>
          <w:sz w:val="22"/>
        </w:rPr>
        <w:t>Ship other than any of the above</w:t>
      </w:r>
      <w:bookmarkStart w:id="243" w:name="_Hlt527253662"/>
      <w:r>
        <w:t>*</w:t>
      </w:r>
      <w:bookmarkEnd w:id="243"/>
    </w:p>
    <w:p>
      <w:pPr>
        <w:pStyle w:val="MiscellaneousBody"/>
        <w:spacing w:before="120"/>
        <w:rPr>
          <w:sz w:val="22"/>
        </w:rPr>
      </w:pPr>
      <w:r>
        <w:rPr>
          <w:sz w:val="22"/>
        </w:rPr>
        <w:t>New/existing ship</w:t>
      </w:r>
      <w:bookmarkStart w:id="244" w:name="_Hlt527253664"/>
      <w:r>
        <w:t>*</w:t>
      </w:r>
      <w:bookmarkEnd w:id="244"/>
    </w:p>
    <w:p>
      <w:pPr>
        <w:pStyle w:val="MiscellaneousBody"/>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w:t>
      </w:r>
      <w:bookmarkStart w:id="245" w:name="_Hlt527254216"/>
      <w:r>
        <w:t>*</w:t>
      </w:r>
      <w:bookmarkEnd w:id="245"/>
      <w:r>
        <w:t xml:space="preserve">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842"/>
        <w:gridCol w:w="1701"/>
        <w:gridCol w:w="1843"/>
      </w:tblGrid>
      <w:tr>
        <w:tc>
          <w:tcPr>
            <w:tcW w:w="1560" w:type="dxa"/>
            <w:tcBorders>
              <w:top w:val="single" w:sz="7" w:space="0" w:color="auto"/>
              <w:left w:val="single" w:sz="7" w:space="0" w:color="auto"/>
            </w:tcBorders>
          </w:tcPr>
          <w:p>
            <w:pPr>
              <w:pStyle w:val="yTable"/>
              <w:keepNext/>
              <w:jc w:val="center"/>
            </w:pPr>
            <w:r>
              <w:t>Tank</w:t>
            </w:r>
          </w:p>
        </w:tc>
        <w:tc>
          <w:tcPr>
            <w:tcW w:w="1842" w:type="dxa"/>
            <w:tcBorders>
              <w:top w:val="single" w:sz="7" w:space="0" w:color="auto"/>
              <w:left w:val="single" w:sz="7" w:space="0" w:color="auto"/>
            </w:tcBorders>
          </w:tcPr>
          <w:p>
            <w:pPr>
              <w:pStyle w:val="yTable"/>
              <w:keepNext/>
              <w:jc w:val="center"/>
            </w:pPr>
            <w:r>
              <w:t>Quantity</w:t>
            </w:r>
          </w:p>
        </w:tc>
        <w:tc>
          <w:tcPr>
            <w:tcW w:w="1701" w:type="dxa"/>
            <w:tcBorders>
              <w:top w:val="single" w:sz="7" w:space="0" w:color="auto"/>
              <w:left w:val="single" w:sz="7" w:space="0" w:color="auto"/>
            </w:tcBorders>
          </w:tcPr>
          <w:p>
            <w:pPr>
              <w:pStyle w:val="yTable"/>
              <w:keepNext/>
              <w:jc w:val="center"/>
            </w:pPr>
            <w:r>
              <w:t>Tank</w:t>
            </w:r>
          </w:p>
        </w:tc>
        <w:tc>
          <w:tcPr>
            <w:tcW w:w="1843" w:type="dxa"/>
            <w:tcBorders>
              <w:top w:val="single" w:sz="7" w:space="0" w:color="auto"/>
              <w:left w:val="single" w:sz="7" w:space="0" w:color="auto"/>
              <w:right w:val="single" w:sz="7" w:space="0" w:color="auto"/>
            </w:tcBorders>
          </w:tcPr>
          <w:p>
            <w:pPr>
              <w:pStyle w:val="yTable"/>
              <w:keepNext/>
              <w:jc w:val="center"/>
            </w:pPr>
            <w:r>
              <w:t>Quantity</w:t>
            </w:r>
          </w:p>
        </w:tc>
      </w:tr>
      <w:tr>
        <w:tc>
          <w:tcPr>
            <w:tcW w:w="1560" w:type="dxa"/>
            <w:tcBorders>
              <w:top w:val="single" w:sz="7" w:space="0" w:color="auto"/>
              <w:left w:val="single" w:sz="7" w:space="0" w:color="auto"/>
              <w:bottom w:val="single" w:sz="7" w:space="0" w:color="auto"/>
            </w:tcBorders>
          </w:tcPr>
          <w:p>
            <w:pPr>
              <w:pStyle w:val="yTable"/>
              <w:keepNext/>
            </w:pPr>
          </w:p>
          <w:p>
            <w:pPr>
              <w:pStyle w:val="yTable"/>
              <w:keepNext/>
            </w:pPr>
          </w:p>
        </w:tc>
        <w:tc>
          <w:tcPr>
            <w:tcW w:w="1842" w:type="dxa"/>
            <w:tcBorders>
              <w:top w:val="single" w:sz="7" w:space="0" w:color="auto"/>
              <w:left w:val="single" w:sz="7" w:space="0" w:color="auto"/>
              <w:bottom w:val="single" w:sz="7" w:space="0" w:color="auto"/>
            </w:tcBorders>
          </w:tcPr>
          <w:p>
            <w:pPr>
              <w:pStyle w:val="yTable"/>
              <w:keepNext/>
            </w:pPr>
          </w:p>
        </w:tc>
        <w:tc>
          <w:tcPr>
            <w:tcW w:w="1701" w:type="dxa"/>
            <w:tcBorders>
              <w:top w:val="single" w:sz="7" w:space="0" w:color="auto"/>
              <w:left w:val="single" w:sz="7" w:space="0" w:color="auto"/>
              <w:bottom w:val="single" w:sz="7" w:space="0" w:color="auto"/>
            </w:tcBorders>
          </w:tcPr>
          <w:p>
            <w:pPr>
              <w:pStyle w:val="yTable"/>
              <w:keepNext/>
            </w:pPr>
          </w:p>
        </w:tc>
        <w:tc>
          <w:tcPr>
            <w:tcW w:w="1843"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 xml:space="preserve">.......................................................................... </w:t>
      </w:r>
    </w:p>
    <w:p>
      <w:pPr>
        <w:pStyle w:val="MiscellaneousBody"/>
        <w:spacing w:before="0" w:line="240" w:lineRule="auto"/>
        <w:jc w:val="right"/>
        <w:rPr>
          <w:i/>
          <w:sz w:val="22"/>
        </w:rPr>
      </w:pPr>
      <w:r>
        <w:rPr>
          <w:sz w:val="22"/>
        </w:rPr>
        <w:tab/>
        <w:t>(</w:t>
      </w:r>
      <w:r>
        <w:rPr>
          <w:i/>
          <w:sz w:val="22"/>
        </w:rPr>
        <w:t xml:space="preserve">Signature of duly authorized official </w:t>
      </w:r>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rPr>
          <w:sz w:val="22"/>
        </w:rPr>
      </w:pPr>
      <w:r>
        <w:rPr>
          <w:sz w:val="22"/>
        </w:rPr>
        <w:t xml:space="preserve">Voyage from ................... (date) ................. to .................. (date) ........................ </w:t>
      </w:r>
    </w:p>
    <w:p>
      <w:pPr>
        <w:pStyle w:val="MiscellaneousBody"/>
        <w:tabs>
          <w:tab w:val="left" w:pos="426"/>
        </w:tabs>
        <w:spacing w:after="80"/>
        <w:rPr>
          <w:sz w:val="22"/>
        </w:rPr>
      </w:pPr>
      <w:r>
        <w:rPr>
          <w:sz w:val="22"/>
        </w:rPr>
        <w:t>(a)</w:t>
      </w:r>
      <w:r>
        <w:rPr>
          <w:sz w:val="22"/>
        </w:rPr>
        <w:tab/>
        <w:t>Loading of oil cargo</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7" w:hanging="447"/>
            </w:pPr>
            <w:r>
              <w:t>1.</w:t>
            </w:r>
            <w:r>
              <w:tab/>
              <w:t>Date and place of loading</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w:t>
            </w:r>
            <w:r>
              <w:tab/>
              <w:t>Types of oil loaded</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3.</w:t>
            </w:r>
            <w:r>
              <w:tab/>
              <w:t>Identity of tank(s) loaded</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903"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120" w:type="dxa"/>
        <w:tblLayout w:type="fixed"/>
        <w:tblCellMar>
          <w:left w:w="120" w:type="dxa"/>
          <w:right w:w="120" w:type="dxa"/>
        </w:tblCellMar>
        <w:tblLook w:val="0000" w:firstRow="0" w:lastRow="0" w:firstColumn="0" w:lastColumn="0" w:noHBand="0" w:noVBand="0"/>
      </w:tblPr>
      <w:tblGrid>
        <w:gridCol w:w="2486"/>
        <w:gridCol w:w="842"/>
        <w:gridCol w:w="939"/>
        <w:gridCol w:w="939"/>
        <w:gridCol w:w="939"/>
        <w:gridCol w:w="939"/>
      </w:tblGrid>
      <w:tr>
        <w:tc>
          <w:tcPr>
            <w:tcW w:w="4267" w:type="dxa"/>
            <w:gridSpan w:val="3"/>
            <w:tcBorders>
              <w:top w:val="single" w:sz="7" w:space="0" w:color="auto"/>
              <w:left w:val="single" w:sz="7" w:space="0" w:color="auto"/>
            </w:tcBorders>
          </w:tcPr>
          <w:p>
            <w:pPr>
              <w:pStyle w:val="yTable"/>
              <w:ind w:left="447" w:hanging="447"/>
            </w:pPr>
            <w:r>
              <w:t>5.</w:t>
            </w:r>
            <w:r>
              <w:tab/>
              <w:t>Date of internal transfer</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2486" w:type="dxa"/>
            <w:tcBorders>
              <w:top w:val="single" w:sz="7" w:space="0" w:color="auto"/>
              <w:left w:val="single" w:sz="7" w:space="0" w:color="auto"/>
            </w:tcBorders>
          </w:tcPr>
          <w:p>
            <w:pPr>
              <w:pStyle w:val="yTable"/>
              <w:ind w:left="447" w:hanging="447"/>
            </w:pPr>
            <w:r>
              <w:t>6.</w:t>
            </w:r>
            <w:r>
              <w:tab/>
              <w:t>Identity of tank(s)</w:t>
            </w:r>
          </w:p>
        </w:tc>
        <w:tc>
          <w:tcPr>
            <w:tcW w:w="842" w:type="dxa"/>
            <w:tcBorders>
              <w:top w:val="single" w:sz="7" w:space="0" w:color="auto"/>
              <w:left w:val="single" w:sz="7" w:space="0" w:color="auto"/>
            </w:tcBorders>
          </w:tcPr>
          <w:p>
            <w:pPr>
              <w:pStyle w:val="yTable"/>
            </w:pPr>
            <w:r>
              <w:t>(i)</w:t>
            </w:r>
          </w:p>
        </w:tc>
        <w:tc>
          <w:tcPr>
            <w:tcW w:w="939" w:type="dxa"/>
            <w:tcBorders>
              <w:top w:val="single" w:sz="7" w:space="0" w:color="auto"/>
              <w:left w:val="single" w:sz="7" w:space="0" w:color="auto"/>
            </w:tcBorders>
          </w:tcPr>
          <w:p>
            <w:pPr>
              <w:pStyle w:val="yTable"/>
            </w:pPr>
            <w:r>
              <w:t>From</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2486" w:type="dxa"/>
            <w:tcBorders>
              <w:top w:val="single" w:sz="7" w:space="0" w:color="auto"/>
              <w:left w:val="single" w:sz="7" w:space="0" w:color="auto"/>
            </w:tcBorders>
          </w:tcPr>
          <w:p>
            <w:pPr>
              <w:pStyle w:val="yTable"/>
              <w:ind w:left="447" w:hanging="447"/>
            </w:pPr>
          </w:p>
        </w:tc>
        <w:tc>
          <w:tcPr>
            <w:tcW w:w="842" w:type="dxa"/>
            <w:tcBorders>
              <w:top w:val="single" w:sz="7" w:space="0" w:color="auto"/>
              <w:left w:val="single" w:sz="7" w:space="0" w:color="auto"/>
            </w:tcBorders>
          </w:tcPr>
          <w:p>
            <w:pPr>
              <w:pStyle w:val="yTable"/>
            </w:pPr>
            <w:r>
              <w:t>(ii)</w:t>
            </w:r>
          </w:p>
        </w:tc>
        <w:tc>
          <w:tcPr>
            <w:tcW w:w="939" w:type="dxa"/>
            <w:tcBorders>
              <w:top w:val="single" w:sz="7" w:space="0" w:color="auto"/>
              <w:left w:val="single" w:sz="7" w:space="0" w:color="auto"/>
            </w:tcBorders>
          </w:tcPr>
          <w:p>
            <w:pPr>
              <w:pStyle w:val="yTable"/>
            </w:pPr>
            <w:r>
              <w:t>To</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4267"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939" w:type="dxa"/>
            <w:tcBorders>
              <w:top w:val="single" w:sz="7" w:space="0" w:color="auto"/>
              <w:left w:val="single" w:sz="7" w:space="0" w:color="auto"/>
              <w:bottom w:val="single" w:sz="7" w:space="0" w:color="auto"/>
            </w:tcBorders>
          </w:tcPr>
          <w:p>
            <w:pPr>
              <w:pStyle w:val="yTable"/>
            </w:pPr>
          </w:p>
        </w:tc>
        <w:tc>
          <w:tcPr>
            <w:tcW w:w="939" w:type="dxa"/>
            <w:tcBorders>
              <w:top w:val="single" w:sz="7" w:space="0" w:color="auto"/>
              <w:left w:val="single" w:sz="7" w:space="0" w:color="auto"/>
              <w:bottom w:val="single" w:sz="7" w:space="0" w:color="auto"/>
            </w:tcBorders>
          </w:tcPr>
          <w:p>
            <w:pPr>
              <w:pStyle w:val="yTable"/>
            </w:pPr>
          </w:p>
        </w:tc>
        <w:tc>
          <w:tcPr>
            <w:tcW w:w="9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keepLines/>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120" w:type="dxa"/>
        <w:tblLayout w:type="fixed"/>
        <w:tblCellMar>
          <w:left w:w="120" w:type="dxa"/>
          <w:right w:w="120" w:type="dxa"/>
        </w:tblCellMar>
        <w:tblLook w:val="0000" w:firstRow="0" w:lastRow="0" w:firstColumn="0" w:lastColumn="0" w:noHBand="0" w:noVBand="0"/>
      </w:tblPr>
      <w:tblGrid>
        <w:gridCol w:w="3909"/>
        <w:gridCol w:w="1060"/>
        <w:gridCol w:w="1058"/>
        <w:gridCol w:w="1058"/>
      </w:tblGrid>
      <w:tr>
        <w:tc>
          <w:tcPr>
            <w:tcW w:w="3909" w:type="dxa"/>
            <w:tcBorders>
              <w:top w:val="single" w:sz="7" w:space="0" w:color="auto"/>
              <w:left w:val="single" w:sz="7" w:space="0" w:color="auto"/>
            </w:tcBorders>
          </w:tcPr>
          <w:p>
            <w:pPr>
              <w:pStyle w:val="yTable"/>
              <w:ind w:left="448" w:hanging="448"/>
            </w:pPr>
            <w:r>
              <w:t xml:space="preserve"> 8.</w:t>
            </w:r>
            <w:r>
              <w:tab/>
              <w:t>Date and place of unloading</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 xml:space="preserve"> 9.</w:t>
            </w:r>
            <w:r>
              <w:tab/>
              <w:t>Identity of tank(s) unloaded</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10.</w:t>
            </w:r>
            <w:r>
              <w:tab/>
              <w:t>Was (were) tank(s) emptied?</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1060" w:type="dxa"/>
            <w:tcBorders>
              <w:top w:val="single" w:sz="7" w:space="0" w:color="auto"/>
              <w:left w:val="single" w:sz="7" w:space="0" w:color="auto"/>
            </w:tcBorders>
          </w:tcPr>
          <w:p>
            <w:pPr>
              <w:pStyle w:val="yTable"/>
            </w:pPr>
          </w:p>
        </w:tc>
        <w:tc>
          <w:tcPr>
            <w:tcW w:w="1058" w:type="dxa"/>
            <w:tcBorders>
              <w:top w:val="single" w:sz="7" w:space="0" w:color="auto"/>
              <w:left w:val="single" w:sz="7" w:space="0" w:color="auto"/>
            </w:tcBorders>
          </w:tcPr>
          <w:p>
            <w:pPr>
              <w:pStyle w:val="yTable"/>
            </w:pPr>
          </w:p>
        </w:tc>
        <w:tc>
          <w:tcPr>
            <w:tcW w:w="1058" w:type="dxa"/>
            <w:tcBorders>
              <w:top w:val="single" w:sz="7" w:space="0" w:color="auto"/>
              <w:left w:val="single" w:sz="7" w:space="0" w:color="auto"/>
              <w:right w:val="single" w:sz="7" w:space="0" w:color="auto"/>
            </w:tcBorders>
          </w:tcPr>
          <w:p>
            <w:pPr>
              <w:pStyle w:val="yTable"/>
            </w:pPr>
          </w:p>
        </w:tc>
      </w:tr>
      <w:tr>
        <w:tc>
          <w:tcPr>
            <w:tcW w:w="3909"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1060" w:type="dxa"/>
            <w:tcBorders>
              <w:top w:val="single" w:sz="7" w:space="0" w:color="auto"/>
              <w:left w:val="single" w:sz="7" w:space="0" w:color="auto"/>
              <w:bottom w:val="single" w:sz="7" w:space="0" w:color="auto"/>
            </w:tcBorders>
          </w:tcPr>
          <w:p>
            <w:pPr>
              <w:pStyle w:val="yTable"/>
            </w:pPr>
          </w:p>
        </w:tc>
        <w:tc>
          <w:tcPr>
            <w:tcW w:w="1058" w:type="dxa"/>
            <w:tcBorders>
              <w:top w:val="single" w:sz="7" w:space="0" w:color="auto"/>
              <w:left w:val="single" w:sz="7" w:space="0" w:color="auto"/>
              <w:bottom w:val="single" w:sz="7" w:space="0" w:color="auto"/>
            </w:tcBorders>
          </w:tcPr>
          <w:p>
            <w:pPr>
              <w:pStyle w:val="yTable"/>
            </w:pPr>
          </w:p>
        </w:tc>
        <w:tc>
          <w:tcPr>
            <w:tcW w:w="105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120" w:type="dxa"/>
        <w:tblLayout w:type="fixed"/>
        <w:tblCellMar>
          <w:left w:w="120" w:type="dxa"/>
          <w:right w:w="120" w:type="dxa"/>
        </w:tblCellMar>
        <w:tblLook w:val="0000" w:firstRow="0" w:lastRow="0" w:firstColumn="0" w:lastColumn="0" w:noHBand="0" w:noVBand="0"/>
      </w:tblPr>
      <w:tblGrid>
        <w:gridCol w:w="3828"/>
        <w:gridCol w:w="1128"/>
        <w:gridCol w:w="998"/>
        <w:gridCol w:w="1134"/>
      </w:tblGrid>
      <w:tr>
        <w:tc>
          <w:tcPr>
            <w:tcW w:w="3828" w:type="dxa"/>
            <w:tcBorders>
              <w:top w:val="single" w:sz="7" w:space="0" w:color="auto"/>
              <w:left w:val="single" w:sz="7" w:space="0" w:color="auto"/>
            </w:tcBorders>
          </w:tcPr>
          <w:p>
            <w:pPr>
              <w:pStyle w:val="yTable"/>
              <w:keepNext/>
              <w:keepLines/>
              <w:ind w:left="448" w:hanging="448"/>
            </w:pPr>
            <w:r>
              <w:t>13.</w:t>
            </w:r>
            <w:r>
              <w:tab/>
              <w:t>Identity of tank(s) ballasted</w:t>
            </w:r>
          </w:p>
        </w:tc>
        <w:tc>
          <w:tcPr>
            <w:tcW w:w="1128" w:type="dxa"/>
            <w:tcBorders>
              <w:top w:val="single" w:sz="7" w:space="0" w:color="auto"/>
              <w:left w:val="single" w:sz="7" w:space="0" w:color="auto"/>
            </w:tcBorders>
          </w:tcPr>
          <w:p>
            <w:pPr>
              <w:pStyle w:val="yTable"/>
              <w:keepNext/>
              <w:keepLines/>
            </w:pPr>
          </w:p>
        </w:tc>
        <w:tc>
          <w:tcPr>
            <w:tcW w:w="998" w:type="dxa"/>
            <w:tcBorders>
              <w:top w:val="single" w:sz="7" w:space="0" w:color="auto"/>
              <w:left w:val="single" w:sz="7" w:space="0" w:color="auto"/>
            </w:tcBorders>
          </w:tcPr>
          <w:p>
            <w:pPr>
              <w:pStyle w:val="yTable"/>
              <w:keepNext/>
              <w:keepLines/>
            </w:pPr>
          </w:p>
        </w:tc>
        <w:tc>
          <w:tcPr>
            <w:tcW w:w="1134" w:type="dxa"/>
            <w:tcBorders>
              <w:top w:val="single" w:sz="7" w:space="0" w:color="auto"/>
              <w:left w:val="single" w:sz="7" w:space="0" w:color="auto"/>
              <w:right w:val="single" w:sz="7" w:space="0" w:color="auto"/>
            </w:tcBorders>
          </w:tcPr>
          <w:p>
            <w:pPr>
              <w:pStyle w:val="yTable"/>
              <w:keepNext/>
              <w:keepLines/>
            </w:pPr>
          </w:p>
        </w:tc>
      </w:tr>
      <w:tr>
        <w:tc>
          <w:tcPr>
            <w:tcW w:w="3828"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1128" w:type="dxa"/>
            <w:tcBorders>
              <w:top w:val="single" w:sz="7" w:space="0" w:color="auto"/>
              <w:left w:val="single" w:sz="7" w:space="0" w:color="auto"/>
            </w:tcBorders>
          </w:tcPr>
          <w:p>
            <w:pPr>
              <w:pStyle w:val="yTable"/>
              <w:keepNext/>
              <w:keepLines/>
            </w:pPr>
          </w:p>
        </w:tc>
        <w:tc>
          <w:tcPr>
            <w:tcW w:w="998" w:type="dxa"/>
            <w:tcBorders>
              <w:top w:val="single" w:sz="7" w:space="0" w:color="auto"/>
              <w:left w:val="single" w:sz="7" w:space="0" w:color="auto"/>
            </w:tcBorders>
          </w:tcPr>
          <w:p>
            <w:pPr>
              <w:pStyle w:val="yTable"/>
              <w:keepNext/>
              <w:keepLines/>
            </w:pPr>
          </w:p>
        </w:tc>
        <w:tc>
          <w:tcPr>
            <w:tcW w:w="1134" w:type="dxa"/>
            <w:tcBorders>
              <w:top w:val="single" w:sz="7" w:space="0" w:color="auto"/>
              <w:left w:val="single" w:sz="7" w:space="0" w:color="auto"/>
              <w:right w:val="single" w:sz="7" w:space="0" w:color="auto"/>
            </w:tcBorders>
          </w:tcPr>
          <w:p>
            <w:pPr>
              <w:pStyle w:val="yTable"/>
              <w:keepNext/>
              <w:keepLines/>
            </w:pPr>
          </w:p>
        </w:tc>
      </w:tr>
      <w:tr>
        <w:tc>
          <w:tcPr>
            <w:tcW w:w="3828"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1128" w:type="dxa"/>
            <w:tcBorders>
              <w:top w:val="single" w:sz="7" w:space="0" w:color="auto"/>
              <w:left w:val="single" w:sz="7" w:space="0" w:color="auto"/>
              <w:bottom w:val="single" w:sz="7" w:space="0" w:color="auto"/>
            </w:tcBorders>
          </w:tcPr>
          <w:p>
            <w:pPr>
              <w:pStyle w:val="yTable"/>
            </w:pPr>
          </w:p>
        </w:tc>
        <w:tc>
          <w:tcPr>
            <w:tcW w:w="998" w:type="dxa"/>
            <w:tcBorders>
              <w:top w:val="single" w:sz="7" w:space="0" w:color="auto"/>
              <w:left w:val="single" w:sz="7" w:space="0" w:color="auto"/>
              <w:bottom w:val="single" w:sz="7" w:space="0" w:color="auto"/>
            </w:tcBorders>
          </w:tcPr>
          <w:p>
            <w:pPr>
              <w:pStyle w:val="yTable"/>
            </w:pPr>
          </w:p>
        </w:tc>
        <w:tc>
          <w:tcPr>
            <w:tcW w:w="113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(e)</w:t>
      </w:r>
      <w:r>
        <w:rPr>
          <w:sz w:val="22"/>
        </w:rPr>
        <w:tab/>
        <w:t>Cleaning of cargo tanks</w:t>
      </w:r>
    </w:p>
    <w:tbl>
      <w:tblPr>
        <w:tblW w:w="0" w:type="auto"/>
        <w:tblInd w:w="120" w:type="dxa"/>
        <w:tblLayout w:type="fixed"/>
        <w:tblCellMar>
          <w:left w:w="120" w:type="dxa"/>
          <w:right w:w="120" w:type="dxa"/>
        </w:tblCellMar>
        <w:tblLook w:val="0000" w:firstRow="0" w:lastRow="0" w:firstColumn="0" w:lastColumn="0" w:noHBand="0" w:noVBand="0"/>
      </w:tblPr>
      <w:tblGrid>
        <w:gridCol w:w="3949"/>
        <w:gridCol w:w="938"/>
        <w:gridCol w:w="1045"/>
        <w:gridCol w:w="1045"/>
      </w:tblGrid>
      <w:tr>
        <w:tc>
          <w:tcPr>
            <w:tcW w:w="3949" w:type="dxa"/>
            <w:tcBorders>
              <w:top w:val="single" w:sz="7" w:space="0" w:color="auto"/>
              <w:left w:val="single" w:sz="7" w:space="0" w:color="auto"/>
            </w:tcBorders>
          </w:tcPr>
          <w:p>
            <w:pPr>
              <w:pStyle w:val="yTable"/>
              <w:keepNext/>
              <w:ind w:left="448" w:hanging="448"/>
            </w:pPr>
            <w:r>
              <w:t>16.</w:t>
            </w:r>
            <w:r>
              <w:tab/>
              <w:t>Identity of tank(s) cleaned</w:t>
            </w:r>
          </w:p>
        </w:tc>
        <w:tc>
          <w:tcPr>
            <w:tcW w:w="938"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right w:val="single" w:sz="7" w:space="0" w:color="auto"/>
            </w:tcBorders>
          </w:tcPr>
          <w:p>
            <w:pPr>
              <w:pStyle w:val="yTable"/>
            </w:pPr>
          </w:p>
        </w:tc>
      </w:tr>
      <w:tr>
        <w:tc>
          <w:tcPr>
            <w:tcW w:w="3949" w:type="dxa"/>
            <w:tcBorders>
              <w:top w:val="single" w:sz="7" w:space="0" w:color="auto"/>
              <w:left w:val="single" w:sz="7" w:space="0" w:color="auto"/>
            </w:tcBorders>
          </w:tcPr>
          <w:p>
            <w:pPr>
              <w:pStyle w:val="yTable"/>
              <w:ind w:left="447" w:hanging="447"/>
            </w:pPr>
            <w:r>
              <w:t>17.</w:t>
            </w:r>
            <w:r>
              <w:tab/>
              <w:t>Date and duration of cleaning</w:t>
            </w:r>
          </w:p>
        </w:tc>
        <w:tc>
          <w:tcPr>
            <w:tcW w:w="938"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right w:val="single" w:sz="7" w:space="0" w:color="auto"/>
            </w:tcBorders>
          </w:tcPr>
          <w:p>
            <w:pPr>
              <w:pStyle w:val="yTable"/>
            </w:pPr>
          </w:p>
        </w:tc>
      </w:tr>
      <w:tr>
        <w:tc>
          <w:tcPr>
            <w:tcW w:w="3949"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938" w:type="dxa"/>
            <w:tcBorders>
              <w:top w:val="single" w:sz="7" w:space="0" w:color="auto"/>
              <w:left w:val="single" w:sz="7" w:space="0" w:color="auto"/>
              <w:bottom w:val="single" w:sz="7" w:space="0" w:color="auto"/>
            </w:tcBorders>
          </w:tcPr>
          <w:p>
            <w:pPr>
              <w:pStyle w:val="yTable"/>
            </w:pPr>
          </w:p>
        </w:tc>
        <w:tc>
          <w:tcPr>
            <w:tcW w:w="1045" w:type="dxa"/>
            <w:tcBorders>
              <w:top w:val="single" w:sz="7" w:space="0" w:color="auto"/>
              <w:left w:val="single" w:sz="7" w:space="0" w:color="auto"/>
              <w:bottom w:val="single" w:sz="7" w:space="0" w:color="auto"/>
            </w:tcBorders>
          </w:tcPr>
          <w:p>
            <w:pPr>
              <w:pStyle w:val="yTable"/>
            </w:pPr>
          </w:p>
        </w:tc>
        <w:tc>
          <w:tcPr>
            <w:tcW w:w="1045"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7" w:hanging="447"/>
            </w:pPr>
            <w:r>
              <w:t>19.</w:t>
            </w:r>
            <w:r>
              <w:tab/>
              <w:t xml:space="preserve">Identity of tank(s) </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22.</w:t>
            </w:r>
            <w:r>
              <w:tab/>
              <w:t>Ship’s speed(s) during discharge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23.</w:t>
            </w:r>
            <w:r>
              <w:tab/>
              <w:t>Quantity discharged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903" w:type="dxa"/>
            <w:tcBorders>
              <w:top w:val="single" w:sz="7" w:space="0" w:color="auto"/>
              <w:left w:val="single" w:sz="7" w:space="0" w:color="auto"/>
            </w:tcBorders>
          </w:tcPr>
          <w:p>
            <w:pPr>
              <w:pStyle w:val="yTable"/>
              <w:keepNext/>
            </w:pPr>
          </w:p>
        </w:tc>
        <w:tc>
          <w:tcPr>
            <w:tcW w:w="901" w:type="dxa"/>
            <w:tcBorders>
              <w:top w:val="single" w:sz="7" w:space="0" w:color="auto"/>
              <w:left w:val="single" w:sz="7" w:space="0" w:color="auto"/>
            </w:tcBorders>
          </w:tcPr>
          <w:p>
            <w:pPr>
              <w:pStyle w:val="yTable"/>
              <w:keepNext/>
            </w:pPr>
          </w:p>
        </w:tc>
        <w:tc>
          <w:tcPr>
            <w:tcW w:w="901" w:type="dxa"/>
            <w:tcBorders>
              <w:top w:val="single" w:sz="7" w:space="0" w:color="auto"/>
              <w:left w:val="single" w:sz="7" w:space="0" w:color="auto"/>
              <w:right w:val="single" w:sz="7" w:space="0" w:color="auto"/>
            </w:tcBorders>
          </w:tcPr>
          <w:p>
            <w:pPr>
              <w:pStyle w:val="yTable"/>
              <w:keepNext/>
            </w:pPr>
          </w:p>
        </w:tc>
      </w:tr>
      <w:tr>
        <w:tc>
          <w:tcPr>
            <w:tcW w:w="4381"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903" w:type="dxa"/>
            <w:tcBorders>
              <w:top w:val="single" w:sz="7" w:space="0" w:color="auto"/>
              <w:left w:val="single" w:sz="7" w:space="0" w:color="auto"/>
              <w:bottom w:val="single" w:sz="7" w:space="0" w:color="auto"/>
            </w:tcBorders>
          </w:tcPr>
          <w:p>
            <w:pPr>
              <w:pStyle w:val="yTable"/>
              <w:keepNext/>
            </w:pPr>
          </w:p>
        </w:tc>
        <w:tc>
          <w:tcPr>
            <w:tcW w:w="901" w:type="dxa"/>
            <w:tcBorders>
              <w:top w:val="single" w:sz="7" w:space="0" w:color="auto"/>
              <w:left w:val="single" w:sz="7" w:space="0" w:color="auto"/>
              <w:bottom w:val="single" w:sz="7" w:space="0" w:color="auto"/>
            </w:tcBorders>
          </w:tcPr>
          <w:p>
            <w:pPr>
              <w:pStyle w:val="yTable"/>
              <w:keepNext/>
            </w:pPr>
          </w:p>
        </w:tc>
        <w:tc>
          <w:tcPr>
            <w:tcW w:w="90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(g)</w:t>
      </w:r>
      <w:r>
        <w:rPr>
          <w:sz w:val="22"/>
        </w:rPr>
        <w:tab/>
        <w:t>Discharge of water from slop tanks</w:t>
      </w:r>
    </w:p>
    <w:tbl>
      <w:tblPr>
        <w:tblW w:w="0" w:type="auto"/>
        <w:tblInd w:w="120" w:type="dxa"/>
        <w:tblLayout w:type="fixed"/>
        <w:tblCellMar>
          <w:left w:w="120" w:type="dxa"/>
          <w:right w:w="120" w:type="dxa"/>
        </w:tblCellMar>
        <w:tblLook w:val="0000" w:firstRow="0" w:lastRow="0" w:firstColumn="0" w:lastColumn="0" w:noHBand="0" w:noVBand="0"/>
      </w:tblPr>
      <w:tblGrid>
        <w:gridCol w:w="4058"/>
        <w:gridCol w:w="938"/>
        <w:gridCol w:w="936"/>
        <w:gridCol w:w="936"/>
      </w:tblGrid>
      <w:tr>
        <w:tc>
          <w:tcPr>
            <w:tcW w:w="4058" w:type="dxa"/>
            <w:tcBorders>
              <w:top w:val="single" w:sz="7" w:space="0" w:color="auto"/>
              <w:left w:val="single" w:sz="7" w:space="0" w:color="auto"/>
            </w:tcBorders>
          </w:tcPr>
          <w:p>
            <w:pPr>
              <w:pStyle w:val="yTable"/>
              <w:keepNext/>
              <w:ind w:left="448" w:hanging="448"/>
            </w:pPr>
            <w:r>
              <w:t>29.</w:t>
            </w:r>
            <w:r>
              <w:tab/>
              <w:t>Identity of slop tank(s)</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tcBorders>
          </w:tcPr>
          <w:p>
            <w:pPr>
              <w:pStyle w:val="yTable"/>
              <w:ind w:left="448" w:hanging="448"/>
            </w:pPr>
            <w:r>
              <w:t>31.</w:t>
            </w:r>
            <w:r>
              <w:tab/>
              <w:t>Time of settling from last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33.</w:t>
            </w:r>
            <w:r>
              <w:tab/>
              <w:t>Sounding of total contents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35.</w:t>
            </w:r>
            <w:r>
              <w:tab/>
              <w:t>Bulk quantity discharged and rate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36.</w:t>
            </w:r>
            <w:r>
              <w:tab/>
              <w:t>Final quantity discharged and rate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38.</w:t>
            </w:r>
            <w:r>
              <w:tab/>
              <w:t>Ship’s speed(s) during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938" w:type="dxa"/>
            <w:tcBorders>
              <w:top w:val="single" w:sz="7" w:space="0" w:color="auto"/>
              <w:left w:val="single" w:sz="7" w:space="0" w:color="auto"/>
              <w:bottom w:val="single" w:sz="7" w:space="0" w:color="auto"/>
            </w:tcBorders>
          </w:tcPr>
          <w:p>
            <w:pPr>
              <w:pStyle w:val="yTable"/>
              <w:keepNext/>
            </w:pPr>
          </w:p>
        </w:tc>
        <w:tc>
          <w:tcPr>
            <w:tcW w:w="936" w:type="dxa"/>
            <w:tcBorders>
              <w:top w:val="single" w:sz="7" w:space="0" w:color="auto"/>
              <w:left w:val="single" w:sz="7" w:space="0" w:color="auto"/>
              <w:bottom w:val="single" w:sz="7" w:space="0" w:color="auto"/>
            </w:tcBorders>
          </w:tcPr>
          <w:p>
            <w:pPr>
              <w:pStyle w:val="yTable"/>
              <w:keepNext/>
            </w:pPr>
          </w:p>
        </w:tc>
        <w:tc>
          <w:tcPr>
            <w:tcW w:w="9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(h)</w:t>
      </w:r>
      <w:r>
        <w:rPr>
          <w:sz w:val="22"/>
        </w:rPr>
        <w:tab/>
        <w:t>Disposal of residues</w:t>
      </w:r>
    </w:p>
    <w:tbl>
      <w:tblPr>
        <w:tblW w:w="0" w:type="auto"/>
        <w:tblInd w:w="120" w:type="dxa"/>
        <w:tblLayout w:type="fixed"/>
        <w:tblCellMar>
          <w:left w:w="120" w:type="dxa"/>
          <w:right w:w="120" w:type="dxa"/>
        </w:tblCellMar>
        <w:tblLook w:val="0000" w:firstRow="0" w:lastRow="0" w:firstColumn="0" w:lastColumn="0" w:noHBand="0" w:noVBand="0"/>
      </w:tblPr>
      <w:tblGrid>
        <w:gridCol w:w="4831"/>
        <w:gridCol w:w="818"/>
        <w:gridCol w:w="706"/>
        <w:gridCol w:w="730"/>
      </w:tblGrid>
      <w:tr>
        <w:tc>
          <w:tcPr>
            <w:tcW w:w="4831" w:type="dxa"/>
            <w:tcBorders>
              <w:top w:val="single" w:sz="7" w:space="0" w:color="auto"/>
              <w:left w:val="single" w:sz="7" w:space="0" w:color="auto"/>
            </w:tcBorders>
          </w:tcPr>
          <w:p>
            <w:pPr>
              <w:pStyle w:val="yTable"/>
              <w:keepNext/>
              <w:ind w:left="447" w:hanging="447"/>
            </w:pPr>
            <w:r>
              <w:t>43.</w:t>
            </w:r>
            <w:r>
              <w:tab/>
              <w:t>Identity of tanks(s)</w:t>
            </w:r>
          </w:p>
        </w:tc>
        <w:tc>
          <w:tcPr>
            <w:tcW w:w="818" w:type="dxa"/>
            <w:tcBorders>
              <w:top w:val="single" w:sz="7" w:space="0" w:color="auto"/>
              <w:left w:val="single" w:sz="7" w:space="0" w:color="auto"/>
            </w:tcBorders>
          </w:tcPr>
          <w:p>
            <w:pPr>
              <w:pStyle w:val="yTable"/>
              <w:keepNext/>
            </w:pPr>
          </w:p>
        </w:tc>
        <w:tc>
          <w:tcPr>
            <w:tcW w:w="706" w:type="dxa"/>
            <w:tcBorders>
              <w:top w:val="single" w:sz="7" w:space="0" w:color="auto"/>
              <w:left w:val="single" w:sz="7" w:space="0" w:color="auto"/>
            </w:tcBorders>
          </w:tcPr>
          <w:p>
            <w:pPr>
              <w:pStyle w:val="yTable"/>
              <w:keepNext/>
            </w:pPr>
          </w:p>
        </w:tc>
        <w:tc>
          <w:tcPr>
            <w:tcW w:w="730" w:type="dxa"/>
            <w:tcBorders>
              <w:top w:val="single" w:sz="7" w:space="0" w:color="auto"/>
              <w:left w:val="single" w:sz="7" w:space="0" w:color="auto"/>
              <w:right w:val="single" w:sz="7" w:space="0" w:color="auto"/>
            </w:tcBorders>
          </w:tcPr>
          <w:p>
            <w:pPr>
              <w:pStyle w:val="yTable"/>
              <w:keepNext/>
            </w:pPr>
          </w:p>
        </w:tc>
      </w:tr>
      <w:tr>
        <w:tc>
          <w:tcPr>
            <w:tcW w:w="4831" w:type="dxa"/>
            <w:tcBorders>
              <w:top w:val="single" w:sz="7" w:space="0" w:color="auto"/>
              <w:left w:val="single" w:sz="7" w:space="0" w:color="auto"/>
            </w:tcBorders>
          </w:tcPr>
          <w:p>
            <w:pPr>
              <w:pStyle w:val="yTable"/>
              <w:ind w:left="447" w:hanging="447"/>
            </w:pPr>
            <w:r>
              <w:t>44.</w:t>
            </w:r>
            <w:r>
              <w:tab/>
              <w:t>Quantity disposed from each tank</w:t>
            </w:r>
          </w:p>
        </w:tc>
        <w:tc>
          <w:tcPr>
            <w:tcW w:w="818" w:type="dxa"/>
            <w:tcBorders>
              <w:top w:val="single" w:sz="7" w:space="0" w:color="auto"/>
              <w:left w:val="single" w:sz="7" w:space="0" w:color="auto"/>
            </w:tcBorders>
          </w:tcPr>
          <w:p>
            <w:pPr>
              <w:pStyle w:val="yTable"/>
            </w:pPr>
          </w:p>
        </w:tc>
        <w:tc>
          <w:tcPr>
            <w:tcW w:w="706" w:type="dxa"/>
            <w:tcBorders>
              <w:top w:val="single" w:sz="7" w:space="0" w:color="auto"/>
              <w:left w:val="single" w:sz="7" w:space="0" w:color="auto"/>
            </w:tcBorders>
          </w:tcPr>
          <w:p>
            <w:pPr>
              <w:pStyle w:val="yTable"/>
            </w:pPr>
          </w:p>
        </w:tc>
        <w:tc>
          <w:tcPr>
            <w:tcW w:w="730" w:type="dxa"/>
            <w:tcBorders>
              <w:top w:val="single" w:sz="7" w:space="0" w:color="auto"/>
              <w:left w:val="single" w:sz="7" w:space="0" w:color="auto"/>
              <w:right w:val="single" w:sz="7" w:space="0" w:color="auto"/>
            </w:tcBorders>
          </w:tcPr>
          <w:p>
            <w:pPr>
              <w:pStyle w:val="yTable"/>
            </w:pPr>
          </w:p>
        </w:tc>
      </w:tr>
      <w:tr>
        <w:tc>
          <w:tcPr>
            <w:tcW w:w="4831" w:type="dxa"/>
            <w:tcBorders>
              <w:top w:val="single" w:sz="7" w:space="0" w:color="auto"/>
              <w:left w:val="single" w:sz="7" w:space="0" w:color="auto"/>
            </w:tcBorders>
          </w:tcPr>
          <w:p>
            <w:pPr>
              <w:pStyle w:val="yTable"/>
              <w:ind w:left="447" w:hanging="447"/>
            </w:pPr>
            <w:r>
              <w:t>45.</w:t>
            </w:r>
            <w:r>
              <w:tab/>
              <w:t>Method of disposal of residue:</w:t>
            </w:r>
          </w:p>
          <w:p>
            <w:pPr>
              <w:pStyle w:val="yTable"/>
              <w:tabs>
                <w:tab w:val="left" w:pos="447"/>
                <w:tab w:val="left" w:pos="873"/>
              </w:tabs>
              <w:ind w:left="873" w:hanging="873"/>
            </w:pPr>
            <w:r>
              <w:tab/>
              <w:t>(a)</w:t>
            </w:r>
            <w:r>
              <w:tab/>
              <w:t>Reception facilities</w:t>
            </w:r>
          </w:p>
          <w:p>
            <w:pPr>
              <w:pStyle w:val="yTable"/>
              <w:tabs>
                <w:tab w:val="left" w:pos="447"/>
                <w:tab w:val="left" w:pos="873"/>
              </w:tabs>
              <w:ind w:left="873" w:hanging="873"/>
            </w:pPr>
            <w:r>
              <w:tab/>
              <w:t>(b)</w:t>
            </w:r>
            <w:r>
              <w:tab/>
              <w:t>Mixed with cargo</w:t>
            </w:r>
          </w:p>
          <w:p>
            <w:pPr>
              <w:pStyle w:val="yTable"/>
              <w:tabs>
                <w:tab w:val="left" w:pos="447"/>
                <w:tab w:val="left" w:pos="873"/>
              </w:tabs>
              <w:ind w:left="873" w:hanging="873"/>
            </w:pPr>
            <w:r>
              <w:tab/>
              <w:t>(c)</w:t>
            </w:r>
            <w:r>
              <w:tab/>
              <w:t>Transferred to another (other) tank(s) (identify tank(s))</w:t>
            </w:r>
          </w:p>
          <w:p>
            <w:pPr>
              <w:pStyle w:val="yTable"/>
              <w:tabs>
                <w:tab w:val="left" w:pos="447"/>
                <w:tab w:val="left" w:pos="873"/>
              </w:tabs>
              <w:ind w:left="873" w:hanging="873"/>
            </w:pPr>
            <w:r>
              <w:tab/>
              <w:t>(d)</w:t>
            </w:r>
            <w:r>
              <w:tab/>
              <w:t>Other method (state which)</w:t>
            </w:r>
          </w:p>
        </w:tc>
        <w:tc>
          <w:tcPr>
            <w:tcW w:w="818" w:type="dxa"/>
            <w:tcBorders>
              <w:top w:val="single" w:sz="7" w:space="0" w:color="auto"/>
              <w:left w:val="single" w:sz="7" w:space="0" w:color="auto"/>
            </w:tcBorders>
          </w:tcPr>
          <w:p>
            <w:pPr>
              <w:pStyle w:val="yTable"/>
            </w:pPr>
          </w:p>
        </w:tc>
        <w:tc>
          <w:tcPr>
            <w:tcW w:w="706" w:type="dxa"/>
            <w:tcBorders>
              <w:top w:val="single" w:sz="7" w:space="0" w:color="auto"/>
              <w:left w:val="single" w:sz="7" w:space="0" w:color="auto"/>
            </w:tcBorders>
          </w:tcPr>
          <w:p>
            <w:pPr>
              <w:pStyle w:val="yTable"/>
            </w:pPr>
          </w:p>
        </w:tc>
        <w:tc>
          <w:tcPr>
            <w:tcW w:w="730" w:type="dxa"/>
            <w:tcBorders>
              <w:top w:val="single" w:sz="7" w:space="0" w:color="auto"/>
              <w:left w:val="single" w:sz="7" w:space="0" w:color="auto"/>
              <w:right w:val="single" w:sz="7" w:space="0" w:color="auto"/>
            </w:tcBorders>
          </w:tcPr>
          <w:p>
            <w:pPr>
              <w:pStyle w:val="yTable"/>
            </w:pPr>
          </w:p>
        </w:tc>
      </w:tr>
      <w:tr>
        <w:tc>
          <w:tcPr>
            <w:tcW w:w="4831"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18" w:type="dxa"/>
            <w:tcBorders>
              <w:top w:val="single" w:sz="7" w:space="0" w:color="auto"/>
              <w:left w:val="single" w:sz="7" w:space="0" w:color="auto"/>
              <w:bottom w:val="single" w:sz="7" w:space="0" w:color="auto"/>
            </w:tcBorders>
          </w:tcPr>
          <w:p>
            <w:pPr>
              <w:pStyle w:val="yTable"/>
            </w:pPr>
          </w:p>
        </w:tc>
        <w:tc>
          <w:tcPr>
            <w:tcW w:w="706" w:type="dxa"/>
            <w:tcBorders>
              <w:top w:val="single" w:sz="7" w:space="0" w:color="auto"/>
              <w:left w:val="single" w:sz="7" w:space="0" w:color="auto"/>
              <w:bottom w:val="single" w:sz="7" w:space="0" w:color="auto"/>
            </w:tcBorders>
          </w:tcPr>
          <w:p>
            <w:pPr>
              <w:pStyle w:val="yTable"/>
            </w:pPr>
          </w:p>
        </w:tc>
        <w:tc>
          <w:tcPr>
            <w:tcW w:w="73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120" w:type="dxa"/>
        <w:tblLayout w:type="fixed"/>
        <w:tblCellMar>
          <w:left w:w="120" w:type="dxa"/>
          <w:right w:w="120" w:type="dxa"/>
        </w:tblCellMar>
        <w:tblLook w:val="0000" w:firstRow="0" w:lastRow="0" w:firstColumn="0" w:lastColumn="0" w:noHBand="0" w:noVBand="0"/>
      </w:tblPr>
      <w:tblGrid>
        <w:gridCol w:w="4442"/>
        <w:gridCol w:w="951"/>
        <w:gridCol w:w="792"/>
        <w:gridCol w:w="901"/>
      </w:tblGrid>
      <w:tr>
        <w:tc>
          <w:tcPr>
            <w:tcW w:w="4442"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48.</w:t>
            </w:r>
            <w:r>
              <w:tab/>
              <w:t>Identity of tank(s) discharged</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49.</w:t>
            </w:r>
            <w:r>
              <w:tab/>
              <w:t>Was (were) the tank(s) empty on completion?</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951" w:type="dxa"/>
            <w:tcBorders>
              <w:top w:val="single" w:sz="7" w:space="0" w:color="auto"/>
              <w:left w:val="single" w:sz="7" w:space="0" w:color="auto"/>
              <w:bottom w:val="single" w:sz="7" w:space="0" w:color="auto"/>
            </w:tcBorders>
          </w:tcPr>
          <w:p>
            <w:pPr>
              <w:pStyle w:val="yTable"/>
            </w:pPr>
          </w:p>
        </w:tc>
        <w:tc>
          <w:tcPr>
            <w:tcW w:w="792"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t>(j)</w:t>
      </w:r>
      <w:r>
        <w:rPr>
          <w:sz w:val="22"/>
        </w:rPr>
        <w:tab/>
        <w:t>Discharge overboard of bilge water containing oil which has accumulated in machinery spaces whilst in port</w:t>
      </w:r>
      <w:r>
        <w:rPr>
          <w:sz w:val="22"/>
          <w:vertAlign w:val="superscript"/>
        </w:rPr>
        <w:t>4</w:t>
      </w:r>
    </w:p>
    <w:tbl>
      <w:tblPr>
        <w:tblW w:w="0" w:type="auto"/>
        <w:tblInd w:w="120" w:type="dxa"/>
        <w:tblLayout w:type="fixed"/>
        <w:tblCellMar>
          <w:left w:w="120" w:type="dxa"/>
          <w:right w:w="120" w:type="dxa"/>
        </w:tblCellMar>
        <w:tblLook w:val="0000" w:firstRow="0" w:lastRow="0" w:firstColumn="0" w:lastColumn="0" w:noHBand="0" w:noVBand="0"/>
      </w:tblPr>
      <w:tblGrid>
        <w:gridCol w:w="4495"/>
        <w:gridCol w:w="829"/>
        <w:gridCol w:w="826"/>
        <w:gridCol w:w="936"/>
      </w:tblGrid>
      <w:tr>
        <w:tc>
          <w:tcPr>
            <w:tcW w:w="4495" w:type="dxa"/>
            <w:tcBorders>
              <w:top w:val="single" w:sz="7" w:space="0" w:color="auto"/>
              <w:left w:val="single" w:sz="7" w:space="0" w:color="auto"/>
            </w:tcBorders>
          </w:tcPr>
          <w:p>
            <w:pPr>
              <w:pStyle w:val="yTable"/>
              <w:ind w:left="447" w:hanging="447"/>
            </w:pPr>
            <w:r>
              <w:t>54.</w:t>
            </w:r>
            <w:r>
              <w:tab/>
              <w:t>Port</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55.</w:t>
            </w:r>
            <w:r>
              <w:tab/>
              <w:t>Duration of stay</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56.</w:t>
            </w:r>
            <w:r>
              <w:tab/>
              <w:t>Quantity disposed</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57.</w:t>
            </w:r>
            <w:r>
              <w:tab/>
              <w:t>Date and place of disposal</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29" w:type="dxa"/>
            <w:tcBorders>
              <w:top w:val="single" w:sz="7" w:space="0" w:color="auto"/>
              <w:left w:val="single" w:sz="7" w:space="0" w:color="auto"/>
              <w:bottom w:val="single" w:sz="7" w:space="0" w:color="auto"/>
            </w:tcBorders>
          </w:tcPr>
          <w:p>
            <w:pPr>
              <w:pStyle w:val="yTable"/>
            </w:pPr>
          </w:p>
        </w:tc>
        <w:tc>
          <w:tcPr>
            <w:tcW w:w="826" w:type="dxa"/>
            <w:tcBorders>
              <w:top w:val="single" w:sz="7" w:space="0" w:color="auto"/>
              <w:left w:val="single" w:sz="7" w:space="0" w:color="auto"/>
              <w:bottom w:val="single" w:sz="7" w:space="0" w:color="auto"/>
            </w:tcBorders>
          </w:tcPr>
          <w:p>
            <w:pPr>
              <w:pStyle w:val="yTable"/>
            </w:pPr>
          </w:p>
        </w:tc>
        <w:tc>
          <w:tcPr>
            <w:tcW w:w="9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8" w:hanging="448"/>
            </w:pPr>
            <w:r>
              <w:t>59.</w:t>
            </w:r>
            <w:r>
              <w:tab/>
              <w:t>Date and time of occurrence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8" w:hanging="448"/>
            </w:pPr>
            <w:r>
              <w:t>60.</w:t>
            </w:r>
            <w:r>
              <w:tab/>
              <w:t>Place or position of ship at time of occurrence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8" w:hanging="448"/>
            </w:pPr>
            <w:r>
              <w:t>61.</w:t>
            </w:r>
            <w:r>
              <w:tab/>
              <w:t>Approximate quantity and type of oil</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903"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keepNext/>
        <w:keepLines/>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 w:val="right" w:leader="dot" w:pos="7088"/>
        </w:tabs>
        <w:rPr>
          <w:sz w:val="22"/>
        </w:rPr>
      </w:pPr>
      <w:r>
        <w:rPr>
          <w:sz w:val="22"/>
        </w:rPr>
        <w:t>(l)</w:t>
      </w:r>
      <w:r>
        <w:rPr>
          <w:sz w:val="22"/>
        </w:rPr>
        <w:tab/>
        <w:t>Has the oil monitoring and control system been out of operation at any time when discharging overboard?  If so, give time and date of failure and time and date of restoration and confirm that this was due to equipment failure and state reason if known .............................................................................................</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rPr>
          <w:sz w:val="22"/>
        </w:rPr>
      </w:pPr>
      <w:r>
        <w:rPr>
          <w:sz w:val="22"/>
        </w:rPr>
        <w:t>(m)</w:t>
      </w:r>
      <w:r>
        <w:rPr>
          <w:sz w:val="22"/>
        </w:rPr>
        <w:tab/>
        <w:t>Additional operational procedures and general remarks</w:t>
      </w:r>
    </w:p>
    <w:p>
      <w:pPr>
        <w:pStyle w:val="MiscellaneousBody"/>
        <w:keepNext/>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120" w:type="dxa"/>
        <w:tblLayout w:type="fixed"/>
        <w:tblCellMar>
          <w:left w:w="120" w:type="dxa"/>
          <w:right w:w="120" w:type="dxa"/>
        </w:tblCellMar>
        <w:tblLook w:val="0000" w:firstRow="0" w:lastRow="0" w:firstColumn="0" w:lastColumn="0" w:noHBand="0" w:noVBand="0"/>
      </w:tblPr>
      <w:tblGrid>
        <w:gridCol w:w="4495"/>
        <w:gridCol w:w="892"/>
        <w:gridCol w:w="850"/>
        <w:gridCol w:w="849"/>
      </w:tblGrid>
      <w:tr>
        <w:tc>
          <w:tcPr>
            <w:tcW w:w="4495" w:type="dxa"/>
            <w:tcBorders>
              <w:top w:val="single" w:sz="7" w:space="0" w:color="auto"/>
              <w:left w:val="single" w:sz="7" w:space="0" w:color="auto"/>
            </w:tcBorders>
          </w:tcPr>
          <w:p>
            <w:pPr>
              <w:pStyle w:val="yTable"/>
              <w:keepNext/>
              <w:ind w:left="447" w:hanging="447"/>
            </w:pPr>
            <w:r>
              <w:t>1.</w:t>
            </w:r>
            <w:r>
              <w:tab/>
              <w:t>Identity of tank(s) ballasted</w:t>
            </w:r>
          </w:p>
        </w:tc>
        <w:tc>
          <w:tcPr>
            <w:tcW w:w="892"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9" w:type="dxa"/>
            <w:tcBorders>
              <w:top w:val="single" w:sz="7" w:space="0" w:color="auto"/>
              <w:left w:val="single" w:sz="7" w:space="0" w:color="auto"/>
              <w:right w:val="single" w:sz="7" w:space="0" w:color="auto"/>
            </w:tcBorders>
          </w:tcPr>
          <w:p>
            <w:pPr>
              <w:pStyle w:val="yTable"/>
              <w:keepNext/>
            </w:pPr>
          </w:p>
        </w:tc>
      </w:tr>
      <w:tr>
        <w:tc>
          <w:tcPr>
            <w:tcW w:w="4495"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9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9"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3.</w:t>
            </w:r>
            <w:r>
              <w:tab/>
              <w:t>Date and position of ship at start of cleaning</w:t>
            </w:r>
          </w:p>
        </w:tc>
        <w:tc>
          <w:tcPr>
            <w:tcW w:w="89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9"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92"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6" w:hanging="426"/>
        <w:rPr>
          <w:sz w:val="22"/>
        </w:rPr>
      </w:pPr>
      <w:r>
        <w:rPr>
          <w:sz w:val="22"/>
        </w:rPr>
        <w:t>(b)</w:t>
      </w:r>
      <w:r>
        <w:rPr>
          <w:sz w:val="22"/>
        </w:rPr>
        <w:tab/>
        <w:t>Discharge of dirty ballast or cleaning water from tanks referred to under section (a)</w:t>
      </w:r>
    </w:p>
    <w:tbl>
      <w:tblPr>
        <w:tblW w:w="0" w:type="auto"/>
        <w:tblInd w:w="120" w:type="dxa"/>
        <w:tblLayout w:type="fixed"/>
        <w:tblCellMar>
          <w:left w:w="120" w:type="dxa"/>
          <w:right w:w="120" w:type="dxa"/>
        </w:tblCellMar>
        <w:tblLook w:val="0000" w:firstRow="0" w:lastRow="0" w:firstColumn="0" w:lastColumn="0" w:noHBand="0" w:noVBand="0"/>
      </w:tblPr>
      <w:tblGrid>
        <w:gridCol w:w="4525"/>
        <w:gridCol w:w="862"/>
        <w:gridCol w:w="850"/>
        <w:gridCol w:w="851"/>
      </w:tblGrid>
      <w:tr>
        <w:tc>
          <w:tcPr>
            <w:tcW w:w="4525" w:type="dxa"/>
            <w:tcBorders>
              <w:top w:val="single" w:sz="7" w:space="0" w:color="auto"/>
              <w:left w:val="single" w:sz="7" w:space="0" w:color="auto"/>
            </w:tcBorders>
          </w:tcPr>
          <w:p>
            <w:pPr>
              <w:pStyle w:val="yTable"/>
              <w:ind w:left="447" w:hanging="447"/>
            </w:pPr>
            <w:r>
              <w:t>5.</w:t>
            </w:r>
            <w:r>
              <w:tab/>
              <w:t>Identity of tank(s)</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6.</w:t>
            </w:r>
            <w:r>
              <w:tab/>
              <w:t>Date and position of ship at start of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7.</w:t>
            </w:r>
            <w:r>
              <w:tab/>
              <w:t>Date and position of ship at finish of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8.</w:t>
            </w:r>
            <w:r>
              <w:tab/>
              <w:t>Ship’s speed(s) during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62"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5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(c)</w:t>
      </w:r>
      <w:r>
        <w:rPr>
          <w:sz w:val="22"/>
        </w:rPr>
        <w:tab/>
        <w:t>Disposal of residues</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ind w:left="447" w:hanging="447"/>
            </w:pPr>
            <w:r>
              <w:t>11.</w:t>
            </w:r>
            <w:r>
              <w:tab/>
              <w:t>Quantity of residue retained on board</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ind w:left="447" w:hanging="447"/>
            </w:pPr>
            <w:r>
              <w:t>14.</w:t>
            </w:r>
            <w:r>
              <w:tab/>
              <w:t>Port</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15.</w:t>
            </w:r>
            <w:r>
              <w:tab/>
              <w:t>Duration of stay</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16.</w:t>
            </w:r>
            <w:r>
              <w:tab/>
              <w:t>Quantity discharged</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17.</w:t>
            </w:r>
            <w:r>
              <w:tab/>
              <w:t>Date and place of discharge</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keepNext/>
              <w:ind w:left="447" w:hanging="447"/>
            </w:pPr>
            <w:r>
              <w:t>19.</w:t>
            </w:r>
            <w:r>
              <w:tab/>
              <w:t>Date and time of occurrence</w:t>
            </w:r>
          </w:p>
        </w:tc>
        <w:tc>
          <w:tcPr>
            <w:tcW w:w="851"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8" w:type="dxa"/>
            <w:tcBorders>
              <w:top w:val="single" w:sz="7" w:space="0" w:color="auto"/>
              <w:left w:val="single" w:sz="7" w:space="0" w:color="auto"/>
              <w:right w:val="single" w:sz="7" w:space="0" w:color="auto"/>
            </w:tcBorders>
          </w:tcPr>
          <w:p>
            <w:pPr>
              <w:pStyle w:val="yTable"/>
              <w:keepNext/>
            </w:pPr>
          </w:p>
        </w:tc>
      </w:tr>
      <w:tr>
        <w:tc>
          <w:tcPr>
            <w:tcW w:w="4536"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51"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8" w:type="dxa"/>
            <w:tcBorders>
              <w:top w:val="single" w:sz="7" w:space="0" w:color="auto"/>
              <w:left w:val="single" w:sz="7" w:space="0" w:color="auto"/>
              <w:right w:val="single" w:sz="7" w:space="0" w:color="auto"/>
            </w:tcBorders>
          </w:tcPr>
          <w:p>
            <w:pPr>
              <w:pStyle w:val="yTable"/>
              <w:keepNext/>
            </w:pPr>
          </w:p>
        </w:tc>
      </w:tr>
      <w:tr>
        <w:tc>
          <w:tcPr>
            <w:tcW w:w="4536" w:type="dxa"/>
            <w:tcBorders>
              <w:top w:val="single" w:sz="7" w:space="0" w:color="auto"/>
              <w:left w:val="single" w:sz="7" w:space="0" w:color="auto"/>
            </w:tcBorders>
          </w:tcPr>
          <w:p>
            <w:pPr>
              <w:pStyle w:val="yTable"/>
              <w:ind w:left="447" w:hanging="447"/>
            </w:pPr>
            <w:r>
              <w:t>21.</w:t>
            </w:r>
            <w:r>
              <w:tab/>
              <w:t>Approximate quantity and type of oil</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sz w:val="22"/>
        </w:rPr>
      </w:pPr>
      <w:r>
        <w:rPr>
          <w:sz w:val="22"/>
        </w:rPr>
        <w:t>(g)  New ships of 4,000 tons gross tonnage and above: has dirty ballast been carried in oil fuel tanks?</w:t>
      </w:r>
    </w:p>
    <w:p>
      <w:pPr>
        <w:pStyle w:val="MiscellaneousBody"/>
        <w:tabs>
          <w:tab w:val="right" w:leader="dot" w:pos="7088"/>
        </w:tabs>
        <w:ind w:left="3969"/>
        <w:rPr>
          <w:sz w:val="22"/>
        </w:rPr>
      </w:pPr>
      <w:r>
        <w:rPr>
          <w:sz w:val="22"/>
        </w:rPr>
        <w:t xml:space="preserve">Yes/No ........................................... </w:t>
      </w:r>
    </w:p>
    <w:p>
      <w:pPr>
        <w:pStyle w:val="MiscellaneousBody"/>
        <w:tabs>
          <w:tab w:val="right" w:leader="dot" w:pos="7088"/>
        </w:tabs>
        <w:rPr>
          <w:sz w:val="22"/>
        </w:rPr>
      </w:pPr>
      <w:r>
        <w:rPr>
          <w:sz w:val="22"/>
        </w:rPr>
        <w:t>If so, state which tanks were so ballasted and method of discharge of the dirty ballast .....................................................................................................................</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keepLines/>
        <w:tabs>
          <w:tab w:val="right" w:leader="dot" w:pos="7088"/>
        </w:tabs>
        <w:rPr>
          <w:sz w:val="22"/>
        </w:rPr>
      </w:pPr>
      <w:r>
        <w:rPr>
          <w:sz w:val="22"/>
        </w:rPr>
        <w:t xml:space="preserve">(h)  Additional operational procedures and general remarks ................................. </w:t>
      </w:r>
    </w:p>
    <w:p>
      <w:pPr>
        <w:pStyle w:val="MiscellaneousBody"/>
        <w:keepNext/>
        <w:keepLines/>
        <w:tabs>
          <w:tab w:val="right" w:leader="dot" w:pos="7088"/>
        </w:tabs>
        <w:rPr>
          <w:sz w:val="22"/>
        </w:rPr>
      </w:pPr>
      <w:r>
        <w:rPr>
          <w:sz w:val="22"/>
        </w:rPr>
        <w:t>................................................................................................................................</w:t>
      </w:r>
    </w:p>
    <w:p>
      <w:pPr>
        <w:pStyle w:val="MiscellaneousBody"/>
        <w:keepNext/>
        <w:keepLines/>
        <w:tabs>
          <w:tab w:val="right" w:leader="dot" w:pos="7088"/>
        </w:tabs>
        <w:rPr>
          <w:sz w:val="22"/>
        </w:rPr>
      </w:pPr>
      <w:r>
        <w:rPr>
          <w:sz w:val="22"/>
        </w:rPr>
        <w:t>................................................................................................................................</w:t>
      </w:r>
    </w:p>
    <w:p>
      <w:pPr>
        <w:pStyle w:val="MiscellaneousBody"/>
        <w:keepNext/>
        <w:keepLines/>
        <w:tabs>
          <w:tab w:val="right" w:leader="dot" w:pos="7088"/>
        </w:tabs>
        <w:rPr>
          <w:sz w:val="22"/>
        </w:rPr>
      </w:pPr>
      <w:r>
        <w:rPr>
          <w:sz w:val="22"/>
        </w:rPr>
        <w:t>................................................................................................................................</w:t>
      </w:r>
    </w:p>
    <w:p>
      <w:pPr>
        <w:pStyle w:val="MiscellaneousBody"/>
        <w:keepNext/>
        <w:keepLines/>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3" w:right="283"/>
        <w:jc w:val="both"/>
        <w:rPr>
          <w:spacing w:val="-2"/>
        </w:rPr>
      </w:pPr>
    </w:p>
    <w:p>
      <w:pPr>
        <w:pStyle w:val="MiscellaneousBody"/>
        <w:rPr>
          <w:sz w:val="22"/>
        </w:rPr>
      </w:pPr>
      <w:r>
        <w:rPr>
          <w:sz w:val="22"/>
        </w:rPr>
        <w:t>_______________</w:t>
      </w:r>
    </w:p>
    <w:p>
      <w:pPr>
        <w:pStyle w:val="MiscellaneousBody"/>
        <w:spacing w:before="0"/>
        <w:ind w:left="567" w:hanging="567"/>
        <w:rPr>
          <w:sz w:val="20"/>
        </w:rPr>
      </w:pPr>
      <w:r>
        <w:rPr>
          <w:sz w:val="20"/>
          <w:vertAlign w:val="superscript"/>
        </w:rPr>
        <w:t>5</w:t>
      </w:r>
      <w:r>
        <w:rPr>
          <w:sz w:val="20"/>
        </w:rPr>
        <w:tab/>
        <w:t>Where the pump starts automatically and discharges through a separator at all times it will be sufficient to enter each day “Automatic discharge from bilges through a separator”.</w:t>
      </w:r>
    </w:p>
    <w:p>
      <w:pPr>
        <w:pStyle w:val="MiscellaneousHeading"/>
        <w:pageBreakBefore/>
        <w:spacing w:before="0"/>
        <w:rPr>
          <w:b/>
          <w:sz w:val="22"/>
        </w:rPr>
      </w:pPr>
      <w:r>
        <w:rPr>
          <w:b/>
          <w:sz w:val="22"/>
        </w:rPr>
        <w:t>Annex II</w:t>
      </w:r>
    </w:p>
    <w:p>
      <w:pPr>
        <w:pStyle w:val="MiscellaneousHeading"/>
        <w:rPr>
          <w:b/>
          <w:sz w:val="22"/>
        </w:rPr>
      </w:pPr>
      <w:r>
        <w:rPr>
          <w:b/>
          <w:sz w:val="22"/>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 “Chemical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 “Clean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 “Segregated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 “Nearest land” is as defined in Regulation 1(9) of Annex I of the present Convention.</w:t>
      </w:r>
    </w:p>
    <w:p>
      <w:pPr>
        <w:pStyle w:val="MiscellaneousBody"/>
        <w:rPr>
          <w:sz w:val="22"/>
        </w:rPr>
      </w:pPr>
      <w:r>
        <w:rPr>
          <w:sz w:val="22"/>
        </w:rPr>
        <w:t>(5) “Liquid substances” are those having a vapour pressure not exceeding 2.8 kp/cm</w:t>
      </w:r>
      <w:r>
        <w:rPr>
          <w:sz w:val="22"/>
          <w:vertAlign w:val="superscript"/>
        </w:rPr>
        <w:t>2</w:t>
      </w:r>
      <w:r>
        <w:rPr>
          <w:sz w:val="22"/>
        </w:rPr>
        <w:t xml:space="preserve"> at a temperature of 37.8</w:t>
      </w:r>
      <w:r>
        <w:rPr>
          <w:sz w:val="22"/>
          <w:vertAlign w:val="superscript"/>
        </w:rPr>
        <w:t>o</w:t>
      </w:r>
      <w:r>
        <w:rPr>
          <w:sz w:val="22"/>
        </w:rPr>
        <w:t>C.</w:t>
      </w:r>
    </w:p>
    <w:p>
      <w:pPr>
        <w:pStyle w:val="MiscellaneousBody"/>
        <w:rPr>
          <w:sz w:val="22"/>
        </w:rPr>
      </w:pPr>
      <w:r>
        <w:rPr>
          <w:sz w:val="22"/>
        </w:rPr>
        <w:t>(6) “Noxious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 “Special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rPr>
          <w:sz w:val="22"/>
        </w:rPr>
      </w:pPr>
      <w:r>
        <w:rPr>
          <w:sz w:val="22"/>
        </w:rPr>
        <w:t>Special areas shall be:</w:t>
      </w:r>
    </w:p>
    <w:p>
      <w:pPr>
        <w:pStyle w:val="ySubsection"/>
      </w:pPr>
      <w:r>
        <w:tab/>
        <w:t>(a)</w:t>
      </w:r>
      <w:r>
        <w:tab/>
        <w:t>The Baltic Sea Area, and</w:t>
      </w:r>
    </w:p>
    <w:p>
      <w:pPr>
        <w:pStyle w:val="ySubsection"/>
      </w:pPr>
      <w:r>
        <w:tab/>
        <w:t>(b)</w:t>
      </w:r>
      <w:r>
        <w:tab/>
        <w:t>The Black Sea Area.</w:t>
      </w:r>
    </w:p>
    <w:p>
      <w:pPr>
        <w:pStyle w:val="MiscellaneousBody"/>
        <w:rPr>
          <w:sz w:val="22"/>
        </w:rPr>
      </w:pPr>
      <w:r>
        <w:rPr>
          <w:sz w:val="22"/>
        </w:rPr>
        <w:t>(8) “Baltic Sea Area” is as defined in Regulation 10(1)(b) of Annex I of the present Convention.</w:t>
      </w:r>
    </w:p>
    <w:p>
      <w:pPr>
        <w:pStyle w:val="MiscellaneousBody"/>
        <w:rPr>
          <w:sz w:val="22"/>
        </w:rPr>
      </w:pPr>
      <w:r>
        <w:rPr>
          <w:sz w:val="22"/>
        </w:rPr>
        <w:t>(9) “Black Sea Area” is as defined in Regulation 10(1)(c) of Annex I of the present Convention.</w:t>
      </w:r>
    </w:p>
    <w:p>
      <w:pPr>
        <w:pStyle w:val="MiscellaneousHeading"/>
        <w:rPr>
          <w:sz w:val="22"/>
        </w:rPr>
      </w:pPr>
      <w:r>
        <w:rPr>
          <w:sz w:val="22"/>
        </w:rPr>
        <w:t>Regulation 2</w:t>
      </w:r>
    </w:p>
    <w:p>
      <w:pPr>
        <w:pStyle w:val="MiscellaneousHeading"/>
        <w:rPr>
          <w:sz w:val="22"/>
        </w:rPr>
      </w:pPr>
      <w:r>
        <w:rPr>
          <w:i/>
          <w:sz w:val="22"/>
        </w:rPr>
        <w:t>Application</w:t>
      </w:r>
    </w:p>
    <w:p>
      <w:pPr>
        <w:pStyle w:val="MiscellaneousBody"/>
        <w:rPr>
          <w:sz w:val="22"/>
        </w:rPr>
      </w:pPr>
      <w:r>
        <w:rPr>
          <w:sz w:val="22"/>
        </w:rPr>
        <w:t>(1) Unless expressly provided otherwise the provisions of this Annex shall apply to all ships carrying noxious liquid substances in bulk.</w:t>
      </w:r>
    </w:p>
    <w:p>
      <w:pPr>
        <w:pStyle w:val="MiscellaneousBody"/>
        <w:rPr>
          <w:sz w:val="22"/>
        </w:rPr>
      </w:pPr>
      <w:r>
        <w:rPr>
          <w:sz w:val="22"/>
        </w:rPr>
        <w:t>(2) 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 Regulation 13 of this Annex shall apply only to ships carrying substances which are categorized for discharge control purposes in Category A, B or C.</w:t>
      </w:r>
    </w:p>
    <w:p>
      <w:pPr>
        <w:pStyle w:val="MiscellaneousHeading"/>
        <w:keepLines/>
        <w:rPr>
          <w:sz w:val="22"/>
        </w:rPr>
      </w:pPr>
      <w:r>
        <w:rPr>
          <w:sz w:val="22"/>
        </w:rPr>
        <w:t>Regulation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 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rPr>
          <w:sz w:val="22"/>
        </w:rPr>
        <w:t>(2) Guidelines for use in the categorization of noxious liquid substances are given in Appendix I to this Annex.</w:t>
      </w:r>
    </w:p>
    <w:p>
      <w:pPr>
        <w:pStyle w:val="MiscellaneousBody"/>
        <w:rPr>
          <w:sz w:val="22"/>
        </w:rPr>
      </w:pPr>
      <w:r>
        <w:rPr>
          <w:sz w:val="22"/>
        </w:rPr>
        <w:t>(3) The list of noxious liquid substances carried in bulk and presently categorized which are subject to the provisions of this Annex is set out in Appendix II to this Annex.</w:t>
      </w:r>
    </w:p>
    <w:p>
      <w:pPr>
        <w:pStyle w:val="MiscellaneousBody"/>
        <w:rPr>
          <w:sz w:val="22"/>
        </w:rPr>
      </w:pPr>
      <w:r>
        <w:rPr>
          <w:sz w:val="22"/>
        </w:rPr>
        <w:t>(4) 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rPr>
          <w:sz w:val="22"/>
        </w:rPr>
      </w:pPr>
      <w:r>
        <w:rPr>
          <w:sz w:val="22"/>
        </w:rPr>
        <w:t>Regulation 4</w:t>
      </w:r>
    </w:p>
    <w:p>
      <w:pPr>
        <w:pStyle w:val="MiscellaneousHeading"/>
        <w:rPr>
          <w:sz w:val="22"/>
        </w:rPr>
      </w:pPr>
      <w:r>
        <w:rPr>
          <w:i/>
          <w:sz w:val="22"/>
        </w:rPr>
        <w:t>Other Liquid Substances</w:t>
      </w:r>
    </w:p>
    <w:p>
      <w:pPr>
        <w:pStyle w:val="MiscellaneousBody"/>
        <w:rPr>
          <w:sz w:val="22"/>
        </w:rPr>
      </w:pPr>
      <w:r>
        <w:rPr>
          <w:sz w:val="22"/>
        </w:rPr>
        <w:t>(1) The substances listed in Appendix III to this Annex have been evaluated and found to fall outside the Categories A, B, C and D, as defined in Regulation 3(1) of this Annex because they are presently considered to present no harm to human health, marine resources, amenities or other legitimate uses of the sea, when discharged into the sea from tank cleaning or deballasting operations.</w:t>
      </w:r>
    </w:p>
    <w:p>
      <w:pPr>
        <w:pStyle w:val="MiscellaneousBody"/>
        <w:rPr>
          <w:sz w:val="22"/>
        </w:rPr>
      </w:pPr>
      <w:r>
        <w:rPr>
          <w:sz w:val="22"/>
        </w:rPr>
        <w:t>(2) 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 The discharge into the sea of clean ballast or segregated ballast shall not be subject to any requirement of this Annex.</w:t>
      </w:r>
    </w:p>
    <w:p>
      <w:pPr>
        <w:pStyle w:val="MiscellaneousHeading"/>
        <w:rPr>
          <w:sz w:val="22"/>
        </w:rPr>
      </w:pPr>
      <w:r>
        <w:rPr>
          <w:sz w:val="22"/>
        </w:rPr>
        <w:t>Regulation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rPr>
          <w:sz w:val="22"/>
        </w:rPr>
        <w:t>(2) 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(3) 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(4) 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rPr>
          <w:sz w:val="22"/>
        </w:rPr>
        <w:t>(5) 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t>(6)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rPr>
          <w:sz w:val="22"/>
        </w:rPr>
        <w:t>(8) 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tank has been washed after unloading with a volume of water of not less than 0.5 per cent of the total volume of the tank, and the 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rPr>
          <w:sz w:val="22"/>
        </w:rPr>
        <w:t>(9) 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(10) 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 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rPr>
          <w:sz w:val="22"/>
        </w:rPr>
      </w:pPr>
      <w:r>
        <w:rPr>
          <w:sz w:val="22"/>
        </w:rPr>
        <w:t>Regulation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rPr>
          <w:sz w:val="22"/>
        </w:rPr>
      </w:pPr>
      <w:r>
        <w:rPr>
          <w:sz w:val="22"/>
        </w:rPr>
        <w:t>Regulation 7</w:t>
      </w:r>
    </w:p>
    <w:p>
      <w:pPr>
        <w:pStyle w:val="MiscellaneousHeading"/>
        <w:rPr>
          <w:sz w:val="22"/>
        </w:rPr>
      </w:pPr>
      <w:r>
        <w:rPr>
          <w:i/>
          <w:sz w:val="22"/>
        </w:rPr>
        <w:t>Reception Facilities</w:t>
      </w:r>
    </w:p>
    <w:p>
      <w:pPr>
        <w:pStyle w:val="MiscellaneousBody"/>
        <w:rPr>
          <w:sz w:val="22"/>
        </w:rPr>
      </w:pPr>
      <w:r>
        <w:rPr>
          <w:sz w:val="22"/>
        </w:rPr>
        <w:t>(1) 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tab/>
        <w:t>(b)</w:t>
      </w:r>
      <w:r>
        <w:tab/>
        <w:t>ship repair ports undertaking repairs to chemical tankers shall have facilities adequate for the reception of residues and mixtures containing noxious liquid substances.</w:t>
      </w:r>
    </w:p>
    <w:p>
      <w:pPr>
        <w:pStyle w:val="MiscellaneousBody"/>
        <w:rPr>
          <w:sz w:val="22"/>
        </w:rPr>
      </w:pPr>
      <w:r>
        <w:rPr>
          <w:sz w:val="22"/>
        </w:rPr>
        <w:t>(2) 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 Each Party shall notify the Organization, for transmission to the Parties concerned, of any case where facilities required under paragraph (1) of this regulation are alleged to be inadequate.</w:t>
      </w:r>
    </w:p>
    <w:p>
      <w:pPr>
        <w:pStyle w:val="MiscellaneousHeading"/>
        <w:rPr>
          <w:sz w:val="22"/>
        </w:rPr>
      </w:pPr>
      <w:r>
        <w:rPr>
          <w:sz w:val="22"/>
        </w:rPr>
        <w:t>Regulation 8</w:t>
      </w:r>
    </w:p>
    <w:p>
      <w:pPr>
        <w:pStyle w:val="MiscellaneousHeading"/>
        <w:rPr>
          <w:sz w:val="22"/>
        </w:rPr>
      </w:pPr>
      <w:r>
        <w:rPr>
          <w:i/>
          <w:sz w:val="22"/>
        </w:rPr>
        <w:t>Measures of Control</w:t>
      </w:r>
    </w:p>
    <w:p>
      <w:pPr>
        <w:pStyle w:val="MiscellaneousBody"/>
        <w:rPr>
          <w:sz w:val="22"/>
        </w:rPr>
      </w:pPr>
      <w:r>
        <w:rPr>
          <w:sz w:val="22"/>
        </w:rPr>
        <w:t>(1) 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rPr>
          <w:sz w:val="22"/>
        </w:rPr>
        <w:t>(3) 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after diluting the residue then remaining in the tank with at least 5 per cent of the tank capacity of water, this mixture may be discharged into 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(5) Subject to such surveillance and approval by the authorized or appointed surveyor as may be deemed necessary by the Government of the Party, the Master of a ship shall, with respect to a Category B substance outside special 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 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t>Category D Substances in all Areas</w:t>
      </w:r>
    </w:p>
    <w:p>
      <w:pPr>
        <w:pStyle w:val="MiscellaneousBody"/>
        <w:keepNext/>
        <w:rPr>
          <w:sz w:val="22"/>
        </w:rPr>
      </w:pPr>
      <w:r>
        <w:rPr>
          <w:sz w:val="22"/>
        </w:rPr>
        <w:t>(7) 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 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t>(9) 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rPr>
          <w:sz w:val="22"/>
        </w:rPr>
      </w:pPr>
      <w:r>
        <w:rPr>
          <w:sz w:val="22"/>
        </w:rPr>
        <w:t>Regulation 9</w:t>
      </w:r>
    </w:p>
    <w:p>
      <w:pPr>
        <w:pStyle w:val="MiscellaneousHeading"/>
        <w:rPr>
          <w:sz w:val="22"/>
        </w:rPr>
      </w:pPr>
      <w:r>
        <w:rPr>
          <w:i/>
          <w:sz w:val="22"/>
        </w:rPr>
        <w:t>Cargo Record Book</w:t>
      </w:r>
    </w:p>
    <w:p>
      <w:pPr>
        <w:pStyle w:val="MiscellaneousBody"/>
        <w:rPr>
          <w:sz w:val="22"/>
        </w:rPr>
      </w:pPr>
      <w:r>
        <w:rPr>
          <w:sz w:val="22"/>
        </w:rPr>
        <w:t>(1) 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 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rPr>
          <w:sz w:val="22"/>
        </w:rPr>
        <w:t>(3) 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t>(4) 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 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 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 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rPr>
          <w:sz w:val="22"/>
        </w:rPr>
      </w:pPr>
      <w:r>
        <w:rPr>
          <w:sz w:val="22"/>
        </w:rPr>
        <w:t>Regulation 10</w:t>
      </w:r>
    </w:p>
    <w:p>
      <w:pPr>
        <w:pStyle w:val="MiscellaneousHeading"/>
        <w:rPr>
          <w:sz w:val="22"/>
        </w:rPr>
      </w:pPr>
      <w:r>
        <w:rPr>
          <w:i/>
          <w:sz w:val="22"/>
        </w:rPr>
        <w:t>Surveys</w:t>
      </w:r>
    </w:p>
    <w:p>
      <w:pPr>
        <w:pStyle w:val="MiscellaneousBody"/>
        <w:rPr>
          <w:sz w:val="22"/>
        </w:rPr>
      </w:pPr>
      <w:r>
        <w:rPr>
          <w:sz w:val="22"/>
        </w:rPr>
        <w:t>(1) Ships which are subject to the provisions of this Annex and which carry noxious liquid substances in bulk shall be surveyed as follows:</w:t>
      </w:r>
    </w:p>
    <w:p>
      <w:pPr>
        <w:pStyle w:val="ySubsection"/>
      </w:pPr>
      <w:r>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rPr>
          <w:sz w:val="22"/>
        </w:rPr>
        <w:t>(2) 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 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rPr>
          <w:sz w:val="22"/>
        </w:rPr>
      </w:pPr>
      <w:r>
        <w:rPr>
          <w:sz w:val="22"/>
        </w:rPr>
        <w:t>Regulation 11</w:t>
      </w:r>
    </w:p>
    <w:p>
      <w:pPr>
        <w:pStyle w:val="MiscellaneousHeading"/>
        <w:spacing w:before="120"/>
        <w:rPr>
          <w:sz w:val="22"/>
        </w:rPr>
      </w:pPr>
      <w:r>
        <w:rPr>
          <w:i/>
          <w:sz w:val="22"/>
        </w:rPr>
        <w:t>Issue of Certificate</w:t>
      </w:r>
    </w:p>
    <w:p>
      <w:pPr>
        <w:pStyle w:val="MiscellaneousBody"/>
        <w:spacing w:before="120"/>
        <w:rPr>
          <w:sz w:val="22"/>
        </w:rPr>
      </w:pPr>
      <w:r>
        <w:rPr>
          <w:sz w:val="22"/>
        </w:rPr>
        <w:t>(1) 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 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rPr>
          <w:sz w:val="22"/>
        </w:rPr>
        <w:t>(4) 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rPr>
          <w:sz w:val="22"/>
        </w:rPr>
      </w:pPr>
      <w:r>
        <w:rPr>
          <w:sz w:val="22"/>
        </w:rPr>
        <w:t>Regulation 12</w:t>
      </w:r>
    </w:p>
    <w:p>
      <w:pPr>
        <w:pStyle w:val="MiscellaneousHeading"/>
        <w:rPr>
          <w:sz w:val="22"/>
        </w:rPr>
      </w:pPr>
      <w:r>
        <w:rPr>
          <w:i/>
          <w:sz w:val="22"/>
        </w:rPr>
        <w:t>Duration of Certificate</w:t>
      </w:r>
    </w:p>
    <w:p>
      <w:pPr>
        <w:pStyle w:val="MiscellaneousBody"/>
        <w:rPr>
          <w:sz w:val="22"/>
        </w:rPr>
      </w:pPr>
      <w:r>
        <w:rPr>
          <w:sz w:val="22"/>
        </w:rPr>
        <w:t>(1) An International Pollution Prevention Certificate for the Carriage of Noxious Liquid Substances in Bulk (1973) shall be issued for a period specified by the Administration, which shall not exceed five years from the date of issue, except as provided in paragraphs (2)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rPr>
          <w:sz w:val="22"/>
        </w:rPr>
      </w:pPr>
      <w:r>
        <w:rPr>
          <w:sz w:val="22"/>
        </w:rPr>
        <w:t>Regulation 13</w:t>
      </w:r>
    </w:p>
    <w:p>
      <w:pPr>
        <w:pStyle w:val="MiscellaneousHeading"/>
        <w:rPr>
          <w:sz w:val="22"/>
        </w:rPr>
      </w:pPr>
      <w:r>
        <w:rPr>
          <w:i/>
          <w:sz w:val="22"/>
        </w:rPr>
        <w:t>Requirements for Minimizing accidental Pollution</w:t>
      </w:r>
    </w:p>
    <w:p>
      <w:pPr>
        <w:pStyle w:val="MiscellaneousBody"/>
        <w:rPr>
          <w:sz w:val="22"/>
        </w:rPr>
      </w:pPr>
      <w:r>
        <w:rPr>
          <w:sz w:val="22"/>
        </w:rPr>
        <w:t>(1) 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 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 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835"/>
        <w:gridCol w:w="647"/>
        <w:gridCol w:w="1198"/>
        <w:gridCol w:w="1418"/>
        <w:gridCol w:w="1275"/>
      </w:tblGrid>
      <w:tr>
        <w:trPr>
          <w:tblHeader/>
        </w:trPr>
        <w:tc>
          <w:tcPr>
            <w:tcW w:w="2835" w:type="dxa"/>
            <w:tcBorders>
              <w:top w:val="single" w:sz="4" w:space="0" w:color="auto"/>
              <w:right w:val="nil"/>
            </w:tcBorders>
          </w:tcPr>
          <w:p>
            <w:pPr>
              <w:pStyle w:val="yTable"/>
              <w:keepNext/>
              <w:ind w:left="285" w:hanging="285"/>
              <w:jc w:val="center"/>
              <w:rPr>
                <w:sz w:val="16"/>
              </w:rPr>
            </w:pPr>
          </w:p>
        </w:tc>
        <w:tc>
          <w:tcPr>
            <w:tcW w:w="647" w:type="dxa"/>
            <w:tcBorders>
              <w:top w:val="single" w:sz="4" w:space="0" w:color="auto"/>
              <w:left w:val="single" w:sz="4" w:space="0" w:color="auto"/>
              <w:bottom w:val="nil"/>
              <w:right w:val="single" w:sz="4" w:space="0" w:color="auto"/>
            </w:tcBorders>
          </w:tcPr>
          <w:p>
            <w:pPr>
              <w:pStyle w:val="yTable"/>
              <w:keepNext/>
              <w:ind w:left="-141" w:right="-63"/>
              <w:jc w:val="center"/>
              <w:rPr>
                <w:sz w:val="16"/>
              </w:rPr>
            </w:pPr>
            <w:r>
              <w:rPr>
                <w:sz w:val="16"/>
              </w:rPr>
              <w:t>UN</w:t>
            </w:r>
            <w:r>
              <w:rPr>
                <w:sz w:val="16"/>
              </w:rPr>
              <w:br/>
              <w:t>Num-ber</w:t>
            </w:r>
          </w:p>
        </w:tc>
        <w:tc>
          <w:tcPr>
            <w:tcW w:w="1198" w:type="dxa"/>
            <w:tcBorders>
              <w:top w:val="single" w:sz="4" w:space="0" w:color="auto"/>
              <w:left w:val="single" w:sz="4" w:space="0" w:color="auto"/>
              <w:bottom w:val="nil"/>
              <w:right w:val="single" w:sz="4" w:space="0" w:color="auto"/>
            </w:tcBorders>
          </w:tcPr>
          <w:p>
            <w:pPr>
              <w:pStyle w:val="yTable"/>
              <w:keepNext/>
              <w:ind w:right="157"/>
              <w:jc w:val="center"/>
              <w:rPr>
                <w:sz w:val="16"/>
              </w:rPr>
            </w:pPr>
            <w:r>
              <w:rPr>
                <w:sz w:val="16"/>
              </w:rPr>
              <w:t>Pollution Category for operational discharge</w:t>
            </w:r>
          </w:p>
        </w:tc>
        <w:tc>
          <w:tcPr>
            <w:tcW w:w="2693" w:type="dxa"/>
            <w:gridSpan w:val="2"/>
            <w:tcBorders>
              <w:top w:val="single" w:sz="4" w:space="0" w:color="auto"/>
              <w:left w:val="single" w:sz="4" w:space="0" w:color="auto"/>
              <w:bottom w:val="nil"/>
            </w:tcBorders>
          </w:tcPr>
          <w:p>
            <w:pPr>
              <w:pStyle w:val="yTable"/>
              <w:keepNext/>
              <w:jc w:val="center"/>
              <w:rPr>
                <w:sz w:val="16"/>
              </w:rPr>
            </w:pPr>
          </w:p>
          <w:p>
            <w:pPr>
              <w:pStyle w:val="yTable"/>
              <w:keepNext/>
              <w:jc w:val="center"/>
              <w:rPr>
                <w:sz w:val="16"/>
              </w:rPr>
            </w:pPr>
          </w:p>
          <w:p>
            <w:pPr>
              <w:pStyle w:val="yTable"/>
              <w:keepNext/>
              <w:jc w:val="center"/>
              <w:rPr>
                <w:sz w:val="16"/>
              </w:rPr>
            </w:pPr>
            <w:r>
              <w:rPr>
                <w:sz w:val="16"/>
              </w:rPr>
              <w:t>Residual concentration</w:t>
            </w:r>
            <w:r>
              <w:rPr>
                <w:sz w:val="16"/>
              </w:rPr>
              <w:br/>
              <w:t>(per cent by weight)</w:t>
            </w:r>
          </w:p>
        </w:tc>
      </w:tr>
      <w:tr>
        <w:trPr>
          <w:tblHeader/>
        </w:trPr>
        <w:tc>
          <w:tcPr>
            <w:tcW w:w="2835" w:type="dxa"/>
            <w:tcBorders>
              <w:bottom w:val="nil"/>
              <w:right w:val="nil"/>
            </w:tcBorders>
          </w:tcPr>
          <w:p>
            <w:pPr>
              <w:pStyle w:val="yTable"/>
              <w:keepNext/>
              <w:ind w:left="285" w:hanging="285"/>
              <w:jc w:val="center"/>
              <w:rPr>
                <w:sz w:val="16"/>
              </w:rPr>
            </w:pPr>
            <w:r>
              <w:rPr>
                <w:sz w:val="16"/>
              </w:rPr>
              <w:t>Substance</w:t>
            </w:r>
          </w:p>
        </w:tc>
        <w:tc>
          <w:tcPr>
            <w:tcW w:w="647" w:type="dxa"/>
            <w:tcBorders>
              <w:top w:val="nil"/>
              <w:left w:val="single" w:sz="4" w:space="0" w:color="auto"/>
              <w:bottom w:val="nil"/>
              <w:right w:val="single" w:sz="4" w:space="0" w:color="auto"/>
            </w:tcBorders>
          </w:tcPr>
          <w:p>
            <w:pPr>
              <w:pStyle w:val="yTable"/>
              <w:keepNext/>
              <w:jc w:val="center"/>
              <w:rPr>
                <w:sz w:val="16"/>
              </w:rPr>
            </w:pPr>
          </w:p>
        </w:tc>
        <w:tc>
          <w:tcPr>
            <w:tcW w:w="1198" w:type="dxa"/>
            <w:tcBorders>
              <w:top w:val="single" w:sz="4" w:space="0" w:color="auto"/>
              <w:left w:val="single" w:sz="4" w:space="0" w:color="auto"/>
              <w:bottom w:val="nil"/>
              <w:right w:val="single" w:sz="4" w:space="0" w:color="auto"/>
            </w:tcBorders>
          </w:tcPr>
          <w:p>
            <w:pPr>
              <w:pStyle w:val="yTable"/>
              <w:keepNext/>
              <w:jc w:val="center"/>
              <w:rPr>
                <w:sz w:val="16"/>
              </w:rPr>
            </w:pPr>
            <w:r>
              <w:rPr>
                <w:sz w:val="16"/>
              </w:rPr>
              <w:t>(Regulation 3 of Annex II)</w:t>
            </w:r>
          </w:p>
        </w:tc>
        <w:tc>
          <w:tcPr>
            <w:tcW w:w="1418" w:type="dxa"/>
            <w:tcBorders>
              <w:top w:val="single" w:sz="4" w:space="0" w:color="auto"/>
              <w:left w:val="single" w:sz="4" w:space="0" w:color="auto"/>
              <w:bottom w:val="nil"/>
              <w:right w:val="single" w:sz="4" w:space="0" w:color="auto"/>
            </w:tcBorders>
          </w:tcPr>
          <w:p>
            <w:pPr>
              <w:pStyle w:val="yTable"/>
              <w:keepNext/>
              <w:jc w:val="center"/>
              <w:rPr>
                <w:sz w:val="16"/>
              </w:rPr>
            </w:pPr>
            <w:r>
              <w:rPr>
                <w:sz w:val="16"/>
              </w:rPr>
              <w:t>(Regulation 5(1) of Annex II)</w:t>
            </w:r>
          </w:p>
        </w:tc>
        <w:tc>
          <w:tcPr>
            <w:tcW w:w="1275" w:type="dxa"/>
            <w:tcBorders>
              <w:top w:val="single" w:sz="4" w:space="0" w:color="auto"/>
              <w:left w:val="single" w:sz="4" w:space="0" w:color="auto"/>
              <w:bottom w:val="nil"/>
            </w:tcBorders>
          </w:tcPr>
          <w:p>
            <w:pPr>
              <w:pStyle w:val="yTable"/>
              <w:keepNext/>
              <w:ind w:right="-142"/>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98"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418"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275"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nil"/>
              <w:right w:val="nil"/>
            </w:tcBorders>
          </w:tcPr>
          <w:p>
            <w:pPr>
              <w:pStyle w:val="yTable"/>
              <w:ind w:left="285" w:hanging="285"/>
              <w:rPr>
                <w:sz w:val="16"/>
              </w:rPr>
            </w:pPr>
            <w:r>
              <w:rPr>
                <w:sz w:val="16"/>
              </w:rPr>
              <w:t>Acetaldehyde</w:t>
            </w:r>
          </w:p>
        </w:tc>
        <w:tc>
          <w:tcPr>
            <w:tcW w:w="647" w:type="dxa"/>
            <w:tcBorders>
              <w:top w:val="nil"/>
              <w:left w:val="single" w:sz="4" w:space="0" w:color="auto"/>
              <w:bottom w:val="nil"/>
              <w:right w:val="single" w:sz="4" w:space="0" w:color="auto"/>
            </w:tcBorders>
          </w:tcPr>
          <w:p>
            <w:pPr>
              <w:pStyle w:val="yTable"/>
              <w:jc w:val="center"/>
              <w:rPr>
                <w:sz w:val="16"/>
              </w:rPr>
            </w:pPr>
            <w:r>
              <w:rPr>
                <w:sz w:val="16"/>
              </w:rPr>
              <w:t>1089</w:t>
            </w:r>
          </w:p>
        </w:tc>
        <w:tc>
          <w:tcPr>
            <w:tcW w:w="1198" w:type="dxa"/>
            <w:tcBorders>
              <w:top w:val="nil"/>
              <w:left w:val="single" w:sz="4" w:space="0" w:color="auto"/>
              <w:bottom w:val="nil"/>
              <w:right w:val="single" w:sz="4" w:space="0" w:color="auto"/>
            </w:tcBorders>
          </w:tcPr>
          <w:p>
            <w:pPr>
              <w:pStyle w:val="yTable"/>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jc w:val="center"/>
              <w:rPr>
                <w:sz w:val="16"/>
              </w:rPr>
            </w:pPr>
          </w:p>
        </w:tc>
        <w:tc>
          <w:tcPr>
            <w:tcW w:w="1275" w:type="dxa"/>
            <w:tcBorders>
              <w:top w:val="nil"/>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275"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Diethylbenzene (mixed isomers)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Naphthalene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w:t>
            </w:r>
            <w:r>
              <w:rPr>
                <w:sz w:val="16"/>
              </w:rPr>
              <w:br/>
              <w:t>(Tetrachloroethylene)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1897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275"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Tetrahydrofuran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98"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275"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spacing w:before="300"/>
        <w:rPr>
          <w:b/>
          <w:sz w:val="22"/>
        </w:rPr>
      </w:pPr>
      <w:r>
        <w:rPr>
          <w:b/>
          <w:sz w:val="22"/>
        </w:rPr>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r>
              <w:t>Sulphur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ind w:left="567" w:hanging="567"/>
        <w:rPr>
          <w:sz w:val="22"/>
        </w:rPr>
      </w:pPr>
      <w:r>
        <w:rPr>
          <w:sz w:val="22"/>
        </w:rPr>
        <w:t xml:space="preserve">(b) </w:t>
      </w:r>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ind w:left="567" w:hanging="567"/>
        <w:rPr>
          <w:sz w:val="22"/>
        </w:rPr>
      </w:pPr>
      <w:r>
        <w:rPr>
          <w:sz w:val="22"/>
        </w:rPr>
        <w:t xml:space="preserve">(c) </w:t>
      </w:r>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ind w:left="567" w:hanging="567"/>
        <w:rPr>
          <w:sz w:val="22"/>
        </w:rPr>
      </w:pPr>
      <w:r>
        <w:rPr>
          <w:sz w:val="22"/>
        </w:rPr>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ind w:left="567" w:hanging="567"/>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ind w:left="567" w:hanging="567"/>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ind w:left="567" w:hanging="567"/>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ind w:left="567" w:hanging="567"/>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 xml:space="preserve">............................................Signature of Master </w:t>
      </w:r>
    </w:p>
    <w:p>
      <w:pPr>
        <w:pStyle w:val="MiscellaneousHeading"/>
        <w:pageBreakBefore/>
        <w:spacing w:before="0"/>
        <w:rPr>
          <w:b/>
          <w:sz w:val="22"/>
        </w:rPr>
      </w:pPr>
      <w:r>
        <w:rPr>
          <w:b/>
          <w:sz w:val="22"/>
        </w:rPr>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60"/>
        <w:gridCol w:w="1984"/>
        <w:gridCol w:w="1701"/>
        <w:gridCol w:w="1843"/>
      </w:tblGrid>
      <w:tr>
        <w:trPr>
          <w:trHeight w:val="137"/>
        </w:trPr>
        <w:tc>
          <w:tcPr>
            <w:tcW w:w="1560" w:type="dxa"/>
          </w:tcPr>
          <w:p>
            <w:pPr>
              <w:pStyle w:val="yTable"/>
              <w:jc w:val="center"/>
            </w:pPr>
            <w:r>
              <w:br/>
              <w:t>Name of Ship</w:t>
            </w:r>
          </w:p>
        </w:tc>
        <w:tc>
          <w:tcPr>
            <w:tcW w:w="1984" w:type="dxa"/>
          </w:tcPr>
          <w:p>
            <w:pPr>
              <w:pStyle w:val="yTable"/>
              <w:spacing w:after="40"/>
              <w:jc w:val="center"/>
            </w:pPr>
            <w:r>
              <w:t>Distinctive</w:t>
            </w:r>
            <w:r>
              <w:br/>
              <w:t>Number or</w:t>
            </w:r>
            <w:r>
              <w:br/>
              <w:t>Letter</w:t>
            </w:r>
          </w:p>
        </w:tc>
        <w:tc>
          <w:tcPr>
            <w:tcW w:w="1701" w:type="dxa"/>
          </w:tcPr>
          <w:p>
            <w:pPr>
              <w:pStyle w:val="yTable"/>
              <w:jc w:val="center"/>
            </w:pPr>
            <w:r>
              <w:br/>
              <w:t>Port of</w:t>
            </w:r>
            <w:r>
              <w:br/>
              <w:t>Registry</w:t>
            </w:r>
          </w:p>
        </w:tc>
        <w:tc>
          <w:tcPr>
            <w:tcW w:w="1843" w:type="dxa"/>
          </w:tcPr>
          <w:p>
            <w:pPr>
              <w:pStyle w:val="yTable"/>
              <w:jc w:val="center"/>
            </w:pPr>
            <w:r>
              <w:br/>
              <w:t>Gross</w:t>
            </w:r>
            <w:r>
              <w:br/>
              <w:t>Tonnage</w:t>
            </w:r>
          </w:p>
        </w:tc>
      </w:tr>
      <w:tr>
        <w:tc>
          <w:tcPr>
            <w:tcW w:w="1560" w:type="dxa"/>
          </w:tcPr>
          <w:p>
            <w:pPr>
              <w:pStyle w:val="yTable"/>
            </w:pPr>
          </w:p>
          <w:p>
            <w:pPr>
              <w:pStyle w:val="yTable"/>
            </w:pPr>
          </w:p>
        </w:tc>
        <w:tc>
          <w:tcPr>
            <w:tcW w:w="1984" w:type="dxa"/>
          </w:tcPr>
          <w:p>
            <w:pPr>
              <w:pStyle w:val="yTable"/>
            </w:pPr>
          </w:p>
        </w:tc>
        <w:tc>
          <w:tcPr>
            <w:tcW w:w="1701" w:type="dxa"/>
          </w:tcPr>
          <w:p>
            <w:pPr>
              <w:pStyle w:val="yTable"/>
            </w:pPr>
          </w:p>
        </w:tc>
        <w:tc>
          <w:tcPr>
            <w:tcW w:w="1843"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 That the ship has been surveyed in accordance with the provisions of Regulation 10 of Annex II of the Convention.</w:t>
      </w:r>
    </w:p>
    <w:p>
      <w:pPr>
        <w:pStyle w:val="MiscellaneousBody"/>
        <w:rPr>
          <w:sz w:val="22"/>
        </w:rPr>
      </w:pPr>
      <w:r>
        <w:rPr>
          <w:sz w:val="22"/>
        </w:rPr>
        <w:t>2. That the survey showed that the design, construction and equipment of the ship are such as to minimize the uncontrolled discharge into the sea of noxious liquid substances.</w:t>
      </w:r>
    </w:p>
    <w:p>
      <w:pPr>
        <w:pStyle w:val="MiscellaneousBody"/>
        <w:keepNext/>
        <w:rPr>
          <w:sz w:val="22"/>
        </w:rPr>
      </w:pPr>
      <w:r>
        <w:rPr>
          <w:sz w:val="22"/>
        </w:rPr>
        <w:t>3. That the following arrangements and procedures have been approved by the Administration in connexion with the implementation of Regulation 5 of Annex II of the Convention:</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 xml:space="preserve">Signed ......................................................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rPr>
          <w:sz w:val="22"/>
        </w:rPr>
      </w:pPr>
      <w:r>
        <w:rPr>
          <w:sz w:val="22"/>
        </w:rPr>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 xml:space="preserve">Signed ......................................................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246" w:name="_Toc527777304"/>
      <w:bookmarkStart w:id="247" w:name="_Toc103143847"/>
      <w:bookmarkStart w:id="248" w:name="_Toc267925801"/>
      <w:bookmarkStart w:id="249" w:name="_Toc268185881"/>
      <w:bookmarkStart w:id="250" w:name="_Toc268617515"/>
      <w:bookmarkStart w:id="251" w:name="_Toc272309059"/>
      <w:r>
        <w:rPr>
          <w:rStyle w:val="CharSchNo"/>
        </w:rPr>
        <w:t>Schedule 2</w:t>
      </w:r>
      <w:bookmarkEnd w:id="246"/>
      <w:bookmarkEnd w:id="247"/>
      <w:bookmarkEnd w:id="248"/>
      <w:r>
        <w:t> — </w:t>
      </w:r>
      <w:r>
        <w:rPr>
          <w:rStyle w:val="CharSchText"/>
        </w:rPr>
        <w:t>1978 Protocol</w:t>
      </w:r>
      <w:bookmarkEnd w:id="249"/>
      <w:bookmarkEnd w:id="250"/>
      <w:bookmarkEnd w:id="251"/>
    </w:p>
    <w:p>
      <w:pPr>
        <w:pStyle w:val="yShoulderClause"/>
      </w:pPr>
      <w:r>
        <w:t>[s. 3]</w:t>
      </w:r>
    </w:p>
    <w:p>
      <w:pPr>
        <w:pStyle w:val="yFootnoteheading"/>
        <w:rPr>
          <w:b/>
        </w:rPr>
      </w:pPr>
      <w:r>
        <w:tab/>
        <w:t>[Heading amended by No. 19 of 2010 s. 4.]</w:t>
      </w:r>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 The Parties to the present Protocol undertake to give effect to the provisions of:</w:t>
      </w:r>
    </w:p>
    <w:p>
      <w:pPr>
        <w:pStyle w:val="ySubsection"/>
      </w:pPr>
      <w:r>
        <w:tab/>
        <w:t>(a)</w:t>
      </w:r>
      <w:r>
        <w:tab/>
        <w:t>the present Protocol and the Annex hereto which shall constitute an integral part of the present Protocol; and</w:t>
      </w:r>
    </w:p>
    <w:p>
      <w:pPr>
        <w:pStyle w:val="ySubsection"/>
      </w:pPr>
      <w:r>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 The provisions of the Convention and the present Protocol shall be read and interpreted together as one single instrument.</w:t>
      </w:r>
    </w:p>
    <w:p>
      <w:pPr>
        <w:pStyle w:val="MiscellaneousBody"/>
        <w:rPr>
          <w:sz w:val="22"/>
        </w:rPr>
      </w:pPr>
      <w:r>
        <w:rPr>
          <w:sz w:val="22"/>
        </w:rPr>
        <w:t>3. Every reference to the present Protocol constitutes at the same time a reference to the Annex hereto.</w:t>
      </w:r>
    </w:p>
    <w:p>
      <w:pPr>
        <w:pStyle w:val="MiscellaneousHeading"/>
        <w:rPr>
          <w:sz w:val="22"/>
        </w:rPr>
      </w:pPr>
      <w:r>
        <w:rPr>
          <w:sz w:val="22"/>
        </w:rPr>
        <w:t>Article II</w:t>
      </w:r>
    </w:p>
    <w:p>
      <w:pPr>
        <w:pStyle w:val="MiscellaneousHeading"/>
        <w:rPr>
          <w:sz w:val="22"/>
        </w:rPr>
      </w:pPr>
      <w:r>
        <w:rPr>
          <w:i/>
          <w:sz w:val="22"/>
        </w:rPr>
        <w:t>Implementation of Annex II of the Convention</w:t>
      </w:r>
    </w:p>
    <w:p>
      <w:pPr>
        <w:pStyle w:val="MiscellaneousBody"/>
        <w:rPr>
          <w:sz w:val="22"/>
        </w:rPr>
      </w:pPr>
      <w:r>
        <w:rPr>
          <w:sz w:val="22"/>
        </w:rPr>
        <w:t>1. 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 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responsibilities and conditions of the authority delegated to nominated surveyors or recognized organizations.”</w:t>
      </w:r>
    </w:p>
    <w:p>
      <w:pPr>
        <w:pStyle w:val="MiscellaneousHeading"/>
        <w:rPr>
          <w:sz w:val="22"/>
        </w:rPr>
      </w:pPr>
      <w:r>
        <w:rPr>
          <w:sz w:val="22"/>
        </w:rPr>
        <w:t>Article IV</w:t>
      </w:r>
    </w:p>
    <w:p>
      <w:pPr>
        <w:pStyle w:val="MiscellaneousHeading"/>
        <w:rPr>
          <w:sz w:val="22"/>
        </w:rPr>
      </w:pPr>
      <w:r>
        <w:rPr>
          <w:i/>
          <w:sz w:val="22"/>
        </w:rPr>
        <w:t>Signature, Ratification, Acceptance, Approval and Accession</w:t>
      </w:r>
    </w:p>
    <w:p>
      <w:pPr>
        <w:pStyle w:val="MiscellaneousBody"/>
        <w:rPr>
          <w:sz w:val="22"/>
        </w:rPr>
      </w:pPr>
      <w:r>
        <w:rPr>
          <w:sz w:val="22"/>
        </w:rPr>
        <w:t>1. 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 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 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 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 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rPr>
          <w:sz w:val="22"/>
        </w:rPr>
      </w:pPr>
      <w:r>
        <w:rPr>
          <w:sz w:val="22"/>
        </w:rPr>
        <w:t>Article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rPr>
          <w:sz w:val="22"/>
        </w:rPr>
      </w:pPr>
      <w:r>
        <w:rPr>
          <w:sz w:val="22"/>
        </w:rPr>
        <w:t>Article VII</w:t>
      </w:r>
    </w:p>
    <w:p>
      <w:pPr>
        <w:pStyle w:val="MiscellaneousHeading"/>
        <w:rPr>
          <w:sz w:val="22"/>
        </w:rPr>
      </w:pPr>
      <w:r>
        <w:rPr>
          <w:i/>
          <w:sz w:val="22"/>
        </w:rPr>
        <w:t>Denunciation</w:t>
      </w:r>
    </w:p>
    <w:p>
      <w:pPr>
        <w:pStyle w:val="MiscellaneousBody"/>
        <w:rPr>
          <w:sz w:val="22"/>
        </w:rPr>
      </w:pPr>
      <w:r>
        <w:rPr>
          <w:sz w:val="22"/>
        </w:rPr>
        <w:t>1. 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 Denunciation shall be effected by the deposit of an instrument of denunciation with the Secretary</w:t>
      </w:r>
      <w:r>
        <w:rPr>
          <w:sz w:val="22"/>
        </w:rPr>
        <w:noBreakHyphen/>
        <w:t>General of the Organization.</w:t>
      </w:r>
    </w:p>
    <w:p>
      <w:pPr>
        <w:pStyle w:val="MiscellaneousBody"/>
        <w:rPr>
          <w:sz w:val="22"/>
        </w:rPr>
      </w:pPr>
      <w:r>
        <w:rPr>
          <w:sz w:val="22"/>
        </w:rPr>
        <w:t>3. 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 The present Protocol shall be deposited with the Secretary</w:t>
      </w:r>
      <w:r>
        <w:rPr>
          <w:sz w:val="22"/>
        </w:rPr>
        <w:noBreakHyphen/>
        <w:t>General of the Organization (hereinafter referred to as “the Depositary”).</w:t>
      </w:r>
    </w:p>
    <w:p>
      <w:pPr>
        <w:pStyle w:val="MiscellaneousBody"/>
        <w:rPr>
          <w:sz w:val="22"/>
        </w:rPr>
      </w:pPr>
      <w:r>
        <w:rPr>
          <w:sz w:val="22"/>
        </w:rPr>
        <w:t>2. 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 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pageBreakBefore/>
        <w:rPr>
          <w:b/>
          <w:sz w:val="22"/>
        </w:rPr>
      </w:pPr>
      <w:r>
        <w:rPr>
          <w:b/>
          <w:sz w:val="22"/>
        </w:rPr>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 ‘Lightweight’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 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 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 “Crude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 “Crude oil tanker” means an oil tanker engaged in the trade of carrying crude oil.</w:t>
      </w:r>
    </w:p>
    <w:p>
      <w:pPr>
        <w:pStyle w:val="MiscellaneousBody"/>
        <w:spacing w:before="120"/>
        <w:rPr>
          <w:sz w:val="22"/>
        </w:rPr>
      </w:pPr>
      <w:r>
        <w:rPr>
          <w:sz w:val="22"/>
        </w:rPr>
        <w:t>(30) “Product carrier” means an oil tanker engaged in the trade of carrying oil other than crude oil.</w:t>
      </w:r>
    </w:p>
    <w:p>
      <w:pPr>
        <w:pStyle w:val="MiscellaneousHeading"/>
        <w:rPr>
          <w:sz w:val="22"/>
        </w:rPr>
      </w:pPr>
      <w:r>
        <w:rPr>
          <w:sz w:val="22"/>
        </w:rPr>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rPr>
          <w:sz w:val="22"/>
        </w:rPr>
        <w:t>(2) 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t>Regulation 8</w:t>
      </w:r>
    </w:p>
    <w:p>
      <w:pPr>
        <w:pStyle w:val="MiscellaneousHeading"/>
        <w:rPr>
          <w:sz w:val="22"/>
        </w:rPr>
      </w:pPr>
      <w:r>
        <w:rPr>
          <w:i/>
          <w:sz w:val="22"/>
        </w:rPr>
        <w:t>Duration of Certificate</w:t>
      </w:r>
    </w:p>
    <w:p>
      <w:pPr>
        <w:pStyle w:val="MiscellaneousBody"/>
        <w:rPr>
          <w:i/>
          <w:sz w:val="22"/>
        </w:rPr>
      </w:pPr>
      <w:r>
        <w:rPr>
          <w:i/>
          <w:sz w:val="22"/>
        </w:rPr>
        <w:t>The existing text of Regulation 8 is replaced by the following:</w:t>
      </w:r>
    </w:p>
    <w:p>
      <w:pPr>
        <w:pStyle w:val="MiscellaneousBody"/>
        <w:rPr>
          <w:sz w:val="22"/>
        </w:rPr>
      </w:pPr>
      <w:r>
        <w:rPr>
          <w:sz w:val="22"/>
        </w:rPr>
        <w:t>(1) 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 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t>New oil tankers of 20,000 tons deadweight and above</w:t>
      </w:r>
    </w:p>
    <w:p>
      <w:pPr>
        <w:pStyle w:val="MiscellaneousBody"/>
        <w:rPr>
          <w:sz w:val="22"/>
        </w:rPr>
      </w:pPr>
      <w:r>
        <w:rPr>
          <w:sz w:val="22"/>
        </w:rPr>
        <w:t>(1) 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 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rPr>
          <w:sz w:val="22"/>
        </w:rPr>
        <w:t>(3) 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 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t>(5) 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 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 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 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 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t>Existing product carriers of 40,000 tons deadweight and above</w:t>
      </w:r>
    </w:p>
    <w:p>
      <w:pPr>
        <w:pStyle w:val="MiscellaneousBody"/>
        <w:spacing w:before="140"/>
        <w:rPr>
          <w:sz w:val="22"/>
        </w:rPr>
      </w:pPr>
      <w:r>
        <w:rPr>
          <w:sz w:val="22"/>
        </w:rPr>
        <w:t>(10) 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 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 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 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 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to enable supervision of 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 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 Every crude oil washing system required to be provided in accordance with Regulation 13(6) and (8) of this Annex shall comply with the requirements of this Regulation.</w:t>
      </w:r>
    </w:p>
    <w:p>
      <w:pPr>
        <w:pStyle w:val="MiscellaneousBody"/>
        <w:rPr>
          <w:sz w:val="22"/>
        </w:rPr>
      </w:pPr>
      <w:r>
        <w:rPr>
          <w:sz w:val="22"/>
        </w:rPr>
        <w:t>(2) 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 An inert gas system shall be provided in every cargo tank and slop tank in accordance with the appropriate Regulations of Chapter 11</w:t>
      </w:r>
      <w:r>
        <w:rPr>
          <w:sz w:val="22"/>
        </w:rPr>
        <w:noBreakHyphen/>
        <w:t>2 of the International Convention for the Safety of Life at Sea, 1974, as modified and added to by the Protocol of 1978 Relating to the International Convention for the Safety of Life at Sea, 1974.</w:t>
      </w:r>
    </w:p>
    <w:p>
      <w:pPr>
        <w:pStyle w:val="MiscellaneousBody"/>
        <w:rPr>
          <w:sz w:val="22"/>
        </w:rPr>
      </w:pPr>
      <w:r>
        <w:rPr>
          <w:sz w:val="22"/>
        </w:rPr>
        <w:t>(4) 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 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 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rPr>
          <w:sz w:val="22"/>
        </w:rPr>
        <w:t>(2) The provisions of paragraph (1) of this Regulation shall only apply when the ports or terminals where cargo is loaded on such voyages are provided with reception facilities adequate for the reception and treatment of all the ballast and 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rPr>
          <w:sz w:val="22"/>
        </w:rPr>
        <w:t>(3) 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 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rPr>
          <w:sz w:val="22"/>
        </w:rPr>
        <w:t>(2) 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 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 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 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pPr>
      <w:r>
        <w:rPr>
          <w:noProof/>
          <w:position w:val="-10"/>
          <w:lang w:eastAsia="en-AU"/>
        </w:rPr>
        <w:drawing>
          <wp:inline distT="0" distB="0" distL="0" distR="0">
            <wp:extent cx="2070100" cy="2159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 For tankers of 200,000 tons deadweight and above the value of “J” may be reduced as follows:</w:t>
      </w:r>
    </w:p>
    <w:p>
      <w:pPr>
        <w:pStyle w:val="yTable"/>
        <w:ind w:left="567"/>
      </w:pPr>
      <w:r>
        <w:rPr>
          <w:noProof/>
          <w:position w:val="-32"/>
          <w:lang w:eastAsia="en-AU"/>
        </w:rPr>
        <w:drawing>
          <wp:inline distT="0" distB="0" distL="0" distR="0">
            <wp:extent cx="3605530" cy="4832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ind w:left="1843" w:hanging="1276"/>
        <w:rPr>
          <w:sz w:val="22"/>
        </w:rPr>
      </w:pPr>
      <w:r>
        <w:rPr>
          <w:sz w:val="22"/>
        </w:rPr>
        <w:tab/>
        <w:t>a =</w:t>
      </w:r>
      <w:r>
        <w:rPr>
          <w:sz w:val="22"/>
        </w:rPr>
        <w:tab/>
        <w:t>0.40 for oil tankers of 300,000 tons deadweight</w:t>
      </w:r>
    </w:p>
    <w:p>
      <w:pPr>
        <w:pStyle w:val="MiscellaneousBody"/>
        <w:tabs>
          <w:tab w:val="left" w:pos="1418"/>
          <w:tab w:val="left" w:pos="1843"/>
        </w:tabs>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ind w:left="1843" w:hanging="1276"/>
        <w:rPr>
          <w:sz w:val="22"/>
        </w:rPr>
      </w:pPr>
      <w:r>
        <w:rPr>
          <w:sz w:val="22"/>
        </w:rPr>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 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 Every new oil tanker required to be provided with segregated ballast tanks, or fitted with a crude oil washing system shall comply with the following requirements:</w:t>
      </w:r>
    </w:p>
    <w:p>
      <w:pPr>
        <w:pStyle w:val="ySubsection"/>
      </w:pPr>
      <w:r>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rPr>
          <w:sz w:val="22"/>
        </w:rPr>
        <w:t>(6) 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6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113"/>
              <w:jc w:val="center"/>
              <w:rPr>
                <w:spacing w:val="-2"/>
                <w:sz w:val="19"/>
              </w:rPr>
            </w:pPr>
            <w:r>
              <w:rPr>
                <w:spacing w:val="-2"/>
                <w:sz w:val="19"/>
              </w:rPr>
              <w:br/>
              <w:t>Name of Ship</w:t>
            </w:r>
          </w:p>
        </w:tc>
        <w:tc>
          <w:tcPr>
            <w:tcW w:w="170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t>Distinctive</w:t>
            </w:r>
            <w:r>
              <w:rPr>
                <w:spacing w:val="-2"/>
                <w:sz w:val="19"/>
              </w:rPr>
              <w:br/>
              <w:t>Number or</w:t>
            </w:r>
            <w:r>
              <w:rPr>
                <w:spacing w:val="-2"/>
                <w:sz w:val="19"/>
              </w:rPr>
              <w:br/>
              <w:t>Letters</w:t>
            </w:r>
          </w:p>
        </w:tc>
        <w:tc>
          <w:tcPr>
            <w:tcW w:w="1591"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Port of</w:t>
            </w:r>
            <w:r>
              <w:rPr>
                <w:spacing w:val="-2"/>
                <w:sz w:val="19"/>
              </w:rPr>
              <w:br/>
              <w:t>Registry</w:t>
            </w:r>
          </w:p>
        </w:tc>
        <w:tc>
          <w:tcPr>
            <w:tcW w:w="137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Gross</w:t>
            </w:r>
            <w:r>
              <w:rPr>
                <w:spacing w:val="-2"/>
                <w:sz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sz w:val="19"/>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rPr>
          <w:sz w:val="22"/>
        </w:rPr>
      </w:pPr>
      <w:r>
        <w:rPr>
          <w:sz w:val="22"/>
        </w:rPr>
        <w:t>PART A</w:t>
      </w:r>
      <w:r>
        <w:rPr>
          <w:sz w:val="22"/>
        </w:rPr>
        <w:tab/>
      </w:r>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 xml:space="preserve">Signed ......................................................... </w:t>
      </w:r>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 xml:space="preserve">Place ........................................................... </w:t>
      </w:r>
    </w:p>
    <w:p>
      <w:pPr>
        <w:pStyle w:val="MiscellaneousBody"/>
        <w:tabs>
          <w:tab w:val="right" w:leader="dot" w:pos="7088"/>
        </w:tabs>
        <w:ind w:left="3261"/>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jc w:val="left"/>
        <w:rPr>
          <w:sz w:val="22"/>
        </w:rPr>
      </w:pPr>
      <w:r>
        <w:rPr>
          <w:sz w:val="22"/>
        </w:rPr>
        <w:t>PART B</w:t>
      </w:r>
      <w:r>
        <w:rPr>
          <w:sz w:val="22"/>
        </w:rPr>
        <w:tab/>
      </w:r>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rPr>
          <w:sz w:val="22"/>
        </w:rPr>
      </w:pPr>
      <w:r>
        <w:rPr>
          <w:sz w:val="22"/>
        </w:rPr>
        <w:t>It is certified that this ship is constructed and equipped, and must operate, in accordance with the following:</w:t>
      </w:r>
    </w:p>
    <w:p>
      <w:pPr>
        <w:pStyle w:val="MiscellaneousBody"/>
        <w:rPr>
          <w:sz w:val="22"/>
        </w:rPr>
      </w:pPr>
      <w:r>
        <w:rPr>
          <w:sz w:val="22"/>
        </w:rPr>
        <w:t>1. 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rPr>
          <w:sz w:val="22"/>
        </w:rPr>
      </w:pPr>
      <w:r>
        <w:rPr>
          <w:sz w:val="22"/>
        </w:rPr>
        <w:t>the requirements of Regulation 24 of Annex I of the Protocol.</w:t>
      </w:r>
    </w:p>
    <w:p>
      <w:pPr>
        <w:pStyle w:val="MiscellaneousBody"/>
        <w:rPr>
          <w:sz w:val="22"/>
        </w:rPr>
      </w:pPr>
      <w:r>
        <w:rPr>
          <w:sz w:val="22"/>
        </w:rPr>
        <w:t>2. 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rPr>
          <w:sz w:val="22"/>
        </w:rPr>
      </w:pPr>
      <w:r>
        <w:rPr>
          <w:sz w:val="22"/>
        </w:rPr>
        <w:t>the requirements of Regulation 13E of Annex I of the Protocol.</w:t>
      </w:r>
    </w:p>
    <w:p>
      <w:pPr>
        <w:pStyle w:val="MiscellaneousBody"/>
        <w:keepNext/>
        <w:keepLines/>
        <w:rPr>
          <w:sz w:val="22"/>
        </w:rPr>
      </w:pPr>
      <w:r>
        <w:rPr>
          <w:sz w:val="22"/>
        </w:rPr>
        <w:t>3. 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rPr>
          <w:sz w:val="22"/>
        </w:rPr>
      </w:pPr>
      <w:r>
        <w:rPr>
          <w:sz w:val="22"/>
        </w:rPr>
        <w:t>4. 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     </w:t>
      </w:r>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 xml:space="preserve">Signed .................................................................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 xml:space="preserve">Place ................................................................... </w:t>
      </w:r>
    </w:p>
    <w:p>
      <w:pPr>
        <w:pStyle w:val="MiscellaneousBody"/>
        <w:tabs>
          <w:tab w:val="right" w:leader="dot" w:pos="7088"/>
        </w:tabs>
        <w:spacing w:before="120"/>
        <w:ind w:left="2835"/>
        <w:rPr>
          <w:sz w:val="22"/>
        </w:rPr>
      </w:pPr>
      <w:r>
        <w:rPr>
          <w:sz w:val="22"/>
        </w:rPr>
        <w:t xml:space="preserve">Date .................................................................... </w:t>
      </w:r>
    </w:p>
    <w:p>
      <w:pPr>
        <w:pStyle w:val="MiscellaneousBody"/>
        <w:tabs>
          <w:tab w:val="right" w:leader="dot" w:pos="7088"/>
        </w:tabs>
        <w:spacing w:before="120"/>
        <w:ind w:left="2835"/>
        <w:rPr>
          <w:sz w:val="22"/>
        </w:rPr>
      </w:pPr>
      <w:r>
        <w:rPr>
          <w:sz w:val="22"/>
        </w:rPr>
        <w:t xml:space="preserve">Next intermediate survey due ............................. </w:t>
      </w:r>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(A)</w:t>
      </w:r>
      <w:r>
        <w:rPr>
          <w:i/>
          <w:sz w:val="22"/>
        </w:rPr>
        <w:t xml:space="preserve"> Ballasting of dedicated clean ballast tanks</w:t>
      </w:r>
    </w:p>
    <w:tbl>
      <w:tblPr>
        <w:tblW w:w="0" w:type="auto"/>
        <w:tblInd w:w="120" w:type="dxa"/>
        <w:tblLayout w:type="fixed"/>
        <w:tblCellMar>
          <w:left w:w="120" w:type="dxa"/>
          <w:right w:w="120" w:type="dxa"/>
        </w:tblCellMar>
        <w:tblLook w:val="0000" w:firstRow="0" w:lastRow="0" w:firstColumn="0" w:lastColumn="0" w:noHBand="0" w:noVBand="0"/>
      </w:tblPr>
      <w:tblGrid>
        <w:gridCol w:w="4931"/>
        <w:gridCol w:w="720"/>
        <w:gridCol w:w="717"/>
        <w:gridCol w:w="717"/>
      </w:tblGrid>
      <w:tr>
        <w:tc>
          <w:tcPr>
            <w:tcW w:w="4931"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Body"/>
        <w:pageBreakBefore/>
        <w:spacing w:before="0" w:after="160"/>
        <w:rPr>
          <w:i/>
          <w:sz w:val="22"/>
        </w:rPr>
      </w:pPr>
      <w:r>
        <w:rPr>
          <w:sz w:val="22"/>
        </w:rPr>
        <w:t>(B)</w:t>
      </w:r>
      <w:r>
        <w:rPr>
          <w:i/>
          <w:sz w:val="22"/>
        </w:rPr>
        <w:t xml:space="preserve">  Discharge of clean ballast</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4253"/>
        <w:gridCol w:w="708"/>
        <w:gridCol w:w="709"/>
        <w:gridCol w:w="709"/>
      </w:tblGrid>
      <w:tr>
        <w:tc>
          <w:tcPr>
            <w:tcW w:w="709" w:type="dxa"/>
            <w:tcBorders>
              <w:top w:val="single" w:sz="7" w:space="0" w:color="auto"/>
              <w:left w:val="single" w:sz="7" w:space="0" w:color="auto"/>
            </w:tcBorders>
          </w:tcPr>
          <w:p>
            <w:pPr>
              <w:pStyle w:val="yTable"/>
            </w:pPr>
            <w:r>
              <w:t>107.</w:t>
            </w:r>
          </w:p>
        </w:tc>
        <w:tc>
          <w:tcPr>
            <w:tcW w:w="4253"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108.</w:t>
            </w:r>
          </w:p>
        </w:tc>
        <w:tc>
          <w:tcPr>
            <w:tcW w:w="4253"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109.</w:t>
            </w:r>
          </w:p>
        </w:tc>
        <w:tc>
          <w:tcPr>
            <w:tcW w:w="4253"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110.</w:t>
            </w:r>
          </w:p>
        </w:tc>
        <w:tc>
          <w:tcPr>
            <w:tcW w:w="4253"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111.</w:t>
            </w:r>
          </w:p>
        </w:tc>
        <w:tc>
          <w:tcPr>
            <w:tcW w:w="4253"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112.</w:t>
            </w:r>
          </w:p>
        </w:tc>
        <w:tc>
          <w:tcPr>
            <w:tcW w:w="4253"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113.</w:t>
            </w:r>
          </w:p>
        </w:tc>
        <w:tc>
          <w:tcPr>
            <w:tcW w:w="4253"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114.</w:t>
            </w:r>
          </w:p>
        </w:tc>
        <w:tc>
          <w:tcPr>
            <w:tcW w:w="4253"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115.</w:t>
            </w:r>
          </w:p>
        </w:tc>
        <w:tc>
          <w:tcPr>
            <w:tcW w:w="4253"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116.</w:t>
            </w:r>
          </w:p>
        </w:tc>
        <w:tc>
          <w:tcPr>
            <w:tcW w:w="4253"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Heading"/>
        <w:spacing w:before="300"/>
        <w:rPr>
          <w:i/>
          <w:sz w:val="22"/>
        </w:rPr>
      </w:pPr>
      <w:r>
        <w:rPr>
          <w:i/>
          <w:sz w:val="22"/>
        </w:rPr>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 xml:space="preserve">Total cargo carrying capacity ........................................................... cubic metres </w:t>
      </w:r>
    </w:p>
    <w:p>
      <w:pPr>
        <w:pStyle w:val="MiscellaneousBody"/>
        <w:tabs>
          <w:tab w:val="left" w:leader="dot" w:pos="2552"/>
          <w:tab w:val="left" w:pos="2694"/>
          <w:tab w:val="left" w:leader="dot" w:pos="3969"/>
          <w:tab w:val="left" w:leader="dot" w:pos="5529"/>
          <w:tab w:val="left" w:pos="5670"/>
          <w:tab w:val="right" w:leader="dot" w:pos="7088"/>
        </w:tabs>
        <w:rPr>
          <w:sz w:val="22"/>
        </w:rPr>
      </w:pPr>
      <w:r>
        <w:rPr>
          <w:sz w:val="22"/>
        </w:rPr>
        <w:t>Voyage from ......................</w:t>
      </w:r>
      <w:r>
        <w:rPr>
          <w:sz w:val="22"/>
        </w:rPr>
        <w:tab/>
      </w:r>
      <w:r>
        <w:rPr>
          <w:sz w:val="22"/>
        </w:rPr>
        <w:tab/>
        <w:t xml:space="preserve">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t>(A)</w:t>
      </w:r>
      <w:r>
        <w:rPr>
          <w:i/>
          <w:sz w:val="22"/>
        </w:rPr>
        <w:t xml:space="preserve">  Crude oil washing</w:t>
      </w:r>
    </w:p>
    <w:tbl>
      <w:tblPr>
        <w:tblW w:w="0" w:type="auto"/>
        <w:tblInd w:w="120" w:type="dxa"/>
        <w:tblLayout w:type="fixed"/>
        <w:tblCellMar>
          <w:left w:w="120" w:type="dxa"/>
          <w:right w:w="120" w:type="dxa"/>
        </w:tblCellMar>
        <w:tblLook w:val="0000" w:firstRow="0" w:lastRow="0" w:firstColumn="0" w:lastColumn="0" w:noHBand="0" w:noVBand="0"/>
      </w:tblPr>
      <w:tblGrid>
        <w:gridCol w:w="4810"/>
        <w:gridCol w:w="596"/>
        <w:gridCol w:w="573"/>
        <w:gridCol w:w="542"/>
        <w:gridCol w:w="564"/>
      </w:tblGrid>
      <w:tr>
        <w:tc>
          <w:tcPr>
            <w:tcW w:w="4810"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96" w:type="dxa"/>
            <w:tcBorders>
              <w:top w:val="single" w:sz="7" w:space="0" w:color="auto"/>
              <w:left w:val="single" w:sz="7" w:space="0" w:color="auto"/>
              <w:bottom w:val="single" w:sz="7" w:space="0" w:color="auto"/>
            </w:tcBorders>
          </w:tcPr>
          <w:p>
            <w:pPr>
              <w:pStyle w:val="yTable"/>
              <w:rPr>
                <w:spacing w:val="-2"/>
              </w:rPr>
            </w:pPr>
          </w:p>
        </w:tc>
        <w:tc>
          <w:tcPr>
            <w:tcW w:w="573" w:type="dxa"/>
            <w:tcBorders>
              <w:top w:val="single" w:sz="7" w:space="0" w:color="auto"/>
              <w:left w:val="single" w:sz="7" w:space="0" w:color="auto"/>
              <w:bottom w:val="single" w:sz="7" w:space="0" w:color="auto"/>
            </w:tcBorders>
          </w:tcPr>
          <w:p>
            <w:pPr>
              <w:pStyle w:val="yTable"/>
              <w:rPr>
                <w:spacing w:val="-2"/>
              </w:rPr>
            </w:pPr>
          </w:p>
        </w:tc>
        <w:tc>
          <w:tcPr>
            <w:tcW w:w="542" w:type="dxa"/>
            <w:tcBorders>
              <w:top w:val="single" w:sz="7" w:space="0" w:color="auto"/>
              <w:left w:val="single" w:sz="7" w:space="0" w:color="auto"/>
              <w:bottom w:val="single" w:sz="7" w:space="0" w:color="auto"/>
            </w:tcBorders>
          </w:tcPr>
          <w:p>
            <w:pPr>
              <w:pStyle w:val="yTable"/>
              <w:rPr>
                <w:spacing w:val="-2"/>
              </w:rPr>
            </w:pPr>
          </w:p>
        </w:tc>
        <w:tc>
          <w:tcPr>
            <w:tcW w:w="564"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Body"/>
        <w:pageBreakBefore/>
        <w:spacing w:before="0" w:after="120"/>
        <w:rPr>
          <w:sz w:val="22"/>
        </w:rPr>
      </w:pPr>
      <w:r>
        <w:rPr>
          <w:sz w:val="22"/>
        </w:rPr>
        <w:t xml:space="preserve">(B)  </w:t>
      </w:r>
      <w:r>
        <w:rPr>
          <w:i/>
          <w:sz w:val="22"/>
        </w:rPr>
        <w:t>Water rinsing or flushing of tank bottoms</w:t>
      </w:r>
    </w:p>
    <w:tbl>
      <w:tblPr>
        <w:tblW w:w="0" w:type="auto"/>
        <w:tblInd w:w="120" w:type="dxa"/>
        <w:tblLayout w:type="fixed"/>
        <w:tblCellMar>
          <w:left w:w="120" w:type="dxa"/>
          <w:right w:w="120" w:type="dxa"/>
        </w:tblCellMar>
        <w:tblLook w:val="0000" w:firstRow="0" w:lastRow="0" w:firstColumn="0" w:lastColumn="0" w:noHBand="0" w:noVBand="0"/>
      </w:tblPr>
      <w:tblGrid>
        <w:gridCol w:w="4046"/>
        <w:gridCol w:w="705"/>
        <w:gridCol w:w="705"/>
        <w:gridCol w:w="781"/>
        <w:gridCol w:w="738"/>
      </w:tblGrid>
      <w:tr>
        <w:tc>
          <w:tcPr>
            <w:tcW w:w="4046"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873"/>
              </w:tabs>
              <w:ind w:left="556" w:hanging="556"/>
            </w:pPr>
            <w:r>
              <w:tab/>
              <w:t>(a)</w:t>
            </w:r>
            <w:r>
              <w:tab/>
              <w:t>reception facilities</w:t>
            </w:r>
          </w:p>
          <w:p>
            <w:pPr>
              <w:pStyle w:val="yTable"/>
              <w:tabs>
                <w:tab w:val="left" w:pos="589"/>
                <w:tab w:val="left" w:pos="873"/>
              </w:tabs>
              <w:ind w:left="556" w:hanging="556"/>
            </w:pPr>
            <w:r>
              <w:tab/>
              <w:t>(b)</w:t>
            </w:r>
            <w:r>
              <w:tab/>
              <w:t>slop tank(s) (identify slop tank(s))</w:t>
            </w:r>
          </w:p>
        </w:tc>
        <w:tc>
          <w:tcPr>
            <w:tcW w:w="705" w:type="dxa"/>
            <w:tcBorders>
              <w:top w:val="single" w:sz="7" w:space="0" w:color="auto"/>
              <w:left w:val="single" w:sz="7" w:space="0" w:color="auto"/>
              <w:bottom w:val="single" w:sz="7" w:space="0" w:color="auto"/>
            </w:tcBorders>
          </w:tcPr>
          <w:p>
            <w:pPr>
              <w:pStyle w:val="yTable"/>
            </w:pPr>
          </w:p>
        </w:tc>
        <w:tc>
          <w:tcPr>
            <w:tcW w:w="705" w:type="dxa"/>
            <w:tcBorders>
              <w:top w:val="single" w:sz="7" w:space="0" w:color="auto"/>
              <w:left w:val="single" w:sz="7" w:space="0" w:color="auto"/>
              <w:bottom w:val="single" w:sz="7" w:space="0" w:color="auto"/>
            </w:tcBorders>
          </w:tcPr>
          <w:p>
            <w:pPr>
              <w:pStyle w:val="yTable"/>
            </w:pPr>
          </w:p>
        </w:tc>
        <w:tc>
          <w:tcPr>
            <w:tcW w:w="781" w:type="dxa"/>
            <w:tcBorders>
              <w:top w:val="single" w:sz="7" w:space="0" w:color="auto"/>
              <w:left w:val="single" w:sz="7" w:space="0" w:color="auto"/>
              <w:bottom w:val="single" w:sz="7" w:space="0" w:color="auto"/>
            </w:tcBorders>
          </w:tcPr>
          <w:p>
            <w:pPr>
              <w:pStyle w:val="yTable"/>
            </w:pPr>
          </w:p>
        </w:tc>
        <w:tc>
          <w:tcPr>
            <w:tcW w:w="73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Heading"/>
        <w:pageBreakBefore/>
        <w:spacing w:before="0"/>
        <w:rPr>
          <w:i/>
          <w:sz w:val="22"/>
        </w:rPr>
      </w:pPr>
      <w:r>
        <w:rPr>
          <w:i/>
          <w:sz w:val="22"/>
        </w:rPr>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 </w:t>
      </w:r>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 </w:t>
      </w:r>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 xml:space="preserve">(A)  </w:t>
      </w:r>
      <w:r>
        <w:rPr>
          <w:i/>
          <w:sz w:val="22"/>
        </w:rPr>
        <w:t>Loading of ballast water</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402"/>
        <w:gridCol w:w="709"/>
        <w:gridCol w:w="709"/>
        <w:gridCol w:w="708"/>
        <w:gridCol w:w="739"/>
      </w:tblGrid>
      <w:tr>
        <w:tc>
          <w:tcPr>
            <w:tcW w:w="709" w:type="dxa"/>
            <w:tcBorders>
              <w:top w:val="single" w:sz="7" w:space="0" w:color="auto"/>
              <w:left w:val="single" w:sz="7" w:space="0" w:color="auto"/>
            </w:tcBorders>
          </w:tcPr>
          <w:p>
            <w:pPr>
              <w:pStyle w:val="yTable"/>
            </w:pPr>
            <w:r>
              <w:t>301.</w:t>
            </w:r>
          </w:p>
        </w:tc>
        <w:tc>
          <w:tcPr>
            <w:tcW w:w="3402"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302.</w:t>
            </w:r>
          </w:p>
        </w:tc>
        <w:tc>
          <w:tcPr>
            <w:tcW w:w="3402"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303.</w:t>
            </w:r>
          </w:p>
        </w:tc>
        <w:tc>
          <w:tcPr>
            <w:tcW w:w="3402"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304.</w:t>
            </w:r>
          </w:p>
        </w:tc>
        <w:tc>
          <w:tcPr>
            <w:tcW w:w="3402"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305.</w:t>
            </w:r>
          </w:p>
        </w:tc>
        <w:tc>
          <w:tcPr>
            <w:tcW w:w="3402"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306.</w:t>
            </w:r>
          </w:p>
        </w:tc>
        <w:tc>
          <w:tcPr>
            <w:tcW w:w="3402"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307.</w:t>
            </w:r>
          </w:p>
        </w:tc>
        <w:tc>
          <w:tcPr>
            <w:tcW w:w="3402"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402"/>
        <w:gridCol w:w="709"/>
        <w:gridCol w:w="709"/>
        <w:gridCol w:w="708"/>
        <w:gridCol w:w="709"/>
      </w:tblGrid>
      <w:tr>
        <w:tc>
          <w:tcPr>
            <w:tcW w:w="709" w:type="dxa"/>
            <w:tcBorders>
              <w:top w:val="single" w:sz="7" w:space="0" w:color="auto"/>
              <w:left w:val="single" w:sz="7" w:space="0" w:color="auto"/>
            </w:tcBorders>
          </w:tcPr>
          <w:p>
            <w:pPr>
              <w:pStyle w:val="yTable"/>
            </w:pPr>
            <w:r>
              <w:t>308.</w:t>
            </w:r>
          </w:p>
        </w:tc>
        <w:tc>
          <w:tcPr>
            <w:tcW w:w="3402"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309.</w:t>
            </w:r>
          </w:p>
        </w:tc>
        <w:tc>
          <w:tcPr>
            <w:tcW w:w="3402"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310.</w:t>
            </w:r>
          </w:p>
        </w:tc>
        <w:tc>
          <w:tcPr>
            <w:tcW w:w="3402"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370"/>
        <w:gridCol w:w="697"/>
        <w:gridCol w:w="753"/>
        <w:gridCol w:w="708"/>
        <w:gridCol w:w="848"/>
      </w:tblGrid>
      <w:tr>
        <w:tc>
          <w:tcPr>
            <w:tcW w:w="709" w:type="dxa"/>
            <w:tcBorders>
              <w:top w:val="single" w:sz="7" w:space="0" w:color="auto"/>
              <w:left w:val="single" w:sz="7" w:space="0" w:color="auto"/>
            </w:tcBorders>
          </w:tcPr>
          <w:p>
            <w:pPr>
              <w:pStyle w:val="yTable"/>
            </w:pPr>
            <w:r>
              <w:t>311.</w:t>
            </w:r>
          </w:p>
        </w:tc>
        <w:tc>
          <w:tcPr>
            <w:tcW w:w="3370" w:type="dxa"/>
            <w:tcBorders>
              <w:top w:val="single" w:sz="7" w:space="0" w:color="auto"/>
              <w:left w:val="single" w:sz="7" w:space="0" w:color="auto"/>
            </w:tcBorders>
          </w:tcPr>
          <w:p>
            <w:pPr>
              <w:pStyle w:val="yTable"/>
            </w:pPr>
            <w:r>
              <w:t>Date and port(s) where ballast water was discharged</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312.</w:t>
            </w:r>
          </w:p>
        </w:tc>
        <w:tc>
          <w:tcPr>
            <w:tcW w:w="3370" w:type="dxa"/>
            <w:tcBorders>
              <w:top w:val="single" w:sz="7" w:space="0" w:color="auto"/>
              <w:left w:val="single" w:sz="7" w:space="0" w:color="auto"/>
            </w:tcBorders>
          </w:tcPr>
          <w:p>
            <w:pPr>
              <w:pStyle w:val="yTable"/>
            </w:pPr>
            <w:r>
              <w:t>Name or designation of reception facility</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313.</w:t>
            </w:r>
          </w:p>
        </w:tc>
        <w:tc>
          <w:tcPr>
            <w:tcW w:w="3370" w:type="dxa"/>
            <w:tcBorders>
              <w:top w:val="single" w:sz="7" w:space="0" w:color="auto"/>
              <w:left w:val="single" w:sz="7" w:space="0" w:color="auto"/>
            </w:tcBorders>
          </w:tcPr>
          <w:p>
            <w:pPr>
              <w:pStyle w:val="yTable"/>
            </w:pPr>
            <w:r>
              <w:t>Total quantity of ballast water discharged in cubic metres</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314.</w:t>
            </w:r>
          </w:p>
        </w:tc>
        <w:tc>
          <w:tcPr>
            <w:tcW w:w="3370" w:type="dxa"/>
            <w:tcBorders>
              <w:top w:val="single" w:sz="7" w:space="0" w:color="auto"/>
              <w:left w:val="single" w:sz="7" w:space="0" w:color="auto"/>
            </w:tcBorders>
          </w:tcPr>
          <w:p>
            <w:pPr>
              <w:pStyle w:val="yTable"/>
            </w:pPr>
            <w:r>
              <w:t>Method of calculating ballast quantity</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315.</w:t>
            </w:r>
          </w:p>
        </w:tc>
        <w:tc>
          <w:tcPr>
            <w:tcW w:w="3370" w:type="dxa"/>
            <w:tcBorders>
              <w:top w:val="single" w:sz="7" w:space="0" w:color="auto"/>
              <w:left w:val="single" w:sz="7" w:space="0" w:color="auto"/>
            </w:tcBorders>
          </w:tcPr>
          <w:p>
            <w:pPr>
              <w:pStyle w:val="yTable"/>
            </w:pPr>
            <w:r>
              <w:t>Date and signature of officer in charge</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316.</w:t>
            </w:r>
          </w:p>
        </w:tc>
        <w:tc>
          <w:tcPr>
            <w:tcW w:w="3370" w:type="dxa"/>
            <w:tcBorders>
              <w:top w:val="single" w:sz="7" w:space="0" w:color="auto"/>
              <w:left w:val="single" w:sz="7" w:space="0" w:color="auto"/>
            </w:tcBorders>
          </w:tcPr>
          <w:p>
            <w:pPr>
              <w:pStyle w:val="yTable"/>
            </w:pPr>
            <w:r>
              <w:t>Date and signature of Master</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317.</w:t>
            </w:r>
          </w:p>
        </w:tc>
        <w:tc>
          <w:tcPr>
            <w:tcW w:w="3370"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697" w:type="dxa"/>
            <w:tcBorders>
              <w:top w:val="single" w:sz="7" w:space="0" w:color="auto"/>
              <w:left w:val="single" w:sz="7" w:space="0" w:color="auto"/>
              <w:bottom w:val="single" w:sz="7" w:space="0" w:color="auto"/>
            </w:tcBorders>
          </w:tcPr>
          <w:p>
            <w:pPr>
              <w:pStyle w:val="yTable"/>
            </w:pPr>
          </w:p>
        </w:tc>
        <w:tc>
          <w:tcPr>
            <w:tcW w:w="753"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252" w:name="_Toc527777305"/>
      <w:bookmarkStart w:id="253" w:name="_Toc103143848"/>
      <w:bookmarkStart w:id="254" w:name="_Toc267925802"/>
      <w:bookmarkStart w:id="255" w:name="_Toc268185882"/>
      <w:bookmarkStart w:id="256" w:name="_Toc268617516"/>
      <w:bookmarkStart w:id="257" w:name="_Toc272309060"/>
      <w:r>
        <w:rPr>
          <w:rStyle w:val="CharSchNo"/>
        </w:rPr>
        <w:t>Schedule 3</w:t>
      </w:r>
      <w:bookmarkEnd w:id="252"/>
      <w:bookmarkEnd w:id="253"/>
      <w:bookmarkEnd w:id="254"/>
      <w:r>
        <w:t> — </w:t>
      </w:r>
      <w:r>
        <w:rPr>
          <w:rStyle w:val="CharSchText"/>
        </w:rPr>
        <w:t>1984 amendments to annex to Protocol</w:t>
      </w:r>
      <w:bookmarkEnd w:id="255"/>
      <w:bookmarkEnd w:id="256"/>
      <w:bookmarkEnd w:id="257"/>
    </w:p>
    <w:p>
      <w:pPr>
        <w:pStyle w:val="yShoulderClause"/>
      </w:pPr>
      <w:r>
        <w:t>[s. 3]</w:t>
      </w:r>
    </w:p>
    <w:p>
      <w:pPr>
        <w:pStyle w:val="yFootnoteheading"/>
      </w:pPr>
      <w:r>
        <w:tab/>
        <w:t>[Heading amended by No. 19 of 2010 s. 4.]</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 ADOPTS in accordance with article 16(2)(d) of the 1973 Convention amendments to the Annex of the 1978 Protocol, the text of which is set out in the Annex to the present resolution;</w:t>
      </w:r>
    </w:p>
    <w:p>
      <w:pPr>
        <w:pStyle w:val="MiscellaneousBody"/>
        <w:rPr>
          <w:sz w:val="22"/>
        </w:rPr>
      </w:pPr>
      <w:r>
        <w:rPr>
          <w:sz w:val="22"/>
        </w:rPr>
        <w:t>2. 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 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 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 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 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 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rPr>
          <w:b/>
          <w:sz w:val="22"/>
        </w:rPr>
      </w:pPr>
      <w:r>
        <w:rPr>
          <w:b/>
          <w:sz w:val="22"/>
        </w:rPr>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 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 Subject to the provisions of Regulation 11 of this Annex:</w:t>
      </w:r>
    </w:p>
    <w:p>
      <w:pPr>
        <w:pStyle w:val="ySubsection"/>
        <w:spacing w:before="100"/>
      </w:pPr>
      <w:r>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(b)</w:t>
      </w:r>
      <w:r>
        <w:tab/>
        <w:t>The oil residues which cannot be discharged into the sea in compliance with paragraph (2) or (3) of this Regulation shall be retained on board or discharged to reception facilities.”</w:t>
      </w:r>
    </w:p>
    <w:p>
      <w:pPr>
        <w:pStyle w:val="MiscellaneousHeading"/>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 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 xml:space="preserve">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 </w:t>
      </w:r>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 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 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 All ships other than those subject to paragraph (4) of this Regulation shall comply with the provisions of that paragraph, as far as is reasonable and practicable.”</w:t>
      </w:r>
    </w:p>
    <w:p>
      <w:pPr>
        <w:pStyle w:val="MiscellaneousHeading"/>
        <w:rPr>
          <w:b/>
          <w:sz w:val="22"/>
        </w:rPr>
      </w:pPr>
      <w:r>
        <w:rPr>
          <w:b/>
          <w:sz w:val="22"/>
        </w:rPr>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 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rPr>
          <w:b/>
          <w:sz w:val="22"/>
        </w:rPr>
      </w:pPr>
      <w:r>
        <w:rPr>
          <w:b/>
          <w:sz w:val="22"/>
        </w:rPr>
        <w:t>Regulation 16</w:t>
      </w:r>
    </w:p>
    <w:p>
      <w:pPr>
        <w:pStyle w:val="MiscellaneousBody"/>
        <w:keepNext/>
        <w:rPr>
          <w:i/>
          <w:sz w:val="22"/>
        </w:rPr>
      </w:pPr>
      <w:r>
        <w:rPr>
          <w:i/>
          <w:sz w:val="22"/>
        </w:rPr>
        <w:t>The existing text of Regulation 16 is replaced by the following:</w:t>
      </w:r>
    </w:p>
    <w:p>
      <w:pPr>
        <w:pStyle w:val="MiscellaneousBody"/>
        <w:jc w:val="center"/>
        <w:rPr>
          <w:i/>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 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 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 For existing ships the requirements of paragraphs (1), (2) and (3) of this Regulation shall apply three years after the date of entry into force of the present Convention.</w:t>
      </w:r>
    </w:p>
    <w:p>
      <w:pPr>
        <w:pStyle w:val="MiscellaneousBody"/>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design of such equipment, the Administration shall have regard to the specification recommended by the Organization.*</w:t>
      </w:r>
    </w:p>
    <w:p>
      <w:pPr>
        <w:pStyle w:val="MiscellaneousBody"/>
        <w:rPr>
          <w:sz w:val="22"/>
        </w:rPr>
      </w:pPr>
      <w:r>
        <w:rPr>
          <w:sz w:val="22"/>
        </w:rPr>
        <w:t>(7) 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(3) In new oil tankers means shall be provided for stopping the discharge into the sea of ballast water or oil contaminated water from cargo tank areas, other 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 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rPr>
          <w:sz w:val="22"/>
        </w:rPr>
        <w:t xml:space="preserve">(5) Every existing crude oil tanker required to be provided with segregated ballast tanks, or to be fitted with a crude oil washing system, or to operate with dedicated clean ballast tanks, shall comply with the provisions of paragraph (4)(b) of this Regulation. </w:t>
      </w:r>
    </w:p>
    <w:p>
      <w:pPr>
        <w:pStyle w:val="MiscellaneousBody"/>
        <w:rPr>
          <w:sz w:val="22"/>
        </w:rPr>
      </w:pPr>
      <w:r>
        <w:rPr>
          <w:sz w:val="22"/>
        </w:rPr>
        <w:t>(6) 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Existing oil tankers which, without modification, are not capable of discharging segregated ballast above the waterline may discharge 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t>“(1) 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 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t>“Each completed operation shall be signed by the officer or officers in charge of the operations concerned and each completed page shall be signed by the master of the ship.”</w:t>
      </w:r>
    </w:p>
    <w:p>
      <w:pPr>
        <w:pStyle w:val="MiscellaneousBody"/>
        <w:rPr>
          <w:i/>
          <w:sz w:val="22"/>
        </w:rPr>
      </w:pPr>
      <w:r>
        <w:rPr>
          <w:i/>
          <w:sz w:val="22"/>
        </w:rPr>
        <w:t>The following new paragraph is added to the existing text:</w:t>
      </w:r>
    </w:p>
    <w:p>
      <w:pPr>
        <w:pStyle w:val="MiscellaneousBody"/>
        <w:rPr>
          <w:sz w:val="22"/>
        </w:rPr>
      </w:pPr>
      <w:r>
        <w:rPr>
          <w:sz w:val="22"/>
        </w:rPr>
        <w:t>“(7) For oil tankers of less than 150 tons gross tonnage operating in accordance with Regulation 15(4) of this Annex an appropriate Oil Record Book should be developed by the Administration.”</w:t>
      </w:r>
    </w:p>
    <w:p>
      <w:pPr>
        <w:pStyle w:val="MiscellaneousHeading"/>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607"/>
                <w:tab w:val="left" w:pos="890"/>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607"/>
                <w:tab w:val="left" w:pos="890"/>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paragraphs (a), (b)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 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r>
        <w:rPr>
          <w:sz w:val="22"/>
        </w:rPr>
        <w:fldChar w:fldCharType="begin"/>
      </w:r>
      <w:r>
        <w:rPr>
          <w:sz w:val="22"/>
        </w:rPr>
        <w:instrText>ADVANCE \R 14.15</w:instrText>
      </w:r>
      <w:r>
        <w:rPr>
          <w:sz w:val="22"/>
        </w:rPr>
        <w:fldChar w:fldCharType="end"/>
      </w:r>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pPr>
      <w:r>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r>
        <w:fldChar w:fldCharType="begin"/>
      </w:r>
      <w:r>
        <w:instrText>ADVANCE \R 28.30</w:instrText>
      </w:r>
      <w:r>
        <w:fldChar w:fldCharType="end"/>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r>
        <w:fldChar w:fldCharType="begin"/>
      </w:r>
      <w:r>
        <w:instrText>ADVANCE \R 14.15</w:instrText>
      </w:r>
      <w:r>
        <w:fldChar w:fldCharType="end"/>
      </w:r>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 xml:space="preserve">above equipment until .................... </w:t>
      </w:r>
      <w:r>
        <w:br/>
        <w:t>19.............</w:t>
      </w:r>
      <w:r>
        <w:rPr>
          <w:rStyle w:val="FootnoteReference"/>
          <w:sz w:val="22"/>
          <w:vertAlign w:val="baseline"/>
        </w:rPr>
        <w:footnoteReference w:customMarkFollows="1" w:id="31"/>
        <w:t>*</w:t>
      </w:r>
      <w:r>
        <w:t xml:space="preserve"> 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Exemptions have been granted by the Administration from the</w:t>
      </w:r>
      <w:r>
        <w:br/>
        <w:t>requirements of Chapter II of Annex I of the Convention in</w:t>
      </w:r>
      <w:r>
        <w:br/>
        <w:t>accordance with Regulation 2(4)(a) on those items listed under</w:t>
      </w:r>
      <w:r>
        <w:br/>
        <w:t xml:space="preserve">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Equivalents have been approved by the Administration for certain</w:t>
      </w:r>
      <w:r>
        <w:br/>
        <w:t xml:space="preserve">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tab/>
        <w:t>1.6</w:t>
      </w:r>
      <w:r>
        <w:tab/>
        <w:t xml:space="preserve">Deadweight of ship ............................(metric tons) (Regulation 1(22)) </w:t>
      </w:r>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2268"/>
        <w:gridCol w:w="1701"/>
        <w:gridCol w:w="1843"/>
      </w:tblGrid>
      <w:tr>
        <w:tc>
          <w:tcPr>
            <w:tcW w:w="1276" w:type="dxa"/>
          </w:tcPr>
          <w:p>
            <w:pPr>
              <w:pStyle w:val="yTable"/>
              <w:jc w:val="center"/>
            </w:pPr>
            <w:r>
              <w:t>Tank</w:t>
            </w:r>
          </w:p>
        </w:tc>
        <w:tc>
          <w:tcPr>
            <w:tcW w:w="2268" w:type="dxa"/>
          </w:tcPr>
          <w:p>
            <w:pPr>
              <w:pStyle w:val="yTable"/>
              <w:jc w:val="center"/>
            </w:pPr>
            <w:r>
              <w:t>Volume (m</w:t>
            </w:r>
            <w:r>
              <w:rPr>
                <w:vertAlign w:val="superscript"/>
              </w:rPr>
              <w:t>3</w:t>
            </w:r>
            <w:r>
              <w:t>)</w:t>
            </w:r>
          </w:p>
        </w:tc>
        <w:tc>
          <w:tcPr>
            <w:tcW w:w="1701" w:type="dxa"/>
          </w:tcPr>
          <w:p>
            <w:pPr>
              <w:pStyle w:val="yTable"/>
              <w:jc w:val="center"/>
            </w:pPr>
            <w:r>
              <w:t>Tank</w:t>
            </w:r>
          </w:p>
        </w:tc>
        <w:tc>
          <w:tcPr>
            <w:tcW w:w="1843" w:type="dxa"/>
          </w:tcPr>
          <w:p>
            <w:pPr>
              <w:pStyle w:val="yTable"/>
              <w:jc w:val="center"/>
            </w:pPr>
            <w:r>
              <w:t>Volume (m</w:t>
            </w:r>
            <w:r>
              <w:rPr>
                <w:vertAlign w:val="superscript"/>
              </w:rPr>
              <w:t>3</w:t>
            </w:r>
            <w:r>
              <w:t>)</w:t>
            </w:r>
          </w:p>
        </w:tc>
      </w:tr>
      <w:tr>
        <w:tc>
          <w:tcPr>
            <w:tcW w:w="1276" w:type="dxa"/>
            <w:tcBorders>
              <w:bottom w:val="nil"/>
            </w:tcBorders>
          </w:tcPr>
          <w:p>
            <w:pPr>
              <w:pStyle w:val="yTable"/>
            </w:pPr>
          </w:p>
          <w:p>
            <w:pPr>
              <w:pStyle w:val="yTable"/>
            </w:pPr>
          </w:p>
          <w:p>
            <w:pPr>
              <w:pStyle w:val="yTable"/>
            </w:pPr>
          </w:p>
          <w:p>
            <w:pPr>
              <w:pStyle w:val="yTable"/>
            </w:pPr>
          </w:p>
        </w:tc>
        <w:tc>
          <w:tcPr>
            <w:tcW w:w="2268" w:type="dxa"/>
            <w:tcBorders>
              <w:bottom w:val="nil"/>
            </w:tcBorders>
          </w:tcPr>
          <w:p>
            <w:pPr>
              <w:pStyle w:val="yTable"/>
            </w:pPr>
          </w:p>
        </w:tc>
        <w:tc>
          <w:tcPr>
            <w:tcW w:w="1701" w:type="dxa"/>
          </w:tcPr>
          <w:p>
            <w:pPr>
              <w:pStyle w:val="yTable"/>
            </w:pPr>
          </w:p>
          <w:p>
            <w:pPr>
              <w:pStyle w:val="yTable"/>
            </w:pPr>
          </w:p>
          <w:p>
            <w:pPr>
              <w:pStyle w:val="yTable"/>
            </w:pPr>
          </w:p>
        </w:tc>
        <w:tc>
          <w:tcPr>
            <w:tcW w:w="1843" w:type="dxa"/>
          </w:tcPr>
          <w:p>
            <w:pPr>
              <w:pStyle w:val="yTable"/>
            </w:pPr>
          </w:p>
        </w:tc>
      </w:tr>
      <w:tr>
        <w:tc>
          <w:tcPr>
            <w:tcW w:w="1276" w:type="dxa"/>
            <w:tcBorders>
              <w:top w:val="nil"/>
            </w:tcBorders>
          </w:tcPr>
          <w:p>
            <w:pPr>
              <w:pStyle w:val="yTable"/>
            </w:pPr>
          </w:p>
        </w:tc>
        <w:tc>
          <w:tcPr>
            <w:tcW w:w="2268" w:type="dxa"/>
            <w:tcBorders>
              <w:top w:val="nil"/>
            </w:tcBorders>
          </w:tcPr>
          <w:p>
            <w:pPr>
              <w:pStyle w:val="yTable"/>
            </w:pPr>
          </w:p>
        </w:tc>
        <w:tc>
          <w:tcPr>
            <w:tcW w:w="1701" w:type="dxa"/>
          </w:tcPr>
          <w:p>
            <w:pPr>
              <w:pStyle w:val="yTable"/>
              <w:jc w:val="center"/>
            </w:pPr>
            <w:r>
              <w:t>Total</w:t>
            </w:r>
          </w:p>
        </w:tc>
        <w:tc>
          <w:tcPr>
            <w:tcW w:w="1843" w:type="dxa"/>
          </w:tcPr>
          <w:p>
            <w:pPr>
              <w:pStyle w:val="yTable"/>
            </w:pPr>
          </w:p>
        </w:tc>
      </w:tr>
    </w:tbl>
    <w:p>
      <w:pPr>
        <w:pStyle w:val="ySubsection"/>
        <w:keepNext/>
      </w:pPr>
      <w:r>
        <w:tab/>
        <w:t>5.3</w:t>
      </w:r>
      <w:r>
        <w:tab/>
        <w:t>Dedicated clean ballast tanks (CBT)</w:t>
      </w:r>
    </w:p>
    <w:p>
      <w:pPr>
        <w:pStyle w:val="yIndenta"/>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2268"/>
        <w:gridCol w:w="1701"/>
        <w:gridCol w:w="1843"/>
      </w:tblGrid>
      <w:tr>
        <w:trPr>
          <w:cantSplit/>
        </w:trPr>
        <w:tc>
          <w:tcPr>
            <w:tcW w:w="1276" w:type="dxa"/>
          </w:tcPr>
          <w:p>
            <w:pPr>
              <w:pStyle w:val="yTable"/>
              <w:keepNext/>
              <w:keepLines/>
              <w:jc w:val="center"/>
            </w:pPr>
            <w:r>
              <w:t>Tank</w:t>
            </w:r>
          </w:p>
        </w:tc>
        <w:tc>
          <w:tcPr>
            <w:tcW w:w="2268" w:type="dxa"/>
          </w:tcPr>
          <w:p>
            <w:pPr>
              <w:pStyle w:val="yTable"/>
              <w:keepNext/>
              <w:keepLines/>
              <w:jc w:val="center"/>
            </w:pPr>
            <w:r>
              <w:t>Volume (m</w:t>
            </w:r>
            <w:r>
              <w:rPr>
                <w:vertAlign w:val="superscript"/>
              </w:rPr>
              <w:t>3</w:t>
            </w:r>
            <w:r>
              <w:t>)</w:t>
            </w:r>
          </w:p>
        </w:tc>
        <w:tc>
          <w:tcPr>
            <w:tcW w:w="1701" w:type="dxa"/>
          </w:tcPr>
          <w:p>
            <w:pPr>
              <w:pStyle w:val="yTable"/>
              <w:keepNext/>
              <w:keepLines/>
              <w:jc w:val="center"/>
            </w:pPr>
            <w:r>
              <w:t>Tank</w:t>
            </w:r>
          </w:p>
        </w:tc>
        <w:tc>
          <w:tcPr>
            <w:tcW w:w="1843" w:type="dxa"/>
          </w:tcPr>
          <w:p>
            <w:pPr>
              <w:pStyle w:val="yTable"/>
              <w:keepNext/>
              <w:keepLines/>
              <w:jc w:val="center"/>
            </w:pPr>
            <w:r>
              <w:t>Volume (m</w:t>
            </w:r>
            <w:r>
              <w:rPr>
                <w:vertAlign w:val="superscript"/>
              </w:rPr>
              <w:t>3</w:t>
            </w:r>
            <w:r>
              <w:t>)</w:t>
            </w:r>
          </w:p>
        </w:tc>
      </w:tr>
      <w:tr>
        <w:trPr>
          <w:cantSplit/>
        </w:trPr>
        <w:tc>
          <w:tcPr>
            <w:tcW w:w="1276" w:type="dxa"/>
            <w:tcBorders>
              <w:bottom w:val="nil"/>
            </w:tcBorders>
          </w:tcPr>
          <w:p>
            <w:pPr>
              <w:pStyle w:val="yTable"/>
              <w:keepNext/>
              <w:keepLines/>
            </w:pPr>
          </w:p>
        </w:tc>
        <w:tc>
          <w:tcPr>
            <w:tcW w:w="2268" w:type="dxa"/>
            <w:tcBorders>
              <w:bottom w:val="nil"/>
            </w:tcBorders>
          </w:tcPr>
          <w:p>
            <w:pPr>
              <w:pStyle w:val="yTable"/>
              <w:keepNext/>
              <w:keepLines/>
            </w:pPr>
          </w:p>
        </w:tc>
        <w:tc>
          <w:tcPr>
            <w:tcW w:w="1701" w:type="dxa"/>
          </w:tcPr>
          <w:p>
            <w:pPr>
              <w:pStyle w:val="yTable"/>
              <w:keepNext/>
              <w:keepLines/>
            </w:pPr>
          </w:p>
          <w:p>
            <w:pPr>
              <w:pStyle w:val="yTable"/>
              <w:keepNext/>
              <w:keepLines/>
            </w:pPr>
          </w:p>
          <w:p>
            <w:pPr>
              <w:pStyle w:val="yTable"/>
              <w:keepNext/>
              <w:keepLines/>
            </w:pPr>
          </w:p>
        </w:tc>
        <w:tc>
          <w:tcPr>
            <w:tcW w:w="1843" w:type="dxa"/>
          </w:tcPr>
          <w:p>
            <w:pPr>
              <w:pStyle w:val="yTable"/>
              <w:keepNext/>
              <w:keepLines/>
            </w:pPr>
          </w:p>
        </w:tc>
      </w:tr>
      <w:tr>
        <w:trPr>
          <w:cantSplit/>
        </w:trPr>
        <w:tc>
          <w:tcPr>
            <w:tcW w:w="1276" w:type="dxa"/>
            <w:tcBorders>
              <w:top w:val="nil"/>
            </w:tcBorders>
          </w:tcPr>
          <w:p>
            <w:pPr>
              <w:pStyle w:val="yTable"/>
              <w:keepNext/>
              <w:keepLines/>
            </w:pPr>
          </w:p>
        </w:tc>
        <w:tc>
          <w:tcPr>
            <w:tcW w:w="2268" w:type="dxa"/>
            <w:tcBorders>
              <w:top w:val="nil"/>
            </w:tcBorders>
          </w:tcPr>
          <w:p>
            <w:pPr>
              <w:pStyle w:val="yTable"/>
              <w:keepNext/>
              <w:keepLines/>
            </w:pPr>
          </w:p>
        </w:tc>
        <w:tc>
          <w:tcPr>
            <w:tcW w:w="1701" w:type="dxa"/>
          </w:tcPr>
          <w:p>
            <w:pPr>
              <w:pStyle w:val="yTable"/>
              <w:keepNext/>
              <w:keepLines/>
              <w:jc w:val="center"/>
            </w:pPr>
            <w:r>
              <w:t>Total</w:t>
            </w:r>
          </w:p>
        </w:tc>
        <w:tc>
          <w:tcPr>
            <w:tcW w:w="1843"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r>
        <w:fldChar w:fldCharType="begin"/>
      </w:r>
      <w:r>
        <w:instrText>ADVANCE \R 28.30</w:instrText>
      </w:r>
      <w:r>
        <w:fldChar w:fldCharType="end"/>
      </w:r>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r>
        <w:fldChar w:fldCharType="begin"/>
      </w:r>
      <w:r>
        <w:instrText>ADVANCE \R 42.45</w:instrText>
      </w:r>
      <w:r>
        <w:fldChar w:fldCharType="end"/>
      </w:r>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sz w:val="22"/>
        </w:rPr>
      </w:pPr>
      <w:r>
        <w:rPr>
          <w:sz w:val="22"/>
        </w:rPr>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pPr>
      <w:r>
        <w:tab/>
        <w:t>1.</w:t>
      </w:r>
      <w:r>
        <w:tab/>
        <w:t>Identity of tank(s) ballasted.</w:t>
      </w:r>
    </w:p>
    <w:p>
      <w:pPr>
        <w:pStyle w:val="ySubsection"/>
      </w:pPr>
      <w:r>
        <w:tab/>
        <w:t>2.</w:t>
      </w:r>
      <w:r>
        <w:tab/>
        <w:t>Whether cleaned since they last contained oil and, if not, type of oil previously carried.</w:t>
      </w:r>
    </w:p>
    <w:p>
      <w:pPr>
        <w:pStyle w:val="ySubsection"/>
      </w:pPr>
      <w:r>
        <w:tab/>
        <w:t>3.</w:t>
      </w:r>
      <w:r>
        <w:tab/>
        <w:t>Position of ship at start of cleaning.</w:t>
      </w:r>
    </w:p>
    <w:p>
      <w:pPr>
        <w:pStyle w:val="ySubsection"/>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pPr>
      <w:r>
        <w:tab/>
        <w:t>5.</w:t>
      </w:r>
      <w:r>
        <w:tab/>
        <w:t>Identity of tank(s).</w:t>
      </w:r>
    </w:p>
    <w:p>
      <w:pPr>
        <w:pStyle w:val="ySubsection"/>
      </w:pPr>
      <w:r>
        <w:tab/>
        <w:t>6.</w:t>
      </w:r>
      <w:r>
        <w:tab/>
        <w:t>Position of ship at start of discharge.</w:t>
      </w:r>
    </w:p>
    <w:p>
      <w:pPr>
        <w:pStyle w:val="ySubsection"/>
      </w:pPr>
      <w:r>
        <w:tab/>
        <w:t>7.</w:t>
      </w:r>
      <w:r>
        <w:tab/>
        <w:t>Position of ship on completion of discharge.</w:t>
      </w:r>
    </w:p>
    <w:p>
      <w:pPr>
        <w:pStyle w:val="ySubsection"/>
      </w:pPr>
      <w:r>
        <w:tab/>
        <w:t>8.</w:t>
      </w:r>
      <w:r>
        <w:tab/>
        <w:t>Ship’s speed(s) during discharge.</w:t>
      </w:r>
    </w:p>
    <w:p>
      <w:pPr>
        <w:pStyle w:val="ySubsection"/>
      </w:pPr>
      <w:r>
        <w:tab/>
        <w:t>9.</w:t>
      </w:r>
      <w:r>
        <w:tab/>
        <w:t>Method of discharge:</w:t>
      </w:r>
      <w:r>
        <w:br/>
        <w:t>.1 Through 100 ppm equipment;</w:t>
      </w:r>
      <w:r>
        <w:br/>
        <w:t>.2 Through 15 ppm equipment;</w:t>
      </w:r>
      <w:r>
        <w:br/>
        <w:t>.3 To reception facilities.</w:t>
      </w:r>
    </w:p>
    <w:p>
      <w:pPr>
        <w:pStyle w:val="ySubsection"/>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pPr>
      <w:r>
        <w:tab/>
        <w:t>11.</w:t>
      </w:r>
      <w:r>
        <w:tab/>
        <w:t>Quantity of residue retained on board for disposal.</w:t>
      </w:r>
    </w:p>
    <w:p>
      <w:pPr>
        <w:pStyle w:val="ySubsection"/>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tabs>
          <w:tab w:val="left" w:pos="426"/>
        </w:tabs>
        <w:ind w:left="426" w:hanging="426"/>
        <w:rPr>
          <w:sz w:val="22"/>
        </w:rPr>
      </w:pPr>
      <w:r>
        <w:rPr>
          <w:sz w:val="22"/>
        </w:rPr>
        <w:t>(D)</w:t>
      </w:r>
      <w:r>
        <w:rPr>
          <w:i/>
          <w:sz w:val="22"/>
        </w:rPr>
        <w:tab/>
        <w:t>NON</w:t>
      </w:r>
      <w:r>
        <w:rPr>
          <w:i/>
          <w:sz w:val="22"/>
        </w:rPr>
        <w:noBreakHyphen/>
        <w:t>AUTOMATIC DISCHARGE OVERBOARD OR DISPOSAL OTHERWISE OF BILGE WATER WHICH HAS ACCUMULATED IN MACHINERY SPACES</w:t>
      </w:r>
    </w:p>
    <w:p>
      <w:pPr>
        <w:pStyle w:val="ySubsection"/>
      </w:pPr>
      <w:r>
        <w:tab/>
        <w:t>13.</w:t>
      </w:r>
      <w:r>
        <w:tab/>
        <w:t>Quantity discharged.</w:t>
      </w:r>
    </w:p>
    <w:p>
      <w:pPr>
        <w:pStyle w:val="ySubsection"/>
      </w:pPr>
      <w:r>
        <w:tab/>
        <w:t>14.</w:t>
      </w:r>
      <w:r>
        <w:tab/>
        <w:t>Time of discharge.</w:t>
      </w:r>
    </w:p>
    <w:p>
      <w:pPr>
        <w:pStyle w:val="ySubsection"/>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spacing w:before="80"/>
      </w:pPr>
      <w:r>
        <w:tab/>
        <w:t>16.</w:t>
      </w:r>
      <w:r>
        <w:tab/>
        <w:t>Time when the system has been put into automatic mode of operation for discharge overboard.</w:t>
      </w:r>
    </w:p>
    <w:p>
      <w:pPr>
        <w:pStyle w:val="ySubsection"/>
        <w:spacing w:before="80"/>
      </w:pPr>
      <w:r>
        <w:tab/>
        <w:t>17.</w:t>
      </w:r>
      <w:r>
        <w:tab/>
        <w:t>Time when the system has been put into automatic mode of operation for transfer of bilge water to collecting (slop) tank (identify tank).</w:t>
      </w:r>
    </w:p>
    <w:p>
      <w:pPr>
        <w:pStyle w:val="ySubsection"/>
        <w:spacing w:before="80"/>
      </w:pPr>
      <w:r>
        <w:tab/>
        <w:t>18.</w:t>
      </w:r>
      <w:r>
        <w:tab/>
        <w:t>Time when the system has been put to manual operation.</w:t>
      </w:r>
    </w:p>
    <w:p>
      <w:pPr>
        <w:pStyle w:val="ySubsection"/>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spacing w:before="80"/>
      </w:pPr>
      <w:r>
        <w:tab/>
        <w:t>20.</w:t>
      </w:r>
      <w:r>
        <w:tab/>
        <w:t>Time of system failure.</w:t>
      </w:r>
    </w:p>
    <w:p>
      <w:pPr>
        <w:pStyle w:val="ySubsection"/>
        <w:spacing w:before="80"/>
      </w:pPr>
      <w:r>
        <w:tab/>
        <w:t>21.</w:t>
      </w:r>
      <w:r>
        <w:tab/>
        <w:t>Time when system has been made operational.</w:t>
      </w:r>
    </w:p>
    <w:p>
      <w:pPr>
        <w:pStyle w:val="ySubsection"/>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spacing w:before="80"/>
      </w:pPr>
      <w:r>
        <w:tab/>
        <w:t>23.</w:t>
      </w:r>
      <w:r>
        <w:tab/>
        <w:t>Time of occurrence.</w:t>
      </w:r>
    </w:p>
    <w:p>
      <w:pPr>
        <w:pStyle w:val="ySubsection"/>
        <w:spacing w:before="80"/>
      </w:pPr>
      <w:r>
        <w:tab/>
        <w:t>24.</w:t>
      </w:r>
      <w:r>
        <w:tab/>
        <w:t>Place or position of ship at time of occurrence.</w:t>
      </w:r>
    </w:p>
    <w:p>
      <w:pPr>
        <w:pStyle w:val="ySubsection"/>
        <w:spacing w:before="80"/>
      </w:pPr>
      <w:r>
        <w:tab/>
        <w:t>25.</w:t>
      </w:r>
      <w:r>
        <w:tab/>
        <w:t>Approximate quantity and type of oil.</w:t>
      </w:r>
    </w:p>
    <w:p>
      <w:pPr>
        <w:pStyle w:val="ySubsection"/>
        <w:spacing w:before="80"/>
      </w:pPr>
      <w:r>
        <w:tab/>
        <w:t>26.</w:t>
      </w:r>
      <w:r>
        <w:tab/>
        <w:t>Circumstances of discharge or escape, the reasons therefor and general remarks.</w:t>
      </w:r>
    </w:p>
    <w:p>
      <w:pPr>
        <w:pStyle w:val="MiscellaneousBody"/>
        <w:ind w:left="426" w:hanging="426"/>
        <w:rPr>
          <w:sz w:val="22"/>
        </w:rPr>
      </w:pPr>
      <w:r>
        <w:rPr>
          <w:sz w:val="22"/>
        </w:rPr>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 xml:space="preserve">Signature of Master .................................... </w:t>
      </w:r>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sz w:val="2"/>
        </w:rPr>
      </w:pPr>
      <w:r>
        <w:rPr>
          <w:noProof/>
          <w:lang w:eastAsia="en-AU"/>
        </w:rPr>
        <w:drawing>
          <wp:inline distT="0" distB="0" distL="0" distR="0">
            <wp:extent cx="4184015" cy="4856480"/>
            <wp:effectExtent l="0" t="0" r="698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p>
    <w:p>
      <w:pPr>
        <w:pStyle w:val="MiscellaneousHeading"/>
        <w:rPr>
          <w:b/>
          <w:sz w:val="22"/>
        </w:rPr>
      </w:pPr>
      <w:r>
        <w:rPr>
          <w:b/>
          <w:sz w:val="22"/>
        </w:rPr>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Port State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t>LIST OF ITEMS TO BE RECORDED</w:t>
      </w:r>
    </w:p>
    <w:p>
      <w:pPr>
        <w:pStyle w:val="MiscellaneousBody"/>
        <w:tabs>
          <w:tab w:val="left" w:pos="426"/>
        </w:tabs>
        <w:rPr>
          <w:sz w:val="22"/>
        </w:rPr>
      </w:pPr>
      <w:r>
        <w:rPr>
          <w:sz w:val="22"/>
        </w:rPr>
        <w:t>(A)</w:t>
      </w:r>
      <w:r>
        <w:rPr>
          <w:i/>
          <w:sz w:val="22"/>
        </w:rPr>
        <w:tab/>
        <w:t>LOADING OF OIL CARGO</w:t>
      </w:r>
    </w:p>
    <w:p>
      <w:pPr>
        <w:pStyle w:val="ySubsection"/>
      </w:pPr>
      <w:r>
        <w:tab/>
        <w:t>1.</w:t>
      </w:r>
      <w:r>
        <w:tab/>
        <w:t>Place of loading.</w:t>
      </w:r>
    </w:p>
    <w:p>
      <w:pPr>
        <w:pStyle w:val="ySubsection"/>
      </w:pPr>
      <w:r>
        <w:tab/>
        <w:t>2.</w:t>
      </w:r>
      <w:r>
        <w:tab/>
        <w:t>Type of oil loaded and identity of tank(s).</w:t>
      </w:r>
    </w:p>
    <w:p>
      <w:pPr>
        <w:pStyle w:val="ySubsection"/>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pPr>
      <w:r>
        <w:tab/>
        <w:t>4.</w:t>
      </w:r>
      <w:r>
        <w:tab/>
        <w:t>Identity of tank(s):</w:t>
      </w:r>
      <w:r>
        <w:br/>
        <w:t>.1 From:</w:t>
      </w:r>
      <w:r>
        <w:br/>
        <w:t>.2 To:</w:t>
      </w:r>
    </w:p>
    <w:p>
      <w:pPr>
        <w:pStyle w:val="ySubsection"/>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pPr>
      <w:r>
        <w:tab/>
        <w:t>6.</w:t>
      </w:r>
      <w:r>
        <w:tab/>
        <w:t>Place of unloading.</w:t>
      </w:r>
    </w:p>
    <w:p>
      <w:pPr>
        <w:pStyle w:val="ySubsection"/>
      </w:pPr>
      <w:r>
        <w:tab/>
        <w:t>7.</w:t>
      </w:r>
      <w:r>
        <w:tab/>
        <w:t>Identity of tank(s) unloaded.</w:t>
      </w:r>
    </w:p>
    <w:p>
      <w:pPr>
        <w:pStyle w:val="ySubsection"/>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pPr>
      <w:r>
        <w:tab/>
        <w:t>9.</w:t>
      </w:r>
      <w:r>
        <w:tab/>
        <w:t>Port where crude oil washing was carried out or ship’s position if carried out between two discharge ports.</w:t>
      </w:r>
    </w:p>
    <w:p>
      <w:pPr>
        <w:pStyle w:val="ySubsection"/>
      </w:pPr>
      <w:r>
        <w:tab/>
        <w:t>10.</w:t>
      </w:r>
      <w:r>
        <w:tab/>
        <w:t>Identity of tank(s) washed.</w:t>
      </w:r>
      <w:r>
        <w:rPr>
          <w:rStyle w:val="FootnoteReference"/>
          <w:sz w:val="22"/>
        </w:rPr>
        <w:footnoteReference w:customMarkFollows="1" w:id="37"/>
        <w:t>1</w:t>
      </w:r>
    </w:p>
    <w:p>
      <w:pPr>
        <w:pStyle w:val="ySubsection"/>
      </w:pPr>
      <w:r>
        <w:tab/>
        <w:t>11.</w:t>
      </w:r>
      <w:r>
        <w:tab/>
        <w:t>Number of machines in use.</w:t>
      </w:r>
    </w:p>
    <w:p>
      <w:pPr>
        <w:pStyle w:val="ySubsection"/>
      </w:pPr>
      <w:r>
        <w:tab/>
        <w:t>12.</w:t>
      </w:r>
      <w:r>
        <w:tab/>
        <w:t>Time of start of washing.</w:t>
      </w:r>
    </w:p>
    <w:p>
      <w:pPr>
        <w:pStyle w:val="ySubsection"/>
        <w:keepNext/>
      </w:pPr>
      <w:r>
        <w:tab/>
        <w:t>13.</w:t>
      </w:r>
      <w:r>
        <w:tab/>
        <w:t>Washing pattern employed.</w:t>
      </w:r>
      <w:r>
        <w:rPr>
          <w:rStyle w:val="FootnoteReference"/>
          <w:sz w:val="22"/>
        </w:rPr>
        <w:footnoteReference w:customMarkFollows="1" w:id="38"/>
        <w:t>2</w:t>
      </w:r>
    </w:p>
    <w:p>
      <w:pPr>
        <w:pStyle w:val="ySubsection"/>
        <w:keepNext/>
      </w:pPr>
      <w:r>
        <w:tab/>
        <w:t>14.</w:t>
      </w:r>
      <w:r>
        <w:tab/>
        <w:t>Washing line pressure.</w:t>
      </w:r>
    </w:p>
    <w:p>
      <w:pPr>
        <w:pStyle w:val="ySubsection"/>
      </w:pPr>
      <w:r>
        <w:tab/>
        <w:t>15.</w:t>
      </w:r>
      <w:r>
        <w:tab/>
        <w:t>Time completed or stopped washing.</w:t>
      </w:r>
    </w:p>
    <w:p>
      <w:pPr>
        <w:pStyle w:val="ySubsection"/>
      </w:pPr>
      <w:r>
        <w:tab/>
        <w:t>16.</w:t>
      </w:r>
      <w:r>
        <w:tab/>
        <w:t>State method of establishing that tank(s) was (were) dry.</w:t>
      </w:r>
    </w:p>
    <w:p>
      <w:pPr>
        <w:pStyle w:val="ySubsection"/>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pPr>
      <w:r>
        <w:tab/>
        <w:t>18.</w:t>
      </w:r>
      <w:r>
        <w:tab/>
        <w:t>Identity of tank(s) ballasted.</w:t>
      </w:r>
    </w:p>
    <w:p>
      <w:pPr>
        <w:pStyle w:val="ySubsection"/>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pPr>
      <w:r>
        <w:tab/>
        <w:t>20.</w:t>
      </w:r>
      <w:r>
        <w:tab/>
        <w:t>Identity of tank(s) ballasted.</w:t>
      </w:r>
    </w:p>
    <w:p>
      <w:pPr>
        <w:pStyle w:val="ySubsection"/>
      </w:pPr>
      <w:r>
        <w:tab/>
        <w:t>21.</w:t>
      </w:r>
      <w:r>
        <w:tab/>
        <w:t>Position of ship when water intended for flushing, or port ballast was taken to dedicated clean ballast tank(s).</w:t>
      </w:r>
    </w:p>
    <w:p>
      <w:pPr>
        <w:pStyle w:val="ySubsection"/>
      </w:pPr>
      <w:r>
        <w:tab/>
        <w:t>22.</w:t>
      </w:r>
      <w:r>
        <w:tab/>
        <w:t>Position of ship when pump(s) and lines were flushed to slop tank.</w:t>
      </w:r>
    </w:p>
    <w:p>
      <w:pPr>
        <w:pStyle w:val="ySubsection"/>
      </w:pPr>
      <w:r>
        <w:tab/>
        <w:t>23.</w:t>
      </w:r>
      <w:r>
        <w:tab/>
        <w:t>Quantity of oily water resulting from line flushing transferred to slop tanks (identify slop tank(s)).</w:t>
      </w:r>
    </w:p>
    <w:p>
      <w:pPr>
        <w:pStyle w:val="ySubsection"/>
      </w:pPr>
      <w:r>
        <w:tab/>
        <w:t>24.</w:t>
      </w:r>
      <w:r>
        <w:tab/>
        <w:t>Position of ship when additional ballast water was taken to dedicated clean ballast tank(s).</w:t>
      </w:r>
    </w:p>
    <w:p>
      <w:pPr>
        <w:pStyle w:val="ySubsection"/>
      </w:pPr>
      <w:r>
        <w:tab/>
        <w:t>25.</w:t>
      </w:r>
      <w:r>
        <w:tab/>
        <w:t>Time and position of ship when valves separating the dedicated clean ballast tanks from cargo and stripping lines were closed.</w:t>
      </w:r>
    </w:p>
    <w:p>
      <w:pPr>
        <w:pStyle w:val="ySubsection"/>
      </w:pPr>
      <w:r>
        <w:tab/>
        <w:t>26.</w:t>
      </w:r>
      <w:r>
        <w:tab/>
        <w:t>Quantity of clean ballast taken on board.</w:t>
      </w:r>
    </w:p>
    <w:p>
      <w:pPr>
        <w:pStyle w:val="MiscellaneousBody"/>
        <w:keepNext/>
        <w:tabs>
          <w:tab w:val="left" w:pos="426"/>
        </w:tabs>
        <w:rPr>
          <w:sz w:val="22"/>
        </w:rPr>
      </w:pPr>
      <w:r>
        <w:rPr>
          <w:sz w:val="22"/>
        </w:rPr>
        <w:t>(G)</w:t>
      </w:r>
      <w:r>
        <w:rPr>
          <w:i/>
          <w:sz w:val="22"/>
        </w:rPr>
        <w:tab/>
        <w:t>CLEANING OF CARGO TANKS</w:t>
      </w:r>
    </w:p>
    <w:p>
      <w:pPr>
        <w:pStyle w:val="ySubsection"/>
      </w:pPr>
      <w:r>
        <w:tab/>
        <w:t>27.</w:t>
      </w:r>
      <w:r>
        <w:tab/>
        <w:t>Identity of tank(s) cleaned.</w:t>
      </w:r>
    </w:p>
    <w:p>
      <w:pPr>
        <w:pStyle w:val="ySubsection"/>
      </w:pPr>
      <w:r>
        <w:tab/>
        <w:t>28.</w:t>
      </w:r>
      <w:r>
        <w:tab/>
        <w:t>Port or ship’s position.</w:t>
      </w:r>
    </w:p>
    <w:p>
      <w:pPr>
        <w:pStyle w:val="ySubsection"/>
      </w:pPr>
      <w:r>
        <w:tab/>
        <w:t>29.</w:t>
      </w:r>
      <w:r>
        <w:tab/>
        <w:t>Duration of cleaning.</w:t>
      </w:r>
    </w:p>
    <w:p>
      <w:pPr>
        <w:pStyle w:val="ySubsection"/>
      </w:pPr>
      <w:r>
        <w:tab/>
        <w:t>30.</w:t>
      </w:r>
      <w:r>
        <w:tab/>
        <w:t>Method of cleaning.</w:t>
      </w:r>
      <w:r>
        <w:rPr>
          <w:rStyle w:val="FootnoteReference"/>
          <w:sz w:val="22"/>
        </w:rPr>
        <w:footnoteReference w:customMarkFollows="1" w:id="40"/>
        <w:t>4</w:t>
      </w:r>
    </w:p>
    <w:p>
      <w:pPr>
        <w:pStyle w:val="ySubsection"/>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pPr>
      <w:r>
        <w:tab/>
        <w:t>32.</w:t>
      </w:r>
      <w:r>
        <w:tab/>
        <w:t>Identity of tank(s).</w:t>
      </w:r>
    </w:p>
    <w:p>
      <w:pPr>
        <w:pStyle w:val="ySubsection"/>
      </w:pPr>
      <w:r>
        <w:tab/>
        <w:t>33.</w:t>
      </w:r>
      <w:r>
        <w:tab/>
        <w:t>Position of ship at start of discharge into the sea.</w:t>
      </w:r>
    </w:p>
    <w:p>
      <w:pPr>
        <w:pStyle w:val="ySubsection"/>
      </w:pPr>
      <w:r>
        <w:tab/>
        <w:t>34.</w:t>
      </w:r>
      <w:r>
        <w:tab/>
        <w:t>Position of ship on completion of discharge into the sea.</w:t>
      </w:r>
    </w:p>
    <w:p>
      <w:pPr>
        <w:pStyle w:val="ySubsection"/>
      </w:pPr>
      <w:r>
        <w:tab/>
        <w:t>35.</w:t>
      </w:r>
      <w:r>
        <w:tab/>
        <w:t>Quantity discharged into the sea.</w:t>
      </w:r>
    </w:p>
    <w:p>
      <w:pPr>
        <w:pStyle w:val="ySubsection"/>
      </w:pPr>
      <w:r>
        <w:tab/>
        <w:t>36.</w:t>
      </w:r>
      <w:r>
        <w:tab/>
        <w:t>Ship’s speed(s) during discharge.</w:t>
      </w:r>
    </w:p>
    <w:p>
      <w:pPr>
        <w:pStyle w:val="ySubsection"/>
      </w:pPr>
      <w:r>
        <w:tab/>
        <w:t>37.</w:t>
      </w:r>
      <w:r>
        <w:tab/>
        <w:t>Was the discharge monitoring and control system in operation during the discharge?</w:t>
      </w:r>
    </w:p>
    <w:p>
      <w:pPr>
        <w:pStyle w:val="ySubsection"/>
      </w:pPr>
      <w:r>
        <w:tab/>
        <w:t>38.</w:t>
      </w:r>
      <w:r>
        <w:tab/>
        <w:t>Was a regular check kept on the effluent and the surface of the water in the locality of the discharge?</w:t>
      </w:r>
    </w:p>
    <w:p>
      <w:pPr>
        <w:pStyle w:val="ySubsection"/>
      </w:pPr>
      <w:r>
        <w:tab/>
        <w:t>39.</w:t>
      </w:r>
      <w:r>
        <w:tab/>
        <w:t>Quantity of oily water transferred to slop tank(s) (identify slop tank(s)).</w:t>
      </w:r>
    </w:p>
    <w:p>
      <w:pPr>
        <w:pStyle w:val="ySubsection"/>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pPr>
      <w:r>
        <w:tab/>
        <w:t>41.</w:t>
      </w:r>
      <w:r>
        <w:tab/>
        <w:t>Identity of slop tanks.</w:t>
      </w:r>
    </w:p>
    <w:p>
      <w:pPr>
        <w:pStyle w:val="ySubsection"/>
      </w:pPr>
      <w:r>
        <w:tab/>
        <w:t>42.</w:t>
      </w:r>
      <w:r>
        <w:tab/>
        <w:t>Time of settling from last entry of residues, or</w:t>
      </w:r>
    </w:p>
    <w:p>
      <w:pPr>
        <w:pStyle w:val="ySubsection"/>
      </w:pPr>
      <w:r>
        <w:tab/>
        <w:t>43.</w:t>
      </w:r>
      <w:r>
        <w:tab/>
        <w:t>Time of settling from last discharge.</w:t>
      </w:r>
    </w:p>
    <w:p>
      <w:pPr>
        <w:pStyle w:val="ySubsection"/>
      </w:pPr>
      <w:r>
        <w:tab/>
        <w:t>44.</w:t>
      </w:r>
      <w:r>
        <w:tab/>
        <w:t>Time and position of ship at start of discharge.</w:t>
      </w:r>
    </w:p>
    <w:p>
      <w:pPr>
        <w:pStyle w:val="ySubsection"/>
      </w:pPr>
      <w:r>
        <w:tab/>
        <w:t>45.</w:t>
      </w:r>
      <w:r>
        <w:tab/>
        <w:t>Ullage of total contents at start of discharge.</w:t>
      </w:r>
    </w:p>
    <w:p>
      <w:pPr>
        <w:pStyle w:val="ySubsection"/>
      </w:pPr>
      <w:r>
        <w:tab/>
        <w:t>46.</w:t>
      </w:r>
      <w:r>
        <w:tab/>
        <w:t>Ullage of oil/water interface at start of discharge.</w:t>
      </w:r>
    </w:p>
    <w:p>
      <w:pPr>
        <w:pStyle w:val="ySubsection"/>
      </w:pPr>
      <w:r>
        <w:tab/>
        <w:t>47.</w:t>
      </w:r>
      <w:r>
        <w:tab/>
        <w:t>Bulk quantity discharged and rate of discharge.</w:t>
      </w:r>
    </w:p>
    <w:p>
      <w:pPr>
        <w:pStyle w:val="ySubsection"/>
      </w:pPr>
      <w:r>
        <w:tab/>
        <w:t>48.</w:t>
      </w:r>
      <w:r>
        <w:tab/>
        <w:t>Final quantity discharged and rate of discharge.</w:t>
      </w:r>
    </w:p>
    <w:p>
      <w:pPr>
        <w:pStyle w:val="ySubsection"/>
      </w:pPr>
      <w:r>
        <w:tab/>
        <w:t>49.</w:t>
      </w:r>
      <w:r>
        <w:tab/>
        <w:t>Time and position of ship on completion of discharge.</w:t>
      </w:r>
    </w:p>
    <w:p>
      <w:pPr>
        <w:pStyle w:val="ySubsection"/>
      </w:pPr>
      <w:r>
        <w:tab/>
        <w:t>50.</w:t>
      </w:r>
      <w:r>
        <w:tab/>
        <w:t>Was the discharge monitoring and control system in operation during the discharge?</w:t>
      </w:r>
    </w:p>
    <w:p>
      <w:pPr>
        <w:pStyle w:val="ySubsection"/>
      </w:pPr>
      <w:r>
        <w:tab/>
        <w:t>51.</w:t>
      </w:r>
      <w:r>
        <w:tab/>
        <w:t>Ullage of oil/water interface on completion of discharge.</w:t>
      </w:r>
    </w:p>
    <w:p>
      <w:pPr>
        <w:pStyle w:val="ySubsection"/>
      </w:pPr>
      <w:r>
        <w:tab/>
        <w:t>52.</w:t>
      </w:r>
      <w:r>
        <w:tab/>
        <w:t>Ship’s speed(s) during discharge.</w:t>
      </w:r>
    </w:p>
    <w:p>
      <w:pPr>
        <w:pStyle w:val="ySubsection"/>
      </w:pPr>
      <w:r>
        <w:tab/>
        <w:t>53.</w:t>
      </w:r>
      <w:r>
        <w:tab/>
        <w:t>Was a regular check kept on the effluent and the surface of the water in the locality of the discharge?</w:t>
      </w:r>
    </w:p>
    <w:p>
      <w:pPr>
        <w:pStyle w:val="ySubsection"/>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pPr>
      <w:r>
        <w:tab/>
        <w:t>55.</w:t>
      </w:r>
      <w:r>
        <w:tab/>
        <w:t>Identity of tank(s).</w:t>
      </w:r>
    </w:p>
    <w:p>
      <w:pPr>
        <w:pStyle w:val="ySubsection"/>
      </w:pPr>
      <w:r>
        <w:tab/>
        <w:t>56.</w:t>
      </w:r>
      <w:r>
        <w:tab/>
        <w:t>Quantity disposed of from each tank.</w:t>
      </w:r>
    </w:p>
    <w:p>
      <w:pPr>
        <w:pStyle w:val="ySubsection"/>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pPr>
      <w:r>
        <w:tab/>
        <w:t>58.</w:t>
      </w:r>
      <w:r>
        <w:tab/>
        <w:t>Position of ship at start of discharge of clean ballast.</w:t>
      </w:r>
    </w:p>
    <w:p>
      <w:pPr>
        <w:pStyle w:val="ySubsection"/>
      </w:pPr>
      <w:r>
        <w:tab/>
        <w:t>59.</w:t>
      </w:r>
      <w:r>
        <w:tab/>
        <w:t>Identity of tank(s) discharged.</w:t>
      </w:r>
    </w:p>
    <w:p>
      <w:pPr>
        <w:pStyle w:val="ySubsection"/>
      </w:pPr>
      <w:r>
        <w:tab/>
        <w:t>60.</w:t>
      </w:r>
      <w:r>
        <w:tab/>
        <w:t>Was (were) the tank(s) empty on completion?</w:t>
      </w:r>
    </w:p>
    <w:p>
      <w:pPr>
        <w:pStyle w:val="ySubsection"/>
      </w:pPr>
      <w:r>
        <w:tab/>
        <w:t>61.</w:t>
      </w:r>
      <w:r>
        <w:tab/>
        <w:t>Position of ship on completion if different from 58.</w:t>
      </w:r>
    </w:p>
    <w:p>
      <w:pPr>
        <w:pStyle w:val="ySubsection"/>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pPr>
      <w:r>
        <w:tab/>
        <w:t>63.</w:t>
      </w:r>
      <w:r>
        <w:tab/>
        <w:t>Identity of tank(s) discharged.</w:t>
      </w:r>
    </w:p>
    <w:p>
      <w:pPr>
        <w:pStyle w:val="ySubsection"/>
      </w:pPr>
      <w:r>
        <w:tab/>
        <w:t>64.</w:t>
      </w:r>
      <w:r>
        <w:tab/>
        <w:t>Time and position of ship at start of discharge of clean ballast into the sea.</w:t>
      </w:r>
    </w:p>
    <w:p>
      <w:pPr>
        <w:pStyle w:val="ySubsection"/>
      </w:pPr>
      <w:r>
        <w:tab/>
        <w:t>65.</w:t>
      </w:r>
      <w:r>
        <w:tab/>
        <w:t>Time and position of ship on completion of discharge into the sea.</w:t>
      </w:r>
    </w:p>
    <w:p>
      <w:pPr>
        <w:pStyle w:val="ySubsection"/>
      </w:pPr>
      <w:r>
        <w:tab/>
        <w:t>66.</w:t>
      </w:r>
      <w:r>
        <w:tab/>
        <w:t>Quantity discharged:</w:t>
      </w:r>
      <w:r>
        <w:br/>
        <w:t>.1 Into the sea; or</w:t>
      </w:r>
      <w:r>
        <w:br/>
        <w:t>.2 To reception facility (identify port).</w:t>
      </w:r>
    </w:p>
    <w:p>
      <w:pPr>
        <w:pStyle w:val="ySubsection"/>
      </w:pPr>
      <w:r>
        <w:tab/>
        <w:t>67.</w:t>
      </w:r>
      <w:r>
        <w:tab/>
        <w:t>Was there any indication of oil contamination of the ballast water before or during discharge into the sea?</w:t>
      </w:r>
    </w:p>
    <w:p>
      <w:pPr>
        <w:pStyle w:val="ySubsection"/>
      </w:pPr>
      <w:r>
        <w:tab/>
        <w:t>68.</w:t>
      </w:r>
      <w:r>
        <w:tab/>
        <w:t>Was the discharge monitored by an oil content meter?</w:t>
      </w:r>
    </w:p>
    <w:p>
      <w:pPr>
        <w:pStyle w:val="ySubsection"/>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spacing w:before="140"/>
      </w:pPr>
      <w:r>
        <w:tab/>
        <w:t>70.</w:t>
      </w:r>
      <w:r>
        <w:tab/>
        <w:t>Time of system failure.</w:t>
      </w:r>
    </w:p>
    <w:p>
      <w:pPr>
        <w:pStyle w:val="ySubsection"/>
        <w:spacing w:before="140"/>
      </w:pPr>
      <w:r>
        <w:tab/>
        <w:t>71.</w:t>
      </w:r>
      <w:r>
        <w:tab/>
        <w:t>Time when system has been made operational.</w:t>
      </w:r>
    </w:p>
    <w:p>
      <w:pPr>
        <w:pStyle w:val="ySubsection"/>
        <w:spacing w:before="140"/>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pPr>
      <w:r>
        <w:tab/>
        <w:t>73.</w:t>
      </w:r>
      <w:r>
        <w:tab/>
        <w:t>Time of occurrence.</w:t>
      </w:r>
    </w:p>
    <w:p>
      <w:pPr>
        <w:pStyle w:val="ySubsection"/>
      </w:pPr>
      <w:r>
        <w:tab/>
        <w:t>74.</w:t>
      </w:r>
      <w:r>
        <w:tab/>
        <w:t>Port or ship’s position at time of occurrence.</w:t>
      </w:r>
    </w:p>
    <w:p>
      <w:pPr>
        <w:pStyle w:val="ySubsection"/>
      </w:pPr>
      <w:r>
        <w:tab/>
        <w:t>75.</w:t>
      </w:r>
      <w:r>
        <w:tab/>
        <w:t>Approximate quantity and type of oil.</w:t>
      </w:r>
    </w:p>
    <w:p>
      <w:pPr>
        <w:pStyle w:val="ySubsection"/>
      </w:pPr>
      <w:r>
        <w:tab/>
        <w:t>76.</w:t>
      </w:r>
      <w:r>
        <w:tab/>
        <w:t>Circumstances of discharge or escape, the reasons therefor and general remarks.</w:t>
      </w:r>
    </w:p>
    <w:p>
      <w:pPr>
        <w:pStyle w:val="MiscellaneousBody"/>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pPr>
      <w:r>
        <w:tab/>
        <w:t>77.</w:t>
      </w:r>
      <w:r>
        <w:tab/>
        <w:t>Identity of tank(s) ballasted.</w:t>
      </w:r>
    </w:p>
    <w:p>
      <w:pPr>
        <w:pStyle w:val="ySubsection"/>
      </w:pPr>
      <w:r>
        <w:tab/>
        <w:t>78.</w:t>
      </w:r>
      <w:r>
        <w:tab/>
        <w:t>Position of ship when ballasted.</w:t>
      </w:r>
    </w:p>
    <w:p>
      <w:pPr>
        <w:pStyle w:val="ySubsection"/>
      </w:pPr>
      <w:r>
        <w:tab/>
        <w:t>79.</w:t>
      </w:r>
      <w:r>
        <w:tab/>
        <w:t>Total quantity of ballast loaded in cubic metres.</w:t>
      </w:r>
    </w:p>
    <w:p>
      <w:pPr>
        <w:pStyle w:val="ySubsection"/>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pPr>
      <w:r>
        <w:tab/>
        <w:t>82.</w:t>
      </w:r>
      <w:r>
        <w:tab/>
        <w:t>Port(s) where ballast water was discharged.</w:t>
      </w:r>
    </w:p>
    <w:p>
      <w:pPr>
        <w:pStyle w:val="ySubsection"/>
      </w:pPr>
      <w:r>
        <w:tab/>
        <w:t>83.</w:t>
      </w:r>
      <w:r>
        <w:tab/>
        <w:t>Name or designation of reception facility.</w:t>
      </w:r>
    </w:p>
    <w:p>
      <w:pPr>
        <w:pStyle w:val="ySubsection"/>
      </w:pPr>
      <w:r>
        <w:tab/>
        <w:t>84.</w:t>
      </w:r>
      <w:r>
        <w:tab/>
        <w:t>Total quantity of ballast water discharged in cubic metres.</w:t>
      </w:r>
    </w:p>
    <w:p>
      <w:pPr>
        <w:pStyle w:val="ySubsection"/>
      </w:pPr>
      <w:r>
        <w:tab/>
        <w:t>85.</w:t>
      </w:r>
      <w:r>
        <w:tab/>
        <w:t>Date, signature and stamp of port authority official.</w:t>
      </w:r>
    </w:p>
    <w:p>
      <w:pPr>
        <w:pStyle w:val="MiscellaneousBody"/>
        <w:pageBreakBefore/>
        <w:tabs>
          <w:tab w:val="right" w:leader="dot" w:pos="7088"/>
        </w:tabs>
        <w:spacing w:before="0"/>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 xml:space="preserve">Signature of Master .................................. </w:t>
      </w:r>
    </w:p>
    <w:p>
      <w:pPr>
        <w:pStyle w:val="yScheduleHeading"/>
      </w:pPr>
      <w:bookmarkStart w:id="258" w:name="_Toc527777306"/>
      <w:bookmarkStart w:id="259" w:name="_Toc103143849"/>
      <w:bookmarkStart w:id="260" w:name="_Toc267925803"/>
      <w:bookmarkStart w:id="261" w:name="_Toc268185883"/>
      <w:bookmarkStart w:id="262" w:name="_Toc268617517"/>
      <w:bookmarkStart w:id="263" w:name="_Toc272309061"/>
      <w:r>
        <w:rPr>
          <w:rStyle w:val="CharSchNo"/>
        </w:rPr>
        <w:t>Schedule 4</w:t>
      </w:r>
      <w:bookmarkEnd w:id="258"/>
      <w:bookmarkEnd w:id="259"/>
      <w:bookmarkEnd w:id="260"/>
      <w:r>
        <w:t> — </w:t>
      </w:r>
      <w:r>
        <w:rPr>
          <w:rStyle w:val="CharSchText"/>
        </w:rPr>
        <w:t>1985 amendments to annex to Protocol</w:t>
      </w:r>
      <w:bookmarkEnd w:id="261"/>
      <w:bookmarkEnd w:id="262"/>
      <w:bookmarkEnd w:id="263"/>
    </w:p>
    <w:p>
      <w:pPr>
        <w:pStyle w:val="yShoulderClause"/>
      </w:pPr>
      <w:r>
        <w:t>[s. 3]</w:t>
      </w:r>
    </w:p>
    <w:p>
      <w:pPr>
        <w:pStyle w:val="yFootnoteheading"/>
      </w:pPr>
      <w:r>
        <w:tab/>
        <w:t>[Heading amended by No. 19 of 2010 s. 4.]</w:t>
      </w:r>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 ‘International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(11) ‘Bulk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 ‘Ship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rPr>
          <w:sz w:val="22"/>
        </w:rPr>
        <w:t>(13) ‘Similar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 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(5)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 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rPr>
          <w:sz w:val="22"/>
          <w:u w:val="single"/>
        </w:rPr>
      </w:pPr>
      <w:r>
        <w:rPr>
          <w:sz w:val="22"/>
          <w:u w:val="single"/>
        </w:rPr>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 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rPr>
          <w:sz w:val="22"/>
        </w:rPr>
        <w:t>(3) 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paragraph (b)of this paragraph, every ship constructed before 1 July 1986 shall be provided with pumping and piping arrangements to ensure, through testing under favourable pumping conditions, that each tank designated for the carriage of a 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rPr>
          <w:sz w:val="22"/>
        </w:rPr>
        <w:t>(5) 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rPr>
          <w:sz w:val="22"/>
        </w:rPr>
        <w:t>(7) 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 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 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The master of a ship carrying noxious liquid substances in bulk shall ensure that the provisions of Regulation 5 and this Regulation have been complied with and that the Cargo Record Book is completed in 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 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rPr>
          <w:sz w:val="22"/>
        </w:rPr>
        <w:t>(3) If the tank is to be washed in accordance with sub</w:t>
      </w:r>
      <w:r>
        <w:rPr>
          <w:sz w:val="22"/>
        </w:rPr>
        <w:noBreakHyphen/>
        <w:t>paragraph (2)(a) of this Regulation, the effluent from the tank washing operation shall be discharged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 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u w:val="single"/>
        </w:rPr>
      </w:pPr>
      <w:r>
        <w:rPr>
          <w:sz w:val="22"/>
          <w:u w:val="single"/>
        </w:rPr>
        <w:t>Category B substances within Special Areas</w:t>
      </w:r>
    </w:p>
    <w:p>
      <w:pPr>
        <w:pStyle w:val="MiscellaneousBody"/>
        <w:keepNext/>
        <w:keepLines/>
        <w:rPr>
          <w:sz w:val="22"/>
        </w:rPr>
      </w:pPr>
      <w:r>
        <w:rPr>
          <w:sz w:val="22"/>
        </w:rPr>
        <w:t>(6) With respect to Category B substances, the following provisions shall apply with Special Areas:</w:t>
      </w:r>
    </w:p>
    <w:p>
      <w:pPr>
        <w:pStyle w:val="ySubsection"/>
      </w:pPr>
      <w:r>
        <w:tab/>
        <w:t>(a)</w:t>
      </w:r>
      <w:r>
        <w:tab/>
        <w:t>A tank which has been unloaded shall, subject to the provisions of sub</w:t>
      </w:r>
      <w:r>
        <w:noBreakHyphen/>
        <w:t>paragraph (b) and (c), be prewashed before the ship leaves the port of unloading. The prewash procedure used shall be approved by the Administration and based on standards developed by the 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u w:val="single"/>
        </w:rPr>
      </w:pPr>
      <w:r>
        <w:rPr>
          <w:sz w:val="22"/>
          <w:u w:val="single"/>
        </w:rPr>
        <w:t>Category C substances within Special Areas</w:t>
      </w:r>
    </w:p>
    <w:p>
      <w:pPr>
        <w:pStyle w:val="MiscellaneousBody"/>
        <w:rPr>
          <w:sz w:val="22"/>
        </w:rPr>
      </w:pPr>
      <w:r>
        <w:rPr>
          <w:sz w:val="22"/>
        </w:rPr>
        <w:t>(7) 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the unloading is carried out in accordance with the pumping conditions for the tank approved by the Administration and based on standards developed by the Organization as referred 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u w:val="single"/>
        </w:rPr>
      </w:pPr>
      <w:r>
        <w:rPr>
          <w:sz w:val="22"/>
          <w:u w:val="single"/>
        </w:rPr>
        <w:t>Category D substances in all areas</w:t>
      </w:r>
    </w:p>
    <w:p>
      <w:pPr>
        <w:pStyle w:val="MiscellaneousBody"/>
        <w:rPr>
          <w:sz w:val="22"/>
        </w:rPr>
      </w:pPr>
      <w:r>
        <w:rPr>
          <w:sz w:val="22"/>
        </w:rPr>
        <w:t>(8) 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u w:val="single"/>
        </w:rPr>
      </w:pPr>
      <w:r>
        <w:rPr>
          <w:sz w:val="22"/>
          <w:u w:val="single"/>
        </w:rPr>
        <w:t>Discharge from a slop tank</w:t>
      </w:r>
    </w:p>
    <w:p>
      <w:pPr>
        <w:pStyle w:val="MiscellaneousBody"/>
        <w:rPr>
          <w:sz w:val="22"/>
        </w:rPr>
      </w:pPr>
      <w:r>
        <w:rPr>
          <w:sz w:val="22"/>
        </w:rPr>
        <w:t>(9) 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t>Regulation 9</w:t>
      </w:r>
    </w:p>
    <w:p>
      <w:pPr>
        <w:pStyle w:val="MiscellaneousHeading"/>
        <w:rPr>
          <w:sz w:val="22"/>
          <w:u w:val="single"/>
        </w:rPr>
      </w:pPr>
      <w:r>
        <w:rPr>
          <w:sz w:val="22"/>
          <w:u w:val="single"/>
        </w:rPr>
        <w:t>Cargo Record Book</w:t>
      </w:r>
    </w:p>
    <w:p>
      <w:pPr>
        <w:pStyle w:val="MiscellaneousBody"/>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40"/>
      </w:pPr>
      <w:r>
        <w:tab/>
        <w:t>“(i)</w:t>
      </w:r>
      <w:r>
        <w:tab/>
        <w:t>loading of cargo;</w:t>
      </w:r>
    </w:p>
    <w:p>
      <w:pPr>
        <w:pStyle w:val="ySubsection"/>
        <w:spacing w:before="140"/>
      </w:pPr>
      <w:r>
        <w:tab/>
        <w:t>(ii)</w:t>
      </w:r>
      <w:r>
        <w:tab/>
        <w:t>internal transfer of cargo;</w:t>
      </w:r>
    </w:p>
    <w:p>
      <w:pPr>
        <w:pStyle w:val="ySubsection"/>
        <w:spacing w:before="140"/>
      </w:pPr>
      <w:r>
        <w:tab/>
        <w:t>(iii)</w:t>
      </w:r>
      <w:r>
        <w:tab/>
        <w:t>unloading of cargo;</w:t>
      </w:r>
    </w:p>
    <w:p>
      <w:pPr>
        <w:pStyle w:val="ySubsection"/>
        <w:spacing w:before="140"/>
      </w:pPr>
      <w:r>
        <w:tab/>
        <w:t>(iv)</w:t>
      </w:r>
      <w:r>
        <w:tab/>
        <w:t>cleaning of cargo tanks;</w:t>
      </w:r>
    </w:p>
    <w:p>
      <w:pPr>
        <w:pStyle w:val="ySubsection"/>
        <w:spacing w:before="140"/>
      </w:pPr>
      <w:r>
        <w:tab/>
        <w:t>(v)</w:t>
      </w:r>
      <w:r>
        <w:tab/>
        <w:t>ballasting of cargo tanks;</w:t>
      </w:r>
    </w:p>
    <w:p>
      <w:pPr>
        <w:pStyle w:val="ySubsection"/>
        <w:spacing w:before="140"/>
      </w:pPr>
      <w:r>
        <w:tab/>
        <w:t>(vi)</w:t>
      </w:r>
      <w:r>
        <w:tab/>
        <w:t>discharge of ballast from cargo tanks;</w:t>
      </w:r>
    </w:p>
    <w:p>
      <w:pPr>
        <w:pStyle w:val="ySubsection"/>
        <w:spacing w:before="140"/>
      </w:pPr>
      <w:r>
        <w:tab/>
        <w:t>(vii)</w:t>
      </w:r>
      <w:r>
        <w:tab/>
        <w:t>disposal of residues to reception facilities;</w:t>
      </w:r>
    </w:p>
    <w:p>
      <w:pPr>
        <w:pStyle w:val="ySubsection"/>
        <w:spacing w:before="14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rPr>
          <w:sz w:val="22"/>
          <w:u w:val="single"/>
        </w:rPr>
      </w:pPr>
      <w:r>
        <w:rPr>
          <w:sz w:val="22"/>
          <w:u w:val="single"/>
        </w:rPr>
        <w:t>Surveys</w:t>
      </w:r>
    </w:p>
    <w:p>
      <w:pPr>
        <w:pStyle w:val="MiscellaneousBody"/>
        <w:rPr>
          <w:sz w:val="22"/>
        </w:rPr>
      </w:pPr>
      <w:r>
        <w:rPr>
          <w:sz w:val="22"/>
        </w:rPr>
        <w:t>(1) Ships carrying noxious liquid substances in bulk shall be subject to the surveys specified below:</w:t>
      </w:r>
    </w:p>
    <w:p>
      <w:pPr>
        <w:pStyle w:val="ySubsection"/>
      </w:pPr>
      <w:r>
        <w:tab/>
        <w:t>(a)</w:t>
      </w:r>
      <w:r>
        <w:tab/>
        <w:t>An initial survey before the ship is put in service or before the Certificate required under Regulation 11 of this Annex is issued for the first time, and which shall include a complete survey of its 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 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 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rPr>
          <w:sz w:val="22"/>
        </w:rPr>
        <w:t>(4) 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 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 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Notwithstanding the provisions of Regulations 10, 11 and 12 of this Annex, chemical tankers which have been surveyed and certified by States Parties to the 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 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 Chemical tankers constructed on or after 1 July 1986 shall comply with the requirements of the International Bulk Chemical Code.</w:t>
      </w:r>
    </w:p>
    <w:p>
      <w:pPr>
        <w:pStyle w:val="MiscellaneousBody"/>
        <w:keepNext/>
        <w:keepLines/>
        <w:rPr>
          <w:sz w:val="22"/>
        </w:rPr>
      </w:pPr>
      <w:r>
        <w:rPr>
          <w:sz w:val="22"/>
        </w:rPr>
        <w:t>(3) 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rPr>
          <w:sz w:val="22"/>
        </w:rPr>
        <w:t>(4) 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417"/>
        <w:gridCol w:w="1418"/>
      </w:tblGrid>
      <w:tr>
        <w:trPr>
          <w:tblHeader/>
        </w:trPr>
        <w:tc>
          <w:tcPr>
            <w:tcW w:w="2268" w:type="dxa"/>
            <w:tcBorders>
              <w:top w:val="single" w:sz="2" w:space="0" w:color="auto"/>
            </w:tcBorders>
          </w:tcPr>
          <w:p>
            <w:pPr>
              <w:pStyle w:val="yTable"/>
              <w:rPr>
                <w:sz w:val="16"/>
              </w:rPr>
            </w:pPr>
          </w:p>
        </w:tc>
        <w:tc>
          <w:tcPr>
            <w:tcW w:w="851" w:type="dxa"/>
            <w:tcBorders>
              <w:top w:val="single" w:sz="2" w:space="0" w:color="auto"/>
            </w:tcBorders>
          </w:tcPr>
          <w:p>
            <w:pPr>
              <w:pStyle w:val="yTable"/>
              <w:jc w:val="center"/>
              <w:rPr>
                <w:sz w:val="16"/>
              </w:rPr>
            </w:pPr>
            <w:r>
              <w:rPr>
                <w:sz w:val="16"/>
              </w:rPr>
              <w:br/>
              <w:t>UN</w:t>
            </w:r>
            <w:r>
              <w:rPr>
                <w:sz w:val="16"/>
              </w:rPr>
              <w:br/>
              <w:t>Number</w:t>
            </w:r>
          </w:p>
        </w:tc>
        <w:tc>
          <w:tcPr>
            <w:tcW w:w="1276" w:type="dxa"/>
            <w:tcBorders>
              <w:top w:val="single" w:sz="2"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835" w:type="dxa"/>
            <w:gridSpan w:val="2"/>
            <w:tcBorders>
              <w:top w:val="single" w:sz="2"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2" w:space="0" w:color="auto"/>
            </w:tcBorders>
          </w:tcPr>
          <w:p>
            <w:pPr>
              <w:pStyle w:val="yTable"/>
              <w:jc w:val="center"/>
              <w:rPr>
                <w:sz w:val="16"/>
              </w:rPr>
            </w:pPr>
          </w:p>
        </w:tc>
        <w:tc>
          <w:tcPr>
            <w:tcW w:w="1276" w:type="dxa"/>
            <w:tcBorders>
              <w:top w:val="single" w:sz="2" w:space="0" w:color="auto"/>
            </w:tcBorders>
          </w:tcPr>
          <w:p>
            <w:pPr>
              <w:pStyle w:val="yTable"/>
              <w:jc w:val="center"/>
              <w:rPr>
                <w:sz w:val="16"/>
              </w:rPr>
            </w:pPr>
            <w:r>
              <w:rPr>
                <w:sz w:val="16"/>
              </w:rPr>
              <w:t>(Regulation 3</w:t>
            </w:r>
            <w:r>
              <w:rPr>
                <w:sz w:val="16"/>
              </w:rPr>
              <w:br/>
              <w:t>of Annex II)</w:t>
            </w:r>
          </w:p>
        </w:tc>
        <w:tc>
          <w:tcPr>
            <w:tcW w:w="1417" w:type="dxa"/>
            <w:tcBorders>
              <w:top w:val="single" w:sz="2" w:space="0" w:color="auto"/>
            </w:tcBorders>
          </w:tcPr>
          <w:p>
            <w:pPr>
              <w:pStyle w:val="yTable"/>
              <w:jc w:val="center"/>
              <w:rPr>
                <w:sz w:val="16"/>
              </w:rPr>
            </w:pPr>
            <w:r>
              <w:rPr>
                <w:sz w:val="16"/>
              </w:rPr>
              <w:t>(Regulation 5 (1) of Annex II)</w:t>
            </w:r>
          </w:p>
        </w:tc>
        <w:tc>
          <w:tcPr>
            <w:tcW w:w="1418" w:type="dxa"/>
            <w:tcBorders>
              <w:top w:val="single" w:sz="2" w:space="0" w:color="auto"/>
            </w:tcBorders>
          </w:tcPr>
          <w:p>
            <w:pPr>
              <w:pStyle w:val="yTable"/>
              <w:jc w:val="center"/>
              <w:rPr>
                <w:sz w:val="16"/>
              </w:rPr>
            </w:pPr>
            <w:r>
              <w:rPr>
                <w:sz w:val="16"/>
              </w:rPr>
              <w:t>(Regulation 5(7) of Annex II)</w:t>
            </w:r>
          </w:p>
        </w:tc>
      </w:tr>
      <w:tr>
        <w:trPr>
          <w:tblHeader/>
        </w:trPr>
        <w:tc>
          <w:tcPr>
            <w:tcW w:w="2268" w:type="dxa"/>
            <w:tcBorders>
              <w:bottom w:val="single" w:sz="2" w:space="0" w:color="auto"/>
            </w:tcBorders>
          </w:tcPr>
          <w:p>
            <w:pPr>
              <w:pStyle w:val="yTable"/>
              <w:rPr>
                <w:sz w:val="16"/>
              </w:rPr>
            </w:pPr>
          </w:p>
        </w:tc>
        <w:tc>
          <w:tcPr>
            <w:tcW w:w="851" w:type="dxa"/>
            <w:tcBorders>
              <w:top w:val="single" w:sz="2" w:space="0" w:color="auto"/>
              <w:bottom w:val="single" w:sz="2" w:space="0" w:color="auto"/>
            </w:tcBorders>
          </w:tcPr>
          <w:p>
            <w:pPr>
              <w:pStyle w:val="yTable"/>
              <w:jc w:val="center"/>
              <w:rPr>
                <w:sz w:val="16"/>
              </w:rPr>
            </w:pPr>
            <w:r>
              <w:rPr>
                <w:sz w:val="16"/>
              </w:rPr>
              <w:t>I</w:t>
            </w:r>
          </w:p>
        </w:tc>
        <w:tc>
          <w:tcPr>
            <w:tcW w:w="1276" w:type="dxa"/>
            <w:tcBorders>
              <w:top w:val="single" w:sz="2" w:space="0" w:color="auto"/>
              <w:bottom w:val="single" w:sz="2" w:space="0" w:color="auto"/>
            </w:tcBorders>
          </w:tcPr>
          <w:p>
            <w:pPr>
              <w:pStyle w:val="yTable"/>
              <w:jc w:val="center"/>
              <w:rPr>
                <w:sz w:val="16"/>
              </w:rPr>
            </w:pPr>
            <w:r>
              <w:rPr>
                <w:sz w:val="16"/>
              </w:rPr>
              <w:t>II</w:t>
            </w:r>
          </w:p>
        </w:tc>
        <w:tc>
          <w:tcPr>
            <w:tcW w:w="1417" w:type="dxa"/>
            <w:tcBorders>
              <w:top w:val="single" w:sz="2" w:space="0" w:color="auto"/>
              <w:bottom w:val="single" w:sz="2"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418" w:type="dxa"/>
            <w:tcBorders>
              <w:top w:val="single" w:sz="2" w:space="0" w:color="auto"/>
              <w:bottom w:val="single" w:sz="2"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Pr>
          <w:p>
            <w:pPr>
              <w:pStyle w:val="yTable"/>
              <w:rPr>
                <w:sz w:val="16"/>
              </w:rPr>
            </w:pPr>
            <w:r>
              <w:rPr>
                <w:sz w:val="16"/>
              </w:rPr>
              <w:t>Acetaldehyde...........................</w:t>
            </w:r>
          </w:p>
        </w:tc>
        <w:tc>
          <w:tcPr>
            <w:tcW w:w="851" w:type="dxa"/>
          </w:tcPr>
          <w:p>
            <w:pPr>
              <w:pStyle w:val="yTable"/>
              <w:jc w:val="center"/>
              <w:rPr>
                <w:sz w:val="16"/>
              </w:rPr>
            </w:pPr>
            <w:r>
              <w:rPr>
                <w:sz w:val="16"/>
              </w:rPr>
              <w:t>1089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rPr>
          <w:cantSplit/>
        </w:trPr>
        <w:tc>
          <w:tcPr>
            <w:tcW w:w="7230"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417" w:type="dxa"/>
          </w:tcPr>
          <w:p>
            <w:pPr>
              <w:pStyle w:val="yTable"/>
              <w:keepNext/>
              <w:jc w:val="center"/>
              <w:rPr>
                <w:spacing w:val="-2"/>
                <w:sz w:val="16"/>
              </w:rPr>
            </w:pPr>
          </w:p>
        </w:tc>
        <w:tc>
          <w:tcPr>
            <w:tcW w:w="141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417" w:type="dxa"/>
            <w:tcBorders>
              <w:bottom w:val="single" w:sz="4" w:space="0" w:color="auto"/>
            </w:tcBorders>
          </w:tcPr>
          <w:p>
            <w:pPr>
              <w:pStyle w:val="yTable"/>
              <w:jc w:val="center"/>
              <w:rPr>
                <w:spacing w:val="-2"/>
                <w:sz w:val="16"/>
              </w:rPr>
            </w:pPr>
          </w:p>
        </w:tc>
        <w:tc>
          <w:tcPr>
            <w:tcW w:w="1418" w:type="dxa"/>
            <w:tcBorders>
              <w:bottom w:val="single" w:sz="4" w:space="0" w:color="auto"/>
            </w:tcBorders>
          </w:tcPr>
          <w:p>
            <w:pPr>
              <w:pStyle w:val="yTable"/>
              <w:jc w:val="center"/>
              <w:rPr>
                <w:spacing w:val="-2"/>
                <w:sz w:val="16"/>
              </w:rPr>
            </w:pPr>
          </w:p>
        </w:tc>
      </w:tr>
    </w:tbl>
    <w:p>
      <w:pPr>
        <w:pStyle w:val="MiscellaneousBody"/>
        <w:spacing w:before="60" w:line="24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417"/>
        <w:gridCol w:w="1418"/>
      </w:tblGrid>
      <w:tr>
        <w:trPr>
          <w:tblHeader/>
        </w:trPr>
        <w:tc>
          <w:tcPr>
            <w:tcW w:w="2268" w:type="dxa"/>
            <w:tcBorders>
              <w:top w:val="single" w:sz="2" w:space="0" w:color="auto"/>
              <w:bottom w:val="single" w:sz="2" w:space="0" w:color="auto"/>
            </w:tcBorders>
          </w:tcPr>
          <w:p>
            <w:pPr>
              <w:pStyle w:val="yTable"/>
              <w:keepNext/>
              <w:ind w:left="143" w:hanging="143"/>
              <w:rPr>
                <w:spacing w:val="-2"/>
                <w:sz w:val="16"/>
              </w:rPr>
            </w:pPr>
          </w:p>
        </w:tc>
        <w:tc>
          <w:tcPr>
            <w:tcW w:w="851" w:type="dxa"/>
            <w:tcBorders>
              <w:top w:val="single" w:sz="2" w:space="0" w:color="auto"/>
              <w:bottom w:val="single" w:sz="2" w:space="0" w:color="auto"/>
            </w:tcBorders>
          </w:tcPr>
          <w:p>
            <w:pPr>
              <w:pStyle w:val="yTable"/>
              <w:keepNext/>
              <w:jc w:val="center"/>
              <w:rPr>
                <w:spacing w:val="-2"/>
                <w:sz w:val="16"/>
              </w:rPr>
            </w:pPr>
            <w:r>
              <w:rPr>
                <w:spacing w:val="-2"/>
                <w:sz w:val="16"/>
              </w:rPr>
              <w:t>I</w:t>
            </w:r>
          </w:p>
        </w:tc>
        <w:tc>
          <w:tcPr>
            <w:tcW w:w="1276" w:type="dxa"/>
            <w:tcBorders>
              <w:top w:val="single" w:sz="2" w:space="0" w:color="auto"/>
              <w:bottom w:val="single" w:sz="2" w:space="0" w:color="auto"/>
            </w:tcBorders>
          </w:tcPr>
          <w:p>
            <w:pPr>
              <w:pStyle w:val="yTable"/>
              <w:keepNext/>
              <w:jc w:val="center"/>
              <w:rPr>
                <w:spacing w:val="-2"/>
                <w:sz w:val="16"/>
              </w:rPr>
            </w:pPr>
            <w:r>
              <w:rPr>
                <w:spacing w:val="-2"/>
                <w:sz w:val="16"/>
              </w:rPr>
              <w:t>II</w:t>
            </w:r>
          </w:p>
        </w:tc>
        <w:tc>
          <w:tcPr>
            <w:tcW w:w="1417" w:type="dxa"/>
            <w:tcBorders>
              <w:top w:val="single" w:sz="2" w:space="0" w:color="auto"/>
              <w:bottom w:val="single" w:sz="2" w:space="0" w:color="auto"/>
            </w:tcBorders>
          </w:tcPr>
          <w:p>
            <w:pPr>
              <w:pStyle w:val="yTable"/>
              <w:keepNext/>
              <w:jc w:val="center"/>
              <w:rPr>
                <w:spacing w:val="-2"/>
                <w:sz w:val="16"/>
              </w:rPr>
            </w:pPr>
            <w:r>
              <w:rPr>
                <w:spacing w:val="-2"/>
                <w:sz w:val="16"/>
              </w:rPr>
              <w:t>III</w:t>
            </w:r>
          </w:p>
        </w:tc>
        <w:tc>
          <w:tcPr>
            <w:tcW w:w="1418" w:type="dxa"/>
            <w:tcBorders>
              <w:top w:val="single" w:sz="2" w:space="0" w:color="auto"/>
              <w:bottom w:val="single" w:sz="2" w:space="0" w:color="auto"/>
            </w:tcBorders>
          </w:tcPr>
          <w:p>
            <w:pPr>
              <w:pStyle w:val="yTable"/>
              <w:keepNext/>
              <w:jc w:val="center"/>
              <w:rPr>
                <w:spacing w:val="-2"/>
                <w:sz w:val="16"/>
              </w:rPr>
            </w:pPr>
            <w:r>
              <w:rPr>
                <w:spacing w:val="-2"/>
                <w:sz w:val="16"/>
              </w:rPr>
              <w:t>IV</w:t>
            </w:r>
          </w:p>
        </w:tc>
      </w:tr>
      <w:tr>
        <w:tc>
          <w:tcPr>
            <w:tcW w:w="2268" w:type="dxa"/>
          </w:tcPr>
          <w:p>
            <w:pPr>
              <w:pStyle w:val="yTable"/>
              <w:ind w:left="143" w:hanging="143"/>
              <w:rPr>
                <w:spacing w:val="-2"/>
                <w:sz w:val="16"/>
              </w:rPr>
            </w:pPr>
            <w:r>
              <w:rPr>
                <w:spacing w:val="-2"/>
                <w:sz w:val="16"/>
              </w:rPr>
              <w:t>Alkylamine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rPr>
          <w:cantSplit/>
        </w:trPr>
        <w:tc>
          <w:tcPr>
            <w:tcW w:w="7230" w:type="dxa"/>
            <w:gridSpan w:val="5"/>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sec</w:t>
            </w:r>
            <w:r>
              <w:rPr>
                <w:spacing w:val="-2"/>
                <w:sz w:val="16"/>
              </w:rPr>
              <w:noBreakHyphen/>
              <w:t>Butyl acetate........................</w:t>
            </w:r>
          </w:p>
        </w:tc>
        <w:tc>
          <w:tcPr>
            <w:tcW w:w="851" w:type="dxa"/>
          </w:tcPr>
          <w:p>
            <w:pPr>
              <w:tabs>
                <w:tab w:val="right" w:pos="1417"/>
              </w:tabs>
              <w:suppressAutoHyphens/>
              <w:spacing w:before="60"/>
              <w:jc w:val="center"/>
              <w:rPr>
                <w:spacing w:val="-2"/>
                <w:sz w:val="16"/>
              </w:rPr>
            </w:pPr>
            <w:r>
              <w:rPr>
                <w:spacing w:val="-2"/>
                <w:sz w:val="16"/>
              </w:rPr>
              <w:t>1123</w:t>
            </w:r>
          </w:p>
        </w:tc>
        <w:tc>
          <w:tcPr>
            <w:tcW w:w="1276" w:type="dxa"/>
          </w:tcPr>
          <w:p>
            <w:pPr>
              <w:tabs>
                <w:tab w:val="right" w:pos="1417"/>
              </w:tabs>
              <w:suppressAutoHyphens/>
              <w:spacing w:before="60"/>
              <w:jc w:val="center"/>
              <w:rPr>
                <w:spacing w:val="-2"/>
                <w:sz w:val="16"/>
              </w:rPr>
            </w:pPr>
            <w:r>
              <w:rPr>
                <w:spacing w:val="-2"/>
                <w:sz w:val="16"/>
              </w:rPr>
              <w:t>D</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n</w:t>
            </w:r>
            <w:r>
              <w:rPr>
                <w:spacing w:val="-2"/>
                <w:sz w:val="16"/>
              </w:rPr>
              <w:noBreakHyphen/>
              <w:t>Butyl acrylate.........................</w:t>
            </w:r>
          </w:p>
        </w:tc>
        <w:tc>
          <w:tcPr>
            <w:tcW w:w="851" w:type="dxa"/>
          </w:tcPr>
          <w:p>
            <w:pPr>
              <w:tabs>
                <w:tab w:val="right" w:pos="1417"/>
              </w:tabs>
              <w:suppressAutoHyphens/>
              <w:spacing w:before="60"/>
              <w:jc w:val="center"/>
              <w:rPr>
                <w:spacing w:val="-2"/>
                <w:sz w:val="16"/>
              </w:rPr>
            </w:pPr>
            <w:r>
              <w:rPr>
                <w:spacing w:val="-2"/>
                <w:sz w:val="16"/>
              </w:rPr>
              <w:t>2348</w:t>
            </w:r>
          </w:p>
        </w:tc>
        <w:tc>
          <w:tcPr>
            <w:tcW w:w="1276" w:type="dxa"/>
          </w:tcPr>
          <w:p>
            <w:pPr>
              <w:tabs>
                <w:tab w:val="right" w:pos="1417"/>
              </w:tabs>
              <w:suppressAutoHyphens/>
              <w:spacing w:before="60"/>
              <w:jc w:val="center"/>
              <w:rPr>
                <w:spacing w:val="-2"/>
                <w:sz w:val="16"/>
              </w:rPr>
            </w:pPr>
            <w:r>
              <w:rPr>
                <w:spacing w:val="-2"/>
                <w:sz w:val="16"/>
              </w:rPr>
              <w:t>D</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Butylamine (all isomers)...........</w:t>
            </w:r>
          </w:p>
        </w:tc>
        <w:tc>
          <w:tcPr>
            <w:tcW w:w="851" w:type="dxa"/>
          </w:tcPr>
          <w:p>
            <w:pPr>
              <w:tabs>
                <w:tab w:val="right" w:pos="1417"/>
              </w:tabs>
              <w:suppressAutoHyphens/>
              <w:spacing w:before="60"/>
              <w:jc w:val="center"/>
              <w:rPr>
                <w:spacing w:val="-2"/>
                <w:sz w:val="16"/>
              </w:rPr>
            </w:pPr>
            <w:r>
              <w:rPr>
                <w:spacing w:val="-2"/>
                <w:sz w:val="16"/>
              </w:rPr>
              <w:t>1125 (normal)</w:t>
            </w:r>
            <w:r>
              <w:rPr>
                <w:spacing w:val="-2"/>
                <w:sz w:val="16"/>
              </w:rPr>
              <w:br/>
              <w:t>1214 (iso)</w:t>
            </w:r>
          </w:p>
        </w:tc>
        <w:tc>
          <w:tcPr>
            <w:tcW w:w="1276" w:type="dxa"/>
          </w:tcPr>
          <w:p>
            <w:pPr>
              <w:tabs>
                <w:tab w:val="right" w:pos="1417"/>
              </w:tabs>
              <w:suppressAutoHyphens/>
              <w:spacing w:before="60"/>
              <w:jc w:val="center"/>
              <w:rPr>
                <w:spacing w:val="-2"/>
                <w:sz w:val="16"/>
              </w:rPr>
            </w:pPr>
            <w:r>
              <w:rPr>
                <w:spacing w:val="-2"/>
                <w:sz w:val="16"/>
              </w:rPr>
              <w:br/>
            </w:r>
            <w:r>
              <w:rPr>
                <w:spacing w:val="-2"/>
                <w:sz w:val="16"/>
              </w:rPr>
              <w:br/>
              <w:t>C</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Butyl/Decyl/Cetyl/Eicosyl </w:t>
            </w:r>
            <w:r>
              <w:rPr>
                <w:sz w:val="16"/>
              </w:rPr>
              <w:fldChar w:fldCharType="begin"/>
            </w:r>
            <w:r>
              <w:rPr>
                <w:sz w:val="16"/>
              </w:rPr>
              <w:instrText>ADVANCE \R 14.15</w:instrText>
            </w:r>
            <w:r>
              <w:rPr>
                <w:sz w:val="16"/>
              </w:rPr>
              <w:fldChar w:fldCharType="end"/>
            </w:r>
            <w:r>
              <w:rPr>
                <w:sz w:val="16"/>
              </w:rPr>
              <w:t>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0.01</w:t>
            </w:r>
          </w:p>
        </w:tc>
        <w:tc>
          <w:tcPr>
            <w:tcW w:w="1418"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tcPr>
          <w:p>
            <w:pPr>
              <w:pStyle w:val="yTable"/>
              <w:keepNext/>
              <w:jc w:val="center"/>
              <w:rPr>
                <w:sz w:val="16"/>
              </w:rPr>
            </w:pPr>
            <w:r>
              <w:rPr>
                <w:sz w:val="16"/>
              </w:rPr>
              <w:br/>
              <w:t>0.1</w:t>
            </w:r>
          </w:p>
        </w:tc>
        <w:tc>
          <w:tcPr>
            <w:tcW w:w="1418"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tcPr>
          <w:p>
            <w:pPr>
              <w:pStyle w:val="yTable"/>
              <w:keepNext/>
              <w:jc w:val="center"/>
              <w:rPr>
                <w:sz w:val="16"/>
              </w:rPr>
            </w:pPr>
            <w:r>
              <w:rPr>
                <w:sz w:val="16"/>
              </w:rPr>
              <w:br/>
              <w:t>0.1</w:t>
            </w:r>
          </w:p>
        </w:tc>
        <w:tc>
          <w:tcPr>
            <w:tcW w:w="1418"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tcPr>
          <w:p>
            <w:pPr>
              <w:pStyle w:val="yTable"/>
              <w:spacing w:before="0"/>
              <w:jc w:val="center"/>
              <w:rPr>
                <w:sz w:val="16"/>
              </w:rPr>
            </w:pPr>
          </w:p>
        </w:tc>
        <w:tc>
          <w:tcPr>
            <w:tcW w:w="1418"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0.01</w:t>
            </w:r>
          </w:p>
        </w:tc>
        <w:tc>
          <w:tcPr>
            <w:tcW w:w="1418"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rPr>
          <w:cantSplit/>
        </w:trPr>
        <w:tc>
          <w:tcPr>
            <w:tcW w:w="7230" w:type="dxa"/>
            <w:gridSpan w:val="5"/>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tcBorders>
              <w:bottom w:val="single" w:sz="2" w:space="0" w:color="auto"/>
            </w:tcBorders>
          </w:tcPr>
          <w:p>
            <w:pPr>
              <w:pStyle w:val="yTable"/>
              <w:jc w:val="center"/>
              <w:rPr>
                <w:sz w:val="16"/>
              </w:rPr>
            </w:pPr>
          </w:p>
        </w:tc>
        <w:tc>
          <w:tcPr>
            <w:tcW w:w="1418"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701"/>
      </w:tblGrid>
      <w:tr>
        <w:trPr>
          <w:tblHeader/>
        </w:trPr>
        <w:tc>
          <w:tcPr>
            <w:tcW w:w="5529" w:type="dxa"/>
            <w:tcBorders>
              <w:top w:val="single" w:sz="2" w:space="0" w:color="auto"/>
              <w:bottom w:val="single" w:sz="2" w:space="0" w:color="auto"/>
            </w:tcBorders>
          </w:tcPr>
          <w:p>
            <w:pPr>
              <w:pStyle w:val="yTable"/>
              <w:rPr>
                <w:sz w:val="20"/>
              </w:rPr>
            </w:pPr>
            <w:r>
              <w:rPr>
                <w:sz w:val="20"/>
              </w:rPr>
              <w:t>Substance</w:t>
            </w:r>
          </w:p>
        </w:tc>
        <w:tc>
          <w:tcPr>
            <w:tcW w:w="1701" w:type="dxa"/>
            <w:tcBorders>
              <w:top w:val="single" w:sz="2" w:space="0" w:color="auto"/>
              <w:bottom w:val="single" w:sz="2" w:space="0" w:color="auto"/>
            </w:tcBorders>
          </w:tcPr>
          <w:p>
            <w:pPr>
              <w:pStyle w:val="yTable"/>
              <w:ind w:left="-217"/>
              <w:jc w:val="center"/>
              <w:rPr>
                <w:sz w:val="20"/>
              </w:rPr>
            </w:pPr>
            <w:r>
              <w:rPr>
                <w:sz w:val="20"/>
              </w:rPr>
              <w:t>UN Number</w:t>
            </w:r>
          </w:p>
        </w:tc>
      </w:tr>
      <w:tr>
        <w:tc>
          <w:tcPr>
            <w:tcW w:w="5529" w:type="dxa"/>
          </w:tcPr>
          <w:p>
            <w:pPr>
              <w:pStyle w:val="yTable"/>
              <w:rPr>
                <w:sz w:val="20"/>
              </w:rPr>
            </w:pPr>
            <w:r>
              <w:rPr>
                <w:sz w:val="20"/>
              </w:rPr>
              <w:t>Acetone...........................................................................................</w:t>
            </w:r>
          </w:p>
        </w:tc>
        <w:tc>
          <w:tcPr>
            <w:tcW w:w="1701" w:type="dxa"/>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701"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4</w:t>
            </w:r>
            <w:r>
              <w:rPr>
                <w:sz w:val="20"/>
              </w:rPr>
              <w:t>....................................................................................</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 .....................................................................</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701"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t>Diethanolamine</w:t>
            </w:r>
          </w:p>
          <w:p>
            <w:pPr>
              <w:pStyle w:val="yTable"/>
              <w:keepNext/>
              <w:spacing w:before="0"/>
              <w:rPr>
                <w:sz w:val="20"/>
              </w:rPr>
            </w:pPr>
            <w:r>
              <w:rPr>
                <w:sz w:val="20"/>
              </w:rPr>
              <w:t>Diethylene glycol............................................................................</w:t>
            </w:r>
          </w:p>
        </w:tc>
        <w:tc>
          <w:tcPr>
            <w:tcW w:w="1701"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701"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701"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701"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701"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701"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701"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701"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701"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701" w:type="dxa"/>
          </w:tcPr>
          <w:p>
            <w:pPr>
              <w:pStyle w:val="yTable"/>
              <w:spacing w:before="0"/>
              <w:ind w:left="-215"/>
              <w:jc w:val="center"/>
              <w:rPr>
                <w:sz w:val="20"/>
              </w:rPr>
            </w:pPr>
            <w:r>
              <w:rPr>
                <w:sz w:val="20"/>
              </w:rPr>
              <w:t>1230</w:t>
            </w:r>
          </w:p>
        </w:tc>
      </w:tr>
      <w:tr>
        <w:tc>
          <w:tcPr>
            <w:tcW w:w="5529" w:type="dxa"/>
          </w:tcPr>
          <w:p>
            <w:pPr>
              <w:pStyle w:val="yTable"/>
              <w:keepNext/>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keepNext/>
              <w:spacing w:before="0"/>
              <w:rPr>
                <w:sz w:val="20"/>
              </w:rPr>
            </w:pPr>
            <w:r>
              <w:rPr>
                <w:sz w:val="20"/>
              </w:rPr>
              <w:t>3</w:t>
            </w:r>
            <w:r>
              <w:rPr>
                <w:sz w:val="20"/>
              </w:rPr>
              <w:noBreakHyphen/>
              <w:t>Methyl</w:t>
            </w:r>
            <w:r>
              <w:rPr>
                <w:sz w:val="20"/>
              </w:rPr>
              <w:noBreakHyphen/>
              <w:t>3</w:t>
            </w:r>
            <w:r>
              <w:rPr>
                <w:sz w:val="20"/>
              </w:rPr>
              <w:noBreakHyphen/>
              <w:t>methoxy butanol</w:t>
            </w:r>
          </w:p>
          <w:p>
            <w:pPr>
              <w:pStyle w:val="yTable"/>
              <w:keepNext/>
              <w:spacing w:before="0"/>
              <w:rPr>
                <w:sz w:val="20"/>
              </w:rPr>
            </w:pPr>
            <w:r>
              <w:rPr>
                <w:sz w:val="20"/>
              </w:rPr>
              <w:t>3</w:t>
            </w:r>
            <w:r>
              <w:rPr>
                <w:sz w:val="20"/>
              </w:rPr>
              <w:noBreakHyphen/>
              <w:t>Methyl</w:t>
            </w:r>
            <w:r>
              <w:rPr>
                <w:sz w:val="20"/>
              </w:rPr>
              <w:noBreakHyphen/>
              <w:t>3</w:t>
            </w:r>
            <w:r>
              <w:rPr>
                <w:sz w:val="20"/>
              </w:rPr>
              <w:noBreakHyphen/>
              <w:t>methoxy butyl acetate</w:t>
            </w:r>
          </w:p>
          <w:p>
            <w:pPr>
              <w:pStyle w:val="yTable"/>
              <w:keepNext/>
              <w:spacing w:before="0"/>
              <w:rPr>
                <w:sz w:val="20"/>
              </w:rPr>
            </w:pPr>
            <w:r>
              <w:rPr>
                <w:sz w:val="20"/>
              </w:rPr>
              <w:t>2</w:t>
            </w:r>
            <w:r>
              <w:rPr>
                <w:sz w:val="20"/>
              </w:rPr>
              <w:noBreakHyphen/>
              <w:t>Methylpentane</w:t>
            </w:r>
            <w:r>
              <w:rPr>
                <w:rStyle w:val="FootnoteReference"/>
                <w:sz w:val="20"/>
                <w:vertAlign w:val="baseline"/>
              </w:rPr>
              <w:footnoteReference w:customMarkFollows="1" w:id="42"/>
              <w:t>*</w:t>
            </w:r>
            <w:r>
              <w:rPr>
                <w:sz w:val="20"/>
              </w:rPr>
              <w:t>...........................................................................</w:t>
            </w:r>
          </w:p>
        </w:tc>
        <w:tc>
          <w:tcPr>
            <w:tcW w:w="1701" w:type="dxa"/>
          </w:tcPr>
          <w:p>
            <w:pPr>
              <w:pStyle w:val="yTable"/>
              <w:keepNext/>
              <w:spacing w:before="0"/>
              <w:ind w:left="-215"/>
              <w:jc w:val="center"/>
              <w:rPr>
                <w:sz w:val="20"/>
              </w:rPr>
            </w:pPr>
            <w:r>
              <w:rPr>
                <w:sz w:val="20"/>
              </w:rPr>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701"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701"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701"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701"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p>
          <w:p>
            <w:pPr>
              <w:pStyle w:val="yTable"/>
              <w:spacing w:before="0"/>
              <w:rPr>
                <w:sz w:val="20"/>
              </w:rPr>
            </w:pPr>
            <w:r>
              <w:rPr>
                <w:sz w:val="20"/>
              </w:rPr>
              <w:t>Sulphur (molten) ............................................................................</w:t>
            </w:r>
          </w:p>
        </w:tc>
        <w:tc>
          <w:tcPr>
            <w:tcW w:w="1701"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701" w:type="dxa"/>
          </w:tcPr>
          <w:p>
            <w:pPr>
              <w:pStyle w:val="yTable"/>
              <w:ind w:left="-217"/>
              <w:jc w:val="center"/>
              <w:rPr>
                <w:sz w:val="20"/>
              </w:rPr>
            </w:pPr>
          </w:p>
        </w:tc>
      </w:tr>
    </w:tbl>
    <w:p>
      <w:pPr>
        <w:pStyle w:val="MiscellaneousHeading"/>
        <w:spacing w:before="300"/>
        <w:rPr>
          <w:sz w:val="22"/>
        </w:rPr>
      </w:pPr>
      <w:r>
        <w:rPr>
          <w:sz w:val="22"/>
        </w:rPr>
        <w:t>APPENDIX IV</w:t>
      </w:r>
    </w:p>
    <w:p>
      <w:pPr>
        <w:pStyle w:val="MiscellaneousHeading"/>
        <w:rPr>
          <w:sz w:val="22"/>
        </w:rPr>
      </w:pPr>
      <w:r>
        <w:rPr>
          <w:sz w:val="22"/>
        </w:rPr>
        <w:t>CARGO RECORD BOOK FOR SHIPS CARRYING NOXIOUS LIQUID SUBSTANCES IN BULK</w:t>
      </w:r>
    </w:p>
    <w:p>
      <w:pPr>
        <w:pStyle w:val="MiscellaneousBody"/>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sz w:val="2"/>
        </w:rPr>
      </w:pPr>
      <w:r>
        <w:rPr>
          <w:noProof/>
          <w:lang w:eastAsia="en-AU"/>
        </w:rPr>
        <w:drawing>
          <wp:inline distT="0" distB="0" distL="0" distR="0">
            <wp:extent cx="4494530" cy="5210175"/>
            <wp:effectExtent l="0" t="0" r="1270" b="9525"/>
            <wp:docPr id="17" name="Picture 17"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lut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p>
    <w:p>
      <w:pPr>
        <w:pStyle w:val="MiscellaneousHeading"/>
        <w:rPr>
          <w:sz w:val="22"/>
        </w:rPr>
      </w:pPr>
      <w:r>
        <w:rPr>
          <w:sz w:val="22"/>
        </w:rPr>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CLEANING OF CARGO TANKS EXCEPT MANDATORY PREWASH (OTHER PREWASH OPERATIONS, FINAL WASH,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DISCHARGE INTO THE SEA OF TANK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t xml:space="preserve">NAME OF SHIP: ................................................................................................... </w:t>
      </w:r>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 xml:space="preserve">OR LETTERS: ....................................................................................................... </w:t>
      </w:r>
    </w:p>
    <w:p>
      <w:pPr>
        <w:pStyle w:val="MiscellaneousBody"/>
        <w:spacing w:before="0"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t>APPENDIX V</w:t>
      </w:r>
    </w:p>
    <w:p>
      <w:pPr>
        <w:pStyle w:val="MiscellaneousHeading"/>
        <w:rPr>
          <w:sz w:val="22"/>
        </w:rPr>
      </w:pPr>
      <w:r>
        <w:rPr>
          <w:sz w:val="22"/>
        </w:rPr>
        <w:t>FORM OF CERTIFICATE</w:t>
      </w:r>
    </w:p>
    <w:p>
      <w:pPr>
        <w:pStyle w:val="MiscellaneousBody"/>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That the ship has been provided with a manual in accordance with the standards for procedures and arrangements as called for by Regulation 5, 5A and 8 of Annex II of the Convention, and that the arrangements and 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3"/>
              <w:t>*</w:t>
            </w:r>
            <w:r>
              <w:t>Continued on additional signed and dated sheets</w:t>
            </w:r>
          </w:p>
        </w:tc>
      </w:tr>
    </w:tbl>
    <w:p>
      <w:pPr>
        <w:pStyle w:val="MiscellaneousBody"/>
        <w:tabs>
          <w:tab w:val="right" w:leader="dot" w:pos="7088"/>
        </w:tabs>
        <w:rPr>
          <w:sz w:val="22"/>
        </w:rPr>
      </w:pPr>
      <w:r>
        <w:rPr>
          <w:sz w:val="22"/>
        </w:rPr>
        <w:t xml:space="preserve">This certificate is valid, until ................................................................................. </w:t>
      </w:r>
    </w:p>
    <w:p>
      <w:pPr>
        <w:pStyle w:val="MiscellaneousBody"/>
        <w:tabs>
          <w:tab w:val="right" w:leader="dot" w:pos="7088"/>
        </w:tabs>
        <w:spacing w:before="0"/>
        <w:rPr>
          <w:sz w:val="22"/>
        </w:rPr>
      </w:pPr>
      <w:r>
        <w:rPr>
          <w:sz w:val="22"/>
        </w:rPr>
        <w:t xml:space="preserve">subject to surveys in accordance with Regulation 10 of Annex II of the Convention </w:t>
      </w:r>
    </w:p>
    <w:p>
      <w:pPr>
        <w:pStyle w:val="MiscellaneousBody"/>
        <w:tabs>
          <w:tab w:val="right" w:leader="dot" w:pos="7088"/>
        </w:tabs>
        <w:spacing w:before="0"/>
        <w:rPr>
          <w:sz w:val="22"/>
        </w:rPr>
      </w:pPr>
      <w:r>
        <w:rPr>
          <w:sz w:val="22"/>
        </w:rPr>
        <w:t xml:space="preserve">Issued at  ................................................................................................................ </w:t>
      </w:r>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44"/>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264" w:name="_Toc527777307"/>
      <w:bookmarkStart w:id="265" w:name="_Toc103143850"/>
      <w:bookmarkStart w:id="266" w:name="_Toc267925804"/>
      <w:bookmarkStart w:id="267" w:name="_Toc268185884"/>
      <w:bookmarkStart w:id="268" w:name="_Toc268617518"/>
      <w:bookmarkStart w:id="269" w:name="_Toc272309062"/>
      <w:r>
        <w:rPr>
          <w:rStyle w:val="CharSchNo"/>
        </w:rPr>
        <w:t>Schedule 5</w:t>
      </w:r>
      <w:bookmarkEnd w:id="264"/>
      <w:bookmarkEnd w:id="265"/>
      <w:bookmarkEnd w:id="266"/>
      <w:r>
        <w:t> — </w:t>
      </w:r>
      <w:r>
        <w:rPr>
          <w:rStyle w:val="CharSchText"/>
        </w:rPr>
        <w:t>1985 amendments to Protocol I</w:t>
      </w:r>
      <w:bookmarkEnd w:id="267"/>
      <w:bookmarkEnd w:id="268"/>
      <w:bookmarkEnd w:id="269"/>
    </w:p>
    <w:p>
      <w:pPr>
        <w:pStyle w:val="yShoulderClause"/>
      </w:pPr>
      <w:r>
        <w:t>[s. 3]</w:t>
      </w:r>
    </w:p>
    <w:p>
      <w:pPr>
        <w:pStyle w:val="yFootnoteheading"/>
      </w:pPr>
      <w:r>
        <w:tab/>
        <w:t>[Heading amended by No. 19 of 2010 s. 4.]</w:t>
      </w:r>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 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 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 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 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 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rPr>
          <w:sz w:val="22"/>
        </w:rPr>
      </w:pPr>
      <w:r>
        <w:rPr>
          <w:sz w:val="22"/>
        </w:rPr>
        <w:t>(1) 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this Article being abandoned, or in the event of a report from such a ship being incomplete or unobtainable, the owner, charterer, manager or operator of the ship, or their 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 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rPr>
          <w:sz w:val="22"/>
        </w:rPr>
        <w:t>(2) 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 Reports shall be made by the fastest telecommunications channels available with the highest possible priority to the nearest coastal State.</w:t>
      </w:r>
    </w:p>
    <w:p>
      <w:pPr>
        <w:pStyle w:val="MiscellaneousBody"/>
        <w:rPr>
          <w:sz w:val="22"/>
        </w:rPr>
      </w:pPr>
      <w:r>
        <w:rPr>
          <w:sz w:val="22"/>
        </w:rPr>
        <w:t>(2) 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sectPr>
          <w:headerReference w:type="even" r:id="rId40"/>
          <w:headerReference w:type="default" r:id="rId41"/>
          <w:headerReference w:type="first" r:id="rId42"/>
          <w:footnotePr>
            <w:numStart w:val="2"/>
          </w:footnotePr>
          <w:pgSz w:w="11906" w:h="16838" w:code="9"/>
          <w:pgMar w:top="2381" w:right="2410" w:bottom="3544" w:left="2410" w:header="720" w:footer="3380" w:gutter="0"/>
          <w:cols w:space="720"/>
          <w:noEndnote/>
          <w:docGrid w:linePitch="326"/>
        </w:sectPr>
      </w:pPr>
    </w:p>
    <w:p>
      <w:pPr>
        <w:pStyle w:val="nHeading2"/>
        <w:pageBreakBefore/>
      </w:pPr>
      <w:bookmarkStart w:id="270" w:name="_Toc89495363"/>
      <w:bookmarkStart w:id="271" w:name="_Toc89495428"/>
      <w:bookmarkStart w:id="272" w:name="_Toc89582585"/>
      <w:bookmarkStart w:id="273" w:name="_Toc96999305"/>
      <w:bookmarkStart w:id="274" w:name="_Toc102539948"/>
      <w:bookmarkStart w:id="275" w:name="_Toc103143022"/>
      <w:bookmarkStart w:id="276" w:name="_Toc103143851"/>
      <w:bookmarkStart w:id="277" w:name="_Toc267925805"/>
      <w:bookmarkStart w:id="278" w:name="_Toc268185885"/>
      <w:bookmarkStart w:id="279" w:name="_Toc268617519"/>
      <w:bookmarkStart w:id="280" w:name="_Toc272309063"/>
      <w:r>
        <w:t>Notes</w:t>
      </w:r>
      <w:bookmarkEnd w:id="270"/>
      <w:bookmarkEnd w:id="271"/>
      <w:bookmarkEnd w:id="272"/>
      <w:bookmarkEnd w:id="273"/>
      <w:bookmarkEnd w:id="274"/>
      <w:bookmarkEnd w:id="275"/>
      <w:bookmarkEnd w:id="276"/>
      <w:bookmarkEnd w:id="277"/>
      <w:bookmarkEnd w:id="278"/>
      <w:bookmarkEnd w:id="279"/>
      <w:bookmarkEnd w:id="280"/>
    </w:p>
    <w:p>
      <w:pPr>
        <w:pStyle w:val="nSubsection"/>
        <w:rPr>
          <w:snapToGrid w:val="0"/>
        </w:rPr>
      </w:pPr>
      <w:r>
        <w:rPr>
          <w:snapToGrid w:val="0"/>
          <w:vertAlign w:val="superscript"/>
        </w:rPr>
        <w:t>1</w:t>
      </w:r>
      <w:r>
        <w:rPr>
          <w:snapToGrid w:val="0"/>
        </w:rPr>
        <w:tab/>
        <w:t xml:space="preserve">This is a compilation of the </w:t>
      </w:r>
      <w:r>
        <w:rPr>
          <w:i/>
          <w:snapToGrid w:val="0"/>
        </w:rPr>
        <w:t>Pollution of Waters by Oil and Noxious Substances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1" w:name="_Toc527777308"/>
      <w:bookmarkStart w:id="282" w:name="_Toc103143852"/>
      <w:bookmarkStart w:id="283" w:name="_Toc272309064"/>
      <w:r>
        <w:rPr>
          <w:snapToGrid w:val="0"/>
        </w:rPr>
        <w:t>Compilation table</w:t>
      </w:r>
      <w:bookmarkEnd w:id="281"/>
      <w:bookmarkEnd w:id="282"/>
      <w:bookmarkEnd w:id="283"/>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28"/>
        <w:gridCol w:w="1106"/>
        <w:gridCol w:w="14"/>
        <w:gridCol w:w="14"/>
        <w:gridCol w:w="1106"/>
        <w:gridCol w:w="28"/>
        <w:gridCol w:w="2507"/>
        <w:gridCol w:w="17"/>
      </w:tblGrid>
      <w:tr>
        <w:trPr>
          <w:gridBefore w:val="1"/>
          <w:wBefore w:w="14" w:type="dxa"/>
          <w:tblHeader/>
        </w:trPr>
        <w:tc>
          <w:tcPr>
            <w:tcW w:w="2268" w:type="dxa"/>
            <w:tcBorders>
              <w:top w:val="single" w:sz="8" w:space="0" w:color="auto"/>
              <w:bottom w:val="single" w:sz="8" w:space="0" w:color="auto"/>
            </w:tcBorders>
          </w:tcPr>
          <w:p>
            <w:pPr>
              <w:pStyle w:val="nTable"/>
              <w:rPr>
                <w:b/>
              </w:rPr>
            </w:pPr>
            <w:r>
              <w:rPr>
                <w:b/>
              </w:rPr>
              <w:t>Short title</w:t>
            </w:r>
          </w:p>
        </w:tc>
        <w:tc>
          <w:tcPr>
            <w:tcW w:w="1134" w:type="dxa"/>
            <w:gridSpan w:val="2"/>
            <w:tcBorders>
              <w:top w:val="single" w:sz="8" w:space="0" w:color="auto"/>
              <w:bottom w:val="single" w:sz="8" w:space="0" w:color="auto"/>
            </w:tcBorders>
          </w:tcPr>
          <w:p>
            <w:pPr>
              <w:pStyle w:val="nTable"/>
              <w:rPr>
                <w:b/>
              </w:rPr>
            </w:pPr>
            <w:r>
              <w:rPr>
                <w:b/>
              </w:rPr>
              <w:t>Number and Year</w:t>
            </w:r>
          </w:p>
        </w:tc>
        <w:tc>
          <w:tcPr>
            <w:tcW w:w="1134" w:type="dxa"/>
            <w:gridSpan w:val="3"/>
            <w:tcBorders>
              <w:top w:val="single" w:sz="8" w:space="0" w:color="auto"/>
              <w:bottom w:val="single" w:sz="8" w:space="0" w:color="auto"/>
            </w:tcBorders>
          </w:tcPr>
          <w:p>
            <w:pPr>
              <w:pStyle w:val="nTable"/>
              <w:rPr>
                <w:b/>
              </w:rPr>
            </w:pPr>
            <w:r>
              <w:rPr>
                <w:b/>
              </w:rPr>
              <w:t>Assent</w:t>
            </w:r>
          </w:p>
        </w:tc>
        <w:tc>
          <w:tcPr>
            <w:tcW w:w="2552" w:type="dxa"/>
            <w:gridSpan w:val="3"/>
            <w:tcBorders>
              <w:top w:val="single" w:sz="8" w:space="0" w:color="auto"/>
              <w:bottom w:val="single" w:sz="8" w:space="0" w:color="auto"/>
            </w:tcBorders>
          </w:tcPr>
          <w:p>
            <w:pPr>
              <w:pStyle w:val="nTable"/>
              <w:rPr>
                <w:b/>
              </w:rPr>
            </w:pPr>
            <w:r>
              <w:rPr>
                <w:b/>
              </w:rPr>
              <w:t>Commencement</w:t>
            </w:r>
          </w:p>
        </w:tc>
      </w:tr>
      <w:tr>
        <w:trPr>
          <w:gridBefore w:val="1"/>
          <w:wBefore w:w="14" w:type="dxa"/>
        </w:trPr>
        <w:tc>
          <w:tcPr>
            <w:tcW w:w="2268" w:type="dxa"/>
          </w:tcPr>
          <w:p>
            <w:pPr>
              <w:pStyle w:val="nTable"/>
              <w:spacing w:before="120"/>
            </w:pPr>
            <w:r>
              <w:rPr>
                <w:i/>
              </w:rPr>
              <w:t>Pollution of Waters by Oil and Noxious Substances Act 1987</w:t>
            </w:r>
          </w:p>
        </w:tc>
        <w:tc>
          <w:tcPr>
            <w:tcW w:w="1134" w:type="dxa"/>
            <w:gridSpan w:val="2"/>
          </w:tcPr>
          <w:p>
            <w:pPr>
              <w:pStyle w:val="nTable"/>
              <w:spacing w:before="120"/>
            </w:pPr>
            <w:r>
              <w:t>14 of 1987</w:t>
            </w:r>
          </w:p>
        </w:tc>
        <w:tc>
          <w:tcPr>
            <w:tcW w:w="1134" w:type="dxa"/>
            <w:gridSpan w:val="3"/>
          </w:tcPr>
          <w:p>
            <w:pPr>
              <w:pStyle w:val="nTable"/>
              <w:spacing w:before="120"/>
            </w:pPr>
            <w:r>
              <w:t>29 Jun 1987</w:t>
            </w:r>
          </w:p>
        </w:tc>
        <w:tc>
          <w:tcPr>
            <w:tcW w:w="2552" w:type="dxa"/>
            <w:gridSpan w:val="3"/>
          </w:tcPr>
          <w:p>
            <w:pPr>
              <w:pStyle w:val="nTable"/>
              <w:spacing w:before="120"/>
            </w:pPr>
            <w:r>
              <w:t xml:space="preserve">1 Jul 1993 (see s. 2 and </w:t>
            </w:r>
            <w:r>
              <w:rPr>
                <w:i/>
              </w:rPr>
              <w:t>Gazette</w:t>
            </w:r>
            <w:r>
              <w:t xml:space="preserve"> 29 Jun 1993 p. 3163)</w:t>
            </w:r>
          </w:p>
        </w:tc>
      </w:tr>
      <w:tr>
        <w:trPr>
          <w:gridBefore w:val="1"/>
          <w:wBefore w:w="14" w:type="dxa"/>
        </w:trPr>
        <w:tc>
          <w:tcPr>
            <w:tcW w:w="2268" w:type="dxa"/>
          </w:tcPr>
          <w:p>
            <w:pPr>
              <w:pStyle w:val="nTable"/>
              <w:spacing w:before="120"/>
            </w:pPr>
            <w:r>
              <w:rPr>
                <w:i/>
              </w:rPr>
              <w:t xml:space="preserve">Ports (Functions) Act 1993 </w:t>
            </w:r>
            <w:r>
              <w:t>s. 46</w:t>
            </w:r>
          </w:p>
        </w:tc>
        <w:tc>
          <w:tcPr>
            <w:tcW w:w="1134" w:type="dxa"/>
            <w:gridSpan w:val="2"/>
          </w:tcPr>
          <w:p>
            <w:pPr>
              <w:pStyle w:val="nTable"/>
              <w:spacing w:before="120"/>
            </w:pPr>
            <w:r>
              <w:t>46 of 1993</w:t>
            </w:r>
          </w:p>
        </w:tc>
        <w:tc>
          <w:tcPr>
            <w:tcW w:w="1134" w:type="dxa"/>
            <w:gridSpan w:val="3"/>
          </w:tcPr>
          <w:p>
            <w:pPr>
              <w:pStyle w:val="nTable"/>
              <w:spacing w:before="120"/>
            </w:pPr>
            <w:r>
              <w:t>20 Dec 1993</w:t>
            </w:r>
          </w:p>
        </w:tc>
        <w:tc>
          <w:tcPr>
            <w:tcW w:w="2552" w:type="dxa"/>
            <w:gridSpan w:val="3"/>
          </w:tcPr>
          <w:p>
            <w:pPr>
              <w:pStyle w:val="nTable"/>
              <w:spacing w:before="120"/>
            </w:pPr>
            <w:r>
              <w:t xml:space="preserve">15 Jun 1994 (see s. 2 and </w:t>
            </w:r>
            <w:r>
              <w:rPr>
                <w:i/>
              </w:rPr>
              <w:t>Gazette</w:t>
            </w:r>
            <w:r>
              <w:t xml:space="preserve"> 10 Jun 1994 p. 2373)</w:t>
            </w:r>
          </w:p>
        </w:tc>
      </w:tr>
      <w:tr>
        <w:trPr>
          <w:gridBefore w:val="1"/>
          <w:wBefore w:w="14" w:type="dxa"/>
        </w:trPr>
        <w:tc>
          <w:tcPr>
            <w:tcW w:w="2268" w:type="dxa"/>
          </w:tcPr>
          <w:p>
            <w:pPr>
              <w:pStyle w:val="nTable"/>
              <w:spacing w:before="120"/>
            </w:pPr>
            <w:r>
              <w:rPr>
                <w:i/>
              </w:rPr>
              <w:t xml:space="preserve">Acts Amendment (Department of Transport) Act 1993 </w:t>
            </w:r>
            <w:r>
              <w:t>Pt. 11</w:t>
            </w:r>
          </w:p>
        </w:tc>
        <w:tc>
          <w:tcPr>
            <w:tcW w:w="1134" w:type="dxa"/>
            <w:gridSpan w:val="2"/>
          </w:tcPr>
          <w:p>
            <w:pPr>
              <w:pStyle w:val="nTable"/>
              <w:spacing w:before="120"/>
            </w:pPr>
            <w:r>
              <w:t>47 of 1993</w:t>
            </w:r>
          </w:p>
        </w:tc>
        <w:tc>
          <w:tcPr>
            <w:tcW w:w="1134" w:type="dxa"/>
            <w:gridSpan w:val="3"/>
          </w:tcPr>
          <w:p>
            <w:pPr>
              <w:pStyle w:val="nTable"/>
              <w:spacing w:before="120"/>
            </w:pPr>
            <w:r>
              <w:t>20 Dec 1993</w:t>
            </w:r>
          </w:p>
        </w:tc>
        <w:tc>
          <w:tcPr>
            <w:tcW w:w="2552" w:type="dxa"/>
            <w:gridSpan w:val="3"/>
          </w:tcPr>
          <w:p>
            <w:pPr>
              <w:pStyle w:val="nTable"/>
              <w:spacing w:before="120"/>
            </w:pPr>
            <w:r>
              <w:t xml:space="preserve">1 Jan 1994 (see s. 2 and </w:t>
            </w:r>
            <w:r>
              <w:rPr>
                <w:i/>
              </w:rPr>
              <w:t>Gazette</w:t>
            </w:r>
            <w:r>
              <w:t xml:space="preserve"> 31 Dec 1993 p. 6861)</w:t>
            </w:r>
          </w:p>
        </w:tc>
      </w:tr>
      <w:tr>
        <w:trPr>
          <w:gridBefore w:val="1"/>
          <w:wBefore w:w="14" w:type="dxa"/>
        </w:trPr>
        <w:tc>
          <w:tcPr>
            <w:tcW w:w="2268" w:type="dxa"/>
          </w:tcPr>
          <w:p>
            <w:pPr>
              <w:pStyle w:val="nTable"/>
              <w:spacing w:before="120"/>
            </w:pPr>
            <w:r>
              <w:rPr>
                <w:i/>
              </w:rPr>
              <w:t xml:space="preserve">Sunday Observance Laws Amendment and Repeal Act 1997 </w:t>
            </w:r>
            <w:r>
              <w:t>s. 5</w:t>
            </w:r>
          </w:p>
        </w:tc>
        <w:tc>
          <w:tcPr>
            <w:tcW w:w="1134" w:type="dxa"/>
            <w:gridSpan w:val="2"/>
          </w:tcPr>
          <w:p>
            <w:pPr>
              <w:pStyle w:val="nTable"/>
              <w:spacing w:before="120"/>
            </w:pPr>
            <w:r>
              <w:t>49 of 1997</w:t>
            </w:r>
          </w:p>
        </w:tc>
        <w:tc>
          <w:tcPr>
            <w:tcW w:w="1134" w:type="dxa"/>
            <w:gridSpan w:val="3"/>
          </w:tcPr>
          <w:p>
            <w:pPr>
              <w:pStyle w:val="nTable"/>
              <w:spacing w:before="120"/>
            </w:pPr>
            <w:r>
              <w:t>10 Dec 1997</w:t>
            </w:r>
          </w:p>
        </w:tc>
        <w:tc>
          <w:tcPr>
            <w:tcW w:w="2552" w:type="dxa"/>
            <w:gridSpan w:val="3"/>
          </w:tcPr>
          <w:p>
            <w:pPr>
              <w:pStyle w:val="nTable"/>
              <w:spacing w:before="120"/>
            </w:pPr>
            <w:r>
              <w:t>10 Dec 1997 (see s. 2)</w:t>
            </w:r>
          </w:p>
        </w:tc>
      </w:tr>
      <w:tr>
        <w:trPr>
          <w:gridBefore w:val="1"/>
          <w:wBefore w:w="14" w:type="dxa"/>
          <w:cantSplit/>
        </w:trPr>
        <w:tc>
          <w:tcPr>
            <w:tcW w:w="7088" w:type="dxa"/>
            <w:gridSpan w:val="9"/>
          </w:tcPr>
          <w:p>
            <w:pPr>
              <w:pStyle w:val="nTable"/>
              <w:spacing w:before="120"/>
            </w:pPr>
            <w:r>
              <w:rPr>
                <w:b/>
                <w:sz w:val="19"/>
              </w:rPr>
              <w:t xml:space="preserve">Reprint of the </w:t>
            </w:r>
            <w:r>
              <w:rPr>
                <w:b/>
                <w:i/>
                <w:sz w:val="19"/>
              </w:rPr>
              <w:t>Pollution of Waters by Oil and Noxious Substances Act 1987</w:t>
            </w:r>
            <w:r>
              <w:rPr>
                <w:b/>
                <w:sz w:val="19"/>
              </w:rPr>
              <w:t xml:space="preserve"> as at 12 Oct 2001</w:t>
            </w:r>
            <w:r>
              <w:rPr>
                <w:b/>
              </w:rPr>
              <w:t xml:space="preserve"> </w:t>
            </w:r>
            <w:r>
              <w:t>(includes amendments listed above)</w:t>
            </w:r>
          </w:p>
        </w:tc>
      </w:tr>
      <w:tr>
        <w:trPr>
          <w:gridBefore w:val="1"/>
          <w:wBefore w:w="14" w:type="dxa"/>
          <w:cantSplit/>
        </w:trPr>
        <w:tc>
          <w:tcPr>
            <w:tcW w:w="2296" w:type="dxa"/>
            <w:gridSpan w:val="2"/>
          </w:tcPr>
          <w:p>
            <w:pPr>
              <w:pStyle w:val="nTable"/>
              <w:spacing w:before="120"/>
              <w:rPr>
                <w:sz w:val="19"/>
              </w:rPr>
            </w:pPr>
            <w:r>
              <w:rPr>
                <w:i/>
                <w:sz w:val="19"/>
              </w:rPr>
              <w:t>Ports and Marine Legislation Amendment Act 2003</w:t>
            </w:r>
            <w:r>
              <w:rPr>
                <w:sz w:val="19"/>
              </w:rPr>
              <w:t xml:space="preserve"> Pt. 3</w:t>
            </w:r>
          </w:p>
        </w:tc>
        <w:tc>
          <w:tcPr>
            <w:tcW w:w="1134" w:type="dxa"/>
            <w:gridSpan w:val="3"/>
          </w:tcPr>
          <w:p>
            <w:pPr>
              <w:pStyle w:val="nTable"/>
              <w:spacing w:before="120"/>
              <w:rPr>
                <w:sz w:val="19"/>
              </w:rPr>
            </w:pPr>
            <w:r>
              <w:rPr>
                <w:sz w:val="19"/>
              </w:rPr>
              <w:t>71 of 2003</w:t>
            </w:r>
          </w:p>
        </w:tc>
        <w:tc>
          <w:tcPr>
            <w:tcW w:w="1134" w:type="dxa"/>
            <w:gridSpan w:val="2"/>
          </w:tcPr>
          <w:p>
            <w:pPr>
              <w:pStyle w:val="nTable"/>
              <w:spacing w:before="120"/>
              <w:rPr>
                <w:sz w:val="19"/>
              </w:rPr>
            </w:pPr>
            <w:r>
              <w:rPr>
                <w:sz w:val="19"/>
              </w:rPr>
              <w:t>15 Dec 2003</w:t>
            </w:r>
          </w:p>
        </w:tc>
        <w:tc>
          <w:tcPr>
            <w:tcW w:w="2524" w:type="dxa"/>
            <w:gridSpan w:val="2"/>
          </w:tcPr>
          <w:p>
            <w:pPr>
              <w:pStyle w:val="nTable"/>
              <w:spacing w:before="120"/>
              <w:rPr>
                <w:sz w:val="19"/>
              </w:rPr>
            </w:pPr>
            <w:r>
              <w:rPr>
                <w:sz w:val="19"/>
              </w:rPr>
              <w:t>15 Dec 2003 (see s. 2(1))</w:t>
            </w:r>
          </w:p>
        </w:tc>
      </w:tr>
      <w:tr>
        <w:trPr>
          <w:gridBefore w:val="1"/>
          <w:wBefore w:w="14" w:type="dxa"/>
          <w:cantSplit/>
        </w:trPr>
        <w:tc>
          <w:tcPr>
            <w:tcW w:w="2296" w:type="dxa"/>
            <w:gridSpan w:val="2"/>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3"/>
          </w:tcPr>
          <w:p>
            <w:pPr>
              <w:pStyle w:val="nTable"/>
              <w:spacing w:before="120"/>
              <w:rPr>
                <w:sz w:val="19"/>
              </w:rPr>
            </w:pPr>
            <w:r>
              <w:rPr>
                <w:snapToGrid w:val="0"/>
                <w:sz w:val="19"/>
                <w:lang w:val="en-US"/>
              </w:rPr>
              <w:t>59 of 2004</w:t>
            </w:r>
          </w:p>
        </w:tc>
        <w:tc>
          <w:tcPr>
            <w:tcW w:w="1134" w:type="dxa"/>
            <w:gridSpan w:val="2"/>
          </w:tcPr>
          <w:p>
            <w:pPr>
              <w:pStyle w:val="nTable"/>
              <w:spacing w:before="120"/>
              <w:rPr>
                <w:sz w:val="19"/>
              </w:rPr>
            </w:pPr>
            <w:r>
              <w:rPr>
                <w:sz w:val="19"/>
              </w:rPr>
              <w:t>23 Nov 2004</w:t>
            </w:r>
          </w:p>
        </w:tc>
        <w:tc>
          <w:tcPr>
            <w:tcW w:w="2524" w:type="dxa"/>
            <w:gridSpan w:val="2"/>
          </w:tcPr>
          <w:p>
            <w:pPr>
              <w:pStyle w:val="nTable"/>
              <w:spacing w:before="12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gridBefore w:val="1"/>
          <w:wBefore w:w="14" w:type="dxa"/>
          <w:cantSplit/>
        </w:trPr>
        <w:tc>
          <w:tcPr>
            <w:tcW w:w="2296" w:type="dxa"/>
            <w:gridSpan w:val="2"/>
          </w:tcPr>
          <w:p>
            <w:pPr>
              <w:pStyle w:val="nTable"/>
              <w:spacing w:before="12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gridSpan w:val="3"/>
          </w:tcPr>
          <w:p>
            <w:pPr>
              <w:pStyle w:val="nTable"/>
              <w:spacing w:before="120"/>
              <w:rPr>
                <w:snapToGrid w:val="0"/>
                <w:sz w:val="19"/>
                <w:lang w:val="en-US"/>
              </w:rPr>
            </w:pPr>
            <w:r>
              <w:rPr>
                <w:snapToGrid w:val="0"/>
                <w:sz w:val="19"/>
                <w:lang w:val="en-US"/>
              </w:rPr>
              <w:t>84 of 2004</w:t>
            </w:r>
          </w:p>
        </w:tc>
        <w:tc>
          <w:tcPr>
            <w:tcW w:w="1134" w:type="dxa"/>
            <w:gridSpan w:val="2"/>
          </w:tcPr>
          <w:p>
            <w:pPr>
              <w:pStyle w:val="nTable"/>
              <w:spacing w:before="120"/>
              <w:rPr>
                <w:sz w:val="19"/>
              </w:rPr>
            </w:pPr>
            <w:r>
              <w:rPr>
                <w:sz w:val="19"/>
              </w:rPr>
              <w:t>16 Dec 2004</w:t>
            </w:r>
          </w:p>
        </w:tc>
        <w:tc>
          <w:tcPr>
            <w:tcW w:w="2524" w:type="dxa"/>
            <w:gridSpan w:val="2"/>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7" w:type="dxa"/>
          <w:cantSplit/>
        </w:trPr>
        <w:tc>
          <w:tcPr>
            <w:tcW w:w="2310" w:type="dxa"/>
            <w:gridSpan w:val="3"/>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w:t>
            </w:r>
            <w:bookmarkStart w:id="284" w:name="UpToHere"/>
            <w:bookmarkEnd w:id="284"/>
            <w:r>
              <w:rPr>
                <w:i/>
                <w:snapToGrid w:val="0"/>
                <w:sz w:val="19"/>
                <w:lang w:val="en-US"/>
              </w:rPr>
              <w:t>ct 2010</w:t>
            </w:r>
            <w:r>
              <w:rPr>
                <w:iCs/>
                <w:snapToGrid w:val="0"/>
                <w:sz w:val="19"/>
                <w:lang w:val="en-US"/>
              </w:rPr>
              <w:t xml:space="preserve"> s. 4</w:t>
            </w:r>
          </w:p>
        </w:tc>
        <w:tc>
          <w:tcPr>
            <w:tcW w:w="1120"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48" w:type="dxa"/>
            <w:gridSpan w:val="3"/>
            <w:tcBorders>
              <w:bottom w:val="single" w:sz="4" w:space="0" w:color="auto"/>
            </w:tcBorders>
          </w:tcPr>
          <w:p>
            <w:pPr>
              <w:pStyle w:val="nTable"/>
              <w:spacing w:after="40"/>
              <w:rPr>
                <w:snapToGrid w:val="0"/>
                <w:sz w:val="19"/>
                <w:lang w:val="en-US"/>
              </w:rPr>
            </w:pPr>
            <w:r>
              <w:rPr>
                <w:snapToGrid w:val="0"/>
                <w:sz w:val="19"/>
                <w:lang w:val="en-US"/>
              </w:rPr>
              <w:t>28 Jun 2010</w:t>
            </w:r>
          </w:p>
        </w:tc>
        <w:tc>
          <w:tcPr>
            <w:tcW w:w="250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
          <w:snapToGrid w:val="0"/>
        </w:rPr>
      </w:pPr>
      <w:r>
        <w:rPr>
          <w:snapToGrid w:val="0"/>
          <w:vertAlign w:val="superscript"/>
        </w:rPr>
        <w:t>2</w:t>
      </w:r>
      <w:r>
        <w:rPr>
          <w:snapToGrid w:val="0"/>
        </w:rPr>
        <w:tab/>
        <w:t xml:space="preserve">Repealed by the </w:t>
      </w:r>
      <w:r>
        <w:rPr>
          <w:i/>
          <w:snapToGrid w:val="0"/>
        </w:rPr>
        <w:t>Port Authorities (Consequential Provisions) Act 1999.</w:t>
      </w:r>
    </w:p>
    <w:p>
      <w:pPr>
        <w:pStyle w:val="nSubsection"/>
        <w:keepNext/>
        <w:keepLines/>
        <w:rPr>
          <w:snapToGrid w:val="0"/>
        </w:rPr>
      </w:pPr>
      <w:r>
        <w:rPr>
          <w:snapToGrid w:val="0"/>
          <w:vertAlign w:val="superscript"/>
        </w:rPr>
        <w:t>3</w:t>
      </w:r>
      <w:r>
        <w:rPr>
          <w:snapToGrid w:val="0"/>
        </w:rPr>
        <w:tab/>
        <w:t xml:space="preserve">On the date as at which this compilation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MiscOpen"/>
      </w:pPr>
      <w:r>
        <w:t>“</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t>“Annex I”</w:t>
      </w:r>
      <w:r>
        <w:t xml:space="preserve"> means Annex I to the Prevention of Pollution from Ships Convention;</w:t>
      </w:r>
    </w:p>
    <w:p>
      <w:pPr>
        <w:pStyle w:val="nzMiscellaneousBody"/>
        <w:tabs>
          <w:tab w:val="left" w:pos="2268"/>
        </w:tabs>
        <w:ind w:left="2694" w:right="577" w:hanging="1418"/>
      </w:pPr>
      <w:r>
        <w:rPr>
          <w:b/>
        </w:rPr>
        <w:tab/>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MiscClose"/>
      </w:pPr>
      <w:r>
        <w:t>”.</w:t>
      </w:r>
    </w:p>
    <w:p/>
    <w:p>
      <w:pPr>
        <w:sectPr>
          <w:headerReference w:type="even" r:id="rId43"/>
          <w:headerReference w:type="default" r:id="rId44"/>
          <w:headerReference w:type="first" r:id="rId45"/>
          <w:footnotePr>
            <w:numStart w:val="2"/>
          </w:footnotePr>
          <w:type w:val="continuous"/>
          <w:pgSz w:w="11906" w:h="16838" w:code="9"/>
          <w:pgMar w:top="2376" w:right="2404" w:bottom="3544" w:left="2404" w:header="709" w:footer="3380" w:gutter="0"/>
          <w:cols w:space="720"/>
          <w:noEndnote/>
          <w:docGrid w:linePitch="326"/>
        </w:sectPr>
      </w:pPr>
    </w:p>
    <w:p/>
    <w:sectPr>
      <w:headerReference w:type="even" r:id="rId46"/>
      <w:headerReference w:type="default" r:id="rId47"/>
      <w:footnotePr>
        <w:numStart w:val="2"/>
      </w:foot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pPr>
      <w:r>
        <w:rPr>
          <w:rStyle w:val="FootnoteReference"/>
          <w:sz w:val="20"/>
          <w:vertAlign w:val="baseline"/>
        </w:rPr>
        <w:t>*</w:t>
      </w:r>
      <w:r>
        <w:t xml:space="preserve"> </w:t>
      </w:r>
      <w:r>
        <w:rPr>
          <w:sz w:val="22"/>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4">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Pollution of Waters by Oil and Noxious Substances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1973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vAlign w:val="bottom"/>
        </w:tcPr>
        <w:p>
          <w:pPr>
            <w:pStyle w:val="HeaderTextRight"/>
          </w:pPr>
          <w:fldSimple w:instr=" styleref CharSchText ">
            <w:r>
              <w:rPr>
                <w:noProof/>
              </w:rPr>
              <w:t>1973 Convention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Pollution of Waters by Oil and Noxious Substances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Pollution of Waters by Oil and Noxious Substances Act 1987</w:t>
    </w:r>
    <w:r>
      <w:rPr>
        <w:i/>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Pollution of Waters by Oil and Noxious Substances Act 1987</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831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9A73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6E81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70CE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226D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2E4C3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F270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80B8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121DCA"/>
    <w:lvl w:ilvl="0">
      <w:start w:val="1"/>
      <w:numFmt w:val="decimal"/>
      <w:pStyle w:val="ListNumber"/>
      <w:lvlText w:val="%1."/>
      <w:lvlJc w:val="left"/>
      <w:pPr>
        <w:tabs>
          <w:tab w:val="num" w:pos="360"/>
        </w:tabs>
        <w:ind w:left="360" w:hanging="360"/>
      </w:pPr>
    </w:lvl>
  </w:abstractNum>
  <w:abstractNum w:abstractNumId="9">
    <w:nsid w:val="FFFFFF89"/>
    <w:multiLevelType w:val="singleLevel"/>
    <w:tmpl w:val="B3D0BD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96EB5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194D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36"/>
    <w:docVar w:name="WAFER_20151209084736" w:val="RemoveTrackChanges"/>
    <w:docVar w:name="WAFER_20151209084736_GUID" w:val="9a46afdf-c198-42f0-b7cf-45953ff21a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308</Pages>
  <Words>74545</Words>
  <Characters>405526</Characters>
  <Application>Microsoft Office Word</Application>
  <DocSecurity>0</DocSecurity>
  <Lines>13517</Lines>
  <Paragraphs>6667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473404</CharactersWithSpaces>
  <SharedDoc>false</SharedDoc>
  <HLinks>
    <vt:vector size="6" baseType="variant">
      <vt:variant>
        <vt:i4>7798889</vt:i4>
      </vt:variant>
      <vt:variant>
        <vt:i4>463178</vt:i4>
      </vt:variant>
      <vt:variant>
        <vt:i4>1025</vt:i4>
      </vt:variant>
      <vt:variant>
        <vt:i4>1</vt:i4>
      </vt:variant>
      <vt:variant>
        <vt:lpwstr>Pollut2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1987 - 01-e0-02</dc:title>
  <dc:subject/>
  <dc:creator/>
  <cp:keywords/>
  <dc:description/>
  <cp:lastModifiedBy>svcMRProcess</cp:lastModifiedBy>
  <cp:revision>4</cp:revision>
  <cp:lastPrinted>2001-10-23T03:45:00Z</cp:lastPrinted>
  <dcterms:created xsi:type="dcterms:W3CDTF">2020-02-18T02:34:00Z</dcterms:created>
  <dcterms:modified xsi:type="dcterms:W3CDTF">2020-02-18T02:34:00Z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617</vt:i4>
  </property>
  <property fmtid="{D5CDD505-2E9C-101B-9397-08002B2CF9AE}" pid="6" name="AsAtDate">
    <vt:lpwstr>11 Sep 2010</vt:lpwstr>
  </property>
  <property fmtid="{D5CDD505-2E9C-101B-9397-08002B2CF9AE}" pid="7" name="Suffix">
    <vt:lpwstr>01-e0-02</vt:lpwstr>
  </property>
</Properties>
</file>