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Poseidon Nickel Agreement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Poseidon Nickel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_Toc536004604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_Toc536004605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ratified</w:t>
      </w:r>
      <w:r>
        <w:tab/>
      </w:r>
      <w:r>
        <w:fldChar w:fldCharType="begin"/>
      </w:r>
      <w:r>
        <w:instrText xml:space="preserve"> PAGEREF _Toc536004606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Variation agreement approved and ratified</w:t>
      </w:r>
      <w:r>
        <w:tab/>
      </w:r>
      <w:r>
        <w:fldChar w:fldCharType="begin"/>
      </w:r>
      <w:r>
        <w:instrText xml:space="preserve"> PAGEREF _Toc536004607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Entry on certain Crown lands by Company</w:t>
      </w:r>
      <w:r>
        <w:tab/>
      </w:r>
      <w:r>
        <w:fldChar w:fldCharType="begin"/>
      </w:r>
      <w:r>
        <w:instrText xml:space="preserve"> PAGEREF _Toc536004608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Poseidon Nickel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_Toc536004612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Poseidon Nickel Agreement Act 1971 </w:t>
      </w:r>
    </w:p>
    <w:p>
      <w:pPr>
        <w:pStyle w:val="LongTitle"/>
        <w:rPr>
          <w:snapToGrid w:val="0"/>
        </w:rPr>
      </w:pPr>
      <w:r>
        <w:rPr>
          <w:snapToGrid w:val="0"/>
        </w:rPr>
        <w:t xml:space="preserve">An Act to ratify an agreement between the State and Poseidon Limited relating to the mining of nickel ore at Mount Windarra and matters incidental thereto. </w:t>
      </w:r>
    </w:p>
    <w:p>
      <w:pPr>
        <w:pStyle w:val="Heading5"/>
        <w:rPr>
          <w:snapToGrid w:val="0"/>
        </w:rPr>
      </w:pPr>
      <w:bookmarkStart w:id="3" w:name="_Toc378262774"/>
      <w:bookmarkStart w:id="4" w:name="_Toc53600460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vertAlign w:val="superscript"/>
        </w:rPr>
        <w:t> 1</w:t>
      </w:r>
      <w:r>
        <w:rPr>
          <w:snapToGrid w:val="0"/>
        </w:rPr>
        <w:t>.</w:t>
      </w:r>
    </w:p>
    <w:p>
      <w:pPr>
        <w:pStyle w:val="Heading5"/>
        <w:rPr>
          <w:snapToGrid w:val="0"/>
        </w:rPr>
      </w:pPr>
      <w:bookmarkStart w:id="5" w:name="_Toc378262775"/>
      <w:bookmarkStart w:id="6" w:name="_Toc536004605"/>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 xml:space="preserve">[Section 2 amended: No. 17 of 1985 s. 3.] </w:t>
      </w:r>
    </w:p>
    <w:p>
      <w:pPr>
        <w:pStyle w:val="Heading5"/>
        <w:rPr>
          <w:snapToGrid w:val="0"/>
        </w:rPr>
      </w:pPr>
      <w:bookmarkStart w:id="7" w:name="_Toc378262776"/>
      <w:bookmarkStart w:id="8" w:name="_Toc536004606"/>
      <w:r>
        <w:rPr>
          <w:rStyle w:val="CharSectno"/>
        </w:rPr>
        <w:t>3</w:t>
      </w:r>
      <w:r>
        <w:rPr>
          <w:snapToGrid w:val="0"/>
        </w:rPr>
        <w:t>.</w:t>
      </w:r>
      <w:r>
        <w:rPr>
          <w:snapToGrid w:val="0"/>
        </w:rPr>
        <w:tab/>
        <w:t>Agreement ratified</w:t>
      </w:r>
      <w:bookmarkEnd w:id="7"/>
      <w:bookmarkEnd w:id="8"/>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9" w:name="_Toc378262777"/>
      <w:bookmarkStart w:id="10" w:name="_Toc536004607"/>
      <w:r>
        <w:rPr>
          <w:rStyle w:val="CharSectno"/>
        </w:rPr>
        <w:t>3A</w:t>
      </w:r>
      <w:r>
        <w:rPr>
          <w:snapToGrid w:val="0"/>
        </w:rPr>
        <w:t>.</w:t>
      </w:r>
      <w:r>
        <w:rPr>
          <w:snapToGrid w:val="0"/>
        </w:rPr>
        <w:tab/>
        <w:t>Variation agreement approved and ratified</w:t>
      </w:r>
      <w:bookmarkEnd w:id="9"/>
      <w:bookmarkEnd w:id="10"/>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No. 17 of 1985 s. 4.] </w:t>
      </w:r>
    </w:p>
    <w:p>
      <w:pPr>
        <w:pStyle w:val="Heading5"/>
        <w:rPr>
          <w:snapToGrid w:val="0"/>
        </w:rPr>
      </w:pPr>
      <w:bookmarkStart w:id="11" w:name="_Toc378262778"/>
      <w:bookmarkStart w:id="12" w:name="_Toc536004608"/>
      <w:r>
        <w:rPr>
          <w:rStyle w:val="CharSectno"/>
        </w:rPr>
        <w:t>4</w:t>
      </w:r>
      <w:r>
        <w:rPr>
          <w:snapToGrid w:val="0"/>
        </w:rPr>
        <w:t>.</w:t>
      </w:r>
      <w:r>
        <w:rPr>
          <w:snapToGrid w:val="0"/>
        </w:rPr>
        <w:tab/>
        <w:t>Entry on certain Crown lands by Company</w:t>
      </w:r>
      <w:bookmarkEnd w:id="11"/>
      <w:bookmarkEnd w:id="12"/>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Ednoteschedule"/>
      </w:pPr>
      <w:r>
        <w:t>[Heading deleted: No. 19 of 2010 s. 42(2).]</w:t>
      </w:r>
    </w:p>
    <w:p>
      <w:pPr>
        <w:pStyle w:val="yScheduleHeading"/>
        <w:pageBreakBefore w:val="0"/>
        <w:spacing w:before="220"/>
      </w:pPr>
      <w:bookmarkStart w:id="13" w:name="_Toc378262779"/>
      <w:bookmarkStart w:id="14" w:name="_Toc424285299"/>
      <w:bookmarkStart w:id="15" w:name="_Toc536004609"/>
      <w:r>
        <w:rPr>
          <w:rStyle w:val="CharSchNo"/>
        </w:rPr>
        <w:t>Schedule 1</w:t>
      </w:r>
      <w:r>
        <w:t xml:space="preserve"> — </w:t>
      </w:r>
      <w:r>
        <w:rPr>
          <w:rStyle w:val="CharSchText"/>
        </w:rPr>
        <w:t>Poseidon Nickel Agreement</w:t>
      </w:r>
      <w:bookmarkEnd w:id="13"/>
      <w:bookmarkEnd w:id="14"/>
      <w:bookmarkEnd w:id="15"/>
      <w:r>
        <w:t xml:space="preserve"> </w:t>
      </w:r>
    </w:p>
    <w:p>
      <w:pPr>
        <w:pStyle w:val="yShoulderClause"/>
        <w:rPr>
          <w:snapToGrid w:val="0"/>
        </w:rPr>
      </w:pPr>
      <w:r>
        <w:rPr>
          <w:snapToGrid w:val="0"/>
        </w:rPr>
        <w:t>[s. 2]</w:t>
      </w:r>
    </w:p>
    <w:p>
      <w:pPr>
        <w:pStyle w:val="yFootnoteheading"/>
      </w:pPr>
      <w:r>
        <w:tab/>
        <w:t xml:space="preserve">[Heading amended: No. 17 of 1985 s. 5; </w:t>
      </w:r>
      <w:r>
        <w:rPr>
          <w:snapToGrid w:val="0"/>
        </w:rPr>
        <w:t>No. 19 of 2010 s. 4</w:t>
      </w:r>
      <w:r>
        <w:t>.]</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2</w:t>
      </w:r>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2</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2</w:t>
      </w:r>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t>Company to submit Proposals</w:t>
      </w:r>
      <w:r>
        <w:rPr>
          <w:b/>
          <w:snapToGrid w:val="0"/>
          <w:vertAlign w:val="superscript"/>
        </w:rPr>
        <w:t> 2</w:t>
      </w:r>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2</w:t>
      </w:r>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2</w:t>
      </w:r>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r>
        <w:rPr>
          <w:b/>
          <w:snapToGrid w:val="0"/>
          <w:vertAlign w:val="superscript"/>
        </w:rPr>
        <w:t xml:space="preserve">  2</w:t>
      </w:r>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2</w:t>
      </w:r>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2</w:t>
      </w:r>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t>Roads</w:t>
      </w:r>
      <w:r>
        <w:rPr>
          <w:b/>
          <w:snapToGrid w:val="0"/>
          <w:vertAlign w:val="superscript"/>
        </w:rPr>
        <w:t> 2</w:t>
      </w:r>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2</w:t>
      </w:r>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t>Notice of further requirements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2</w:t>
      </w:r>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2</w:t>
      </w:r>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t>New Railway</w:t>
      </w:r>
      <w:r>
        <w:rPr>
          <w:b/>
          <w:snapToGrid w:val="0"/>
          <w:vertAlign w:val="superscript"/>
        </w:rPr>
        <w:t> 2</w:t>
      </w:r>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2</w:t>
      </w:r>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2</w:t>
      </w:r>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2</w:t>
      </w:r>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t>Locomotives and brakevans</w:t>
      </w:r>
      <w:r>
        <w:rPr>
          <w:b/>
          <w:snapToGrid w:val="0"/>
          <w:vertAlign w:val="superscript"/>
        </w:rPr>
        <w:t> 2</w:t>
      </w:r>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2</w:t>
      </w:r>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2</w:t>
      </w:r>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2</w:t>
      </w:r>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2</w:t>
      </w:r>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t>Electricity</w:t>
      </w:r>
      <w:r>
        <w:rPr>
          <w:b/>
          <w:snapToGrid w:val="0"/>
          <w:vertAlign w:val="superscript"/>
        </w:rPr>
        <w:t> 2</w:t>
      </w:r>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2</w:t>
      </w:r>
    </w:p>
    <w:p>
      <w:pPr>
        <w:pStyle w:val="yMiscellaneousBody"/>
        <w:tabs>
          <w:tab w:val="left" w:pos="567"/>
          <w:tab w:val="left" w:pos="993"/>
        </w:tabs>
        <w:rPr>
          <w:snapToGrid w:val="0"/>
        </w:rPr>
      </w:pPr>
      <w:r>
        <w:rPr>
          <w:snapToGrid w:val="0"/>
        </w:rPr>
        <w:t>11.</w:t>
      </w:r>
      <w:r>
        <w:rPr>
          <w:snapToGrid w:val="0"/>
        </w:rPr>
        <w:tab/>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2</w:t>
      </w:r>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2</w:t>
      </w:r>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t>Modification of Land Act</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2</w:t>
      </w:r>
    </w:p>
    <w:p>
      <w:pPr>
        <w:pStyle w:val="yMiscellaneousBody"/>
        <w:tabs>
          <w:tab w:val="right" w:pos="851"/>
        </w:tabs>
        <w:ind w:left="993" w:hanging="993"/>
        <w:rPr>
          <w:snapToGrid w:val="0"/>
        </w:rPr>
      </w:pPr>
      <w:r>
        <w:rPr>
          <w:snapToGrid w:val="0"/>
        </w:rPr>
        <w:t>14.</w:t>
      </w:r>
      <w:r>
        <w:rPr>
          <w:snapToGrid w:val="0"/>
        </w:rPr>
        <w:tab/>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2</w:t>
      </w:r>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t>Royalties</w:t>
      </w:r>
      <w:r>
        <w:rPr>
          <w:b/>
          <w:snapToGrid w:val="0"/>
          <w:vertAlign w:val="superscript"/>
        </w:rPr>
        <w:t> 2</w:t>
      </w:r>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2</w:t>
      </w:r>
    </w:p>
    <w:p>
      <w:pPr>
        <w:pStyle w:val="yMiscellaneousBody"/>
        <w:tabs>
          <w:tab w:val="left" w:pos="567"/>
          <w:tab w:val="left" w:pos="993"/>
        </w:tabs>
        <w:rPr>
          <w:snapToGrid w:val="0"/>
        </w:rPr>
      </w:pPr>
      <w:r>
        <w:rPr>
          <w:snapToGrid w:val="0"/>
        </w:rPr>
        <w:t>17.</w:t>
      </w:r>
      <w:r>
        <w:rPr>
          <w:snapToGrid w:val="0"/>
        </w:rPr>
        <w:tab/>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2</w:t>
      </w:r>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t>Liability of Company</w:t>
      </w:r>
      <w:r>
        <w:rPr>
          <w:b/>
          <w:snapToGrid w:val="0"/>
          <w:vertAlign w:val="superscript"/>
        </w:rPr>
        <w:t> 2</w:t>
      </w:r>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2</w:t>
      </w:r>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2</w:t>
      </w:r>
    </w:p>
    <w:p>
      <w:pPr>
        <w:pStyle w:val="yMiscellaneousBody"/>
        <w:tabs>
          <w:tab w:val="left" w:pos="567"/>
        </w:tabs>
        <w:rPr>
          <w:snapToGrid w:val="0"/>
        </w:rPr>
      </w:pPr>
      <w:r>
        <w:rPr>
          <w:snapToGrid w:val="0"/>
        </w:rPr>
        <w:t>21.</w:t>
      </w:r>
      <w:r>
        <w:rPr>
          <w:snapToGrid w:val="0"/>
        </w:rPr>
        <w:tab/>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2</w:t>
      </w:r>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2</w:t>
      </w:r>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2</w:t>
      </w:r>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2</w:t>
      </w:r>
    </w:p>
    <w:p>
      <w:pPr>
        <w:pStyle w:val="yMiscellaneousBody"/>
        <w:tabs>
          <w:tab w:val="left" w:pos="567"/>
        </w:tabs>
        <w:rPr>
          <w:snapToGrid w:val="0"/>
        </w:rPr>
      </w:pPr>
      <w:r>
        <w:rPr>
          <w:snapToGrid w:val="0"/>
        </w:rPr>
        <w:t>25.</w:t>
      </w:r>
      <w:r>
        <w:rPr>
          <w:snapToGrid w:val="0"/>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2</w:t>
      </w:r>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2</w:t>
      </w:r>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2</w:t>
      </w:r>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t>Right to remove sand etc.</w:t>
      </w:r>
      <w:r>
        <w:rPr>
          <w:b/>
          <w:snapToGrid w:val="0"/>
          <w:vertAlign w:val="superscript"/>
        </w:rPr>
        <w:t> 2</w:t>
      </w:r>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2</w:t>
      </w:r>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2</w:t>
      </w:r>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t>Effect of cessation or determination of Agreement</w:t>
      </w:r>
      <w:r>
        <w:rPr>
          <w:b/>
          <w:snapToGrid w:val="0"/>
          <w:vertAlign w:val="superscript"/>
        </w:rPr>
        <w:t> 2</w:t>
      </w:r>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2</w:t>
      </w:r>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2</w:t>
      </w:r>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2</w:t>
      </w:r>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2</w:t>
      </w:r>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2</w:t>
      </w:r>
    </w:p>
    <w:p>
      <w:pPr>
        <w:pStyle w:val="yMiscellaneousBody"/>
        <w:tabs>
          <w:tab w:val="left" w:pos="567"/>
          <w:tab w:val="left" w:pos="993"/>
        </w:tabs>
        <w:rPr>
          <w:snapToGrid w:val="0"/>
        </w:rPr>
      </w:pPr>
      <w:r>
        <w:rPr>
          <w:snapToGrid w:val="0"/>
        </w:rPr>
        <w:t>37.</w:t>
      </w:r>
      <w:r>
        <w:rPr>
          <w:snapToGrid w:val="0"/>
        </w:rPr>
        <w:tab/>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2</w:t>
      </w:r>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2</w:t>
      </w:r>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t>Arbitration</w:t>
      </w:r>
      <w:r>
        <w:rPr>
          <w:b/>
          <w:snapToGrid w:val="0"/>
          <w:vertAlign w:val="superscript"/>
        </w:rPr>
        <w:t> 2</w:t>
      </w:r>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2</w:t>
      </w:r>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2</w:t>
      </w:r>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4" o:title=""/>
          </v:shape>
          <o:OLEObject Type="Embed" ProgID="PBrush" ShapeID="_x0000_i1025" DrawAspect="Content" ObjectID="_1643524434" r:id="rId25"/>
        </w:object>
      </w:r>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object w:dxaOrig="5780" w:dyaOrig="600">
          <v:shape id="_x0000_i1026" type="#_x0000_t75" style="width:311.25pt;height:30pt" o:ole="" fillcolor="window">
            <v:imagedata r:id="rId26" o:title=""/>
          </v:shape>
          <o:OLEObject Type="Embed" ProgID="Equation.3" ShapeID="_x0000_i1026" DrawAspect="Content" ObjectID="_1643524435" r:id="rId27"/>
        </w:obje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object w:dxaOrig="2025" w:dyaOrig="375">
          <v:shape id="_x0000_i1027" type="#_x0000_t75" style="width:101.25pt;height:18.75pt" o:ole="" fillcolor="window">
            <v:imagedata r:id="rId24" o:title=""/>
          </v:shape>
          <o:OLEObject Type="Embed" ProgID="PBrush" ShapeID="_x0000_i1027" DrawAspect="Content" ObjectID="_1643524436" r:id="rId28"/>
        </w:object>
      </w:r>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r>
              <w:rPr>
                <w:noProof/>
              </w:rPr>
              <w:drawing>
                <wp:inline distT="0" distB="0" distL="0" distR="0">
                  <wp:extent cx="1047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r>
              <w:rPr>
                <w:noProof/>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 No. 17 of 1985 s. 5.]</w:t>
      </w:r>
    </w:p>
    <w:p>
      <w:pPr>
        <w:pStyle w:val="yScheduleHeading"/>
      </w:pPr>
      <w:bookmarkStart w:id="16" w:name="_Toc378262780"/>
      <w:bookmarkStart w:id="17" w:name="_Toc424285300"/>
      <w:bookmarkStart w:id="18" w:name="_Toc536004610"/>
      <w:r>
        <w:rPr>
          <w:rStyle w:val="CharSchNo"/>
        </w:rPr>
        <w:t>Schedule 2</w:t>
      </w:r>
      <w:r>
        <w:t xml:space="preserve"> — </w:t>
      </w:r>
      <w:r>
        <w:rPr>
          <w:rStyle w:val="CharSchText"/>
        </w:rPr>
        <w:t>Variation agreement</w:t>
      </w:r>
      <w:bookmarkEnd w:id="16"/>
      <w:bookmarkEnd w:id="17"/>
      <w:bookmarkEnd w:id="18"/>
    </w:p>
    <w:p>
      <w:pPr>
        <w:pStyle w:val="yShoulderClause"/>
      </w:pPr>
      <w:r>
        <w:rPr>
          <w:snapToGrid w:val="0"/>
        </w:rPr>
        <w:t>[s. 2]</w:t>
      </w:r>
    </w:p>
    <w:p>
      <w:pPr>
        <w:pStyle w:val="yFootnoteheading"/>
      </w:pPr>
      <w:r>
        <w:tab/>
        <w:t xml:space="preserve">[Heading inserted: No. 17 of 1985 s. 6; </w:t>
      </w:r>
      <w:r>
        <w:rPr>
          <w:snapToGrid w:val="0"/>
        </w:rPr>
        <w:t>amended: No. 19 of 2010 s. 4</w:t>
      </w:r>
      <w:r>
        <w:t>.]</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2</w:t>
      </w:r>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2</w:t>
      </w:r>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2</w:t>
      </w:r>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2</w:t>
      </w:r>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pPr>
            <w:r>
              <w:rPr>
                <w:noProof/>
              </w:rPr>
              <w:drawing>
                <wp:inline distT="0" distB="0" distL="0" distR="0">
                  <wp:extent cx="104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r>
              <w:rPr>
                <w:noProof/>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tc>
        <w:tc>
          <w:tcPr>
            <w:tcW w:w="2126" w:type="dxa"/>
          </w:tcPr>
          <w:p>
            <w:pPr>
              <w:pStyle w:val="yMiscellaneousBody"/>
            </w:pPr>
          </w:p>
          <w:p>
            <w:pPr>
              <w:pStyle w:val="yMiscellaneousBody"/>
              <w:spacing w:before="40"/>
            </w:pPr>
            <w:r>
              <w:t>[C.S.]</w:t>
            </w:r>
          </w:p>
        </w:tc>
      </w:tr>
    </w:tbl>
    <w:p>
      <w:pPr>
        <w:pStyle w:val="yFootnotesection"/>
      </w:pPr>
      <w:r>
        <w:tab/>
        <w:t xml:space="preserve">[Schedule 2 inserted: No. 17 of 1985 s. 6.] </w:t>
      </w:r>
    </w:p>
    <w:p>
      <w:pPr>
        <w:pStyle w:val="CentredBaseLine"/>
        <w:jc w:val="center"/>
      </w:pPr>
      <w:r>
        <w:rPr>
          <w:noProof/>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922" w:hanging="284"/>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20" w:name="_Toc378262781"/>
      <w:bookmarkStart w:id="21" w:name="_Toc424285301"/>
      <w:bookmarkStart w:id="22" w:name="_Toc536004611"/>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Poseidon Nickel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78262782"/>
      <w:bookmarkStart w:id="24" w:name="_Toc536004612"/>
      <w:r>
        <w:rPr>
          <w:snapToGrid w:val="0"/>
        </w:rPr>
        <w:t>Compilation table</w:t>
      </w:r>
      <w:bookmarkEnd w:id="23"/>
      <w:bookmarkEnd w:id="24"/>
    </w:p>
    <w:tbl>
      <w:tblPr>
        <w:tblW w:w="7088"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76"/>
      </w:tblGrid>
      <w:tr>
        <w:trPr>
          <w:tblHeader/>
        </w:trPr>
        <w:tc>
          <w:tcPr>
            <w:tcW w:w="2257" w:type="dxa"/>
            <w:tcBorders>
              <w:top w:val="single" w:sz="8" w:space="0" w:color="auto"/>
              <w:bottom w:val="single" w:sz="8" w:space="0" w:color="auto"/>
            </w:tcBorders>
          </w:tcPr>
          <w:p>
            <w:pPr>
              <w:pStyle w:val="nTable"/>
              <w:spacing w:after="40"/>
              <w:rPr>
                <w:b/>
              </w:rPr>
            </w:pPr>
            <w:r>
              <w:rPr>
                <w:b/>
              </w:rPr>
              <w:t>Short title</w:t>
            </w:r>
          </w:p>
        </w:tc>
        <w:tc>
          <w:tcPr>
            <w:tcW w:w="1129" w:type="dxa"/>
            <w:tcBorders>
              <w:top w:val="single" w:sz="8" w:space="0" w:color="auto"/>
              <w:bottom w:val="single" w:sz="8" w:space="0" w:color="auto"/>
            </w:tcBorders>
          </w:tcPr>
          <w:p>
            <w:pPr>
              <w:pStyle w:val="nTable"/>
              <w:spacing w:after="40"/>
              <w:rPr>
                <w:b/>
              </w:rPr>
            </w:pPr>
            <w:r>
              <w:rPr>
                <w:b/>
              </w:rPr>
              <w:t>Number and year</w:t>
            </w:r>
          </w:p>
        </w:tc>
        <w:tc>
          <w:tcPr>
            <w:tcW w:w="1126" w:type="dxa"/>
            <w:tcBorders>
              <w:top w:val="single" w:sz="8" w:space="0" w:color="auto"/>
              <w:bottom w:val="single" w:sz="8" w:space="0" w:color="auto"/>
            </w:tcBorders>
          </w:tcPr>
          <w:p>
            <w:pPr>
              <w:pStyle w:val="nTable"/>
              <w:spacing w:after="40"/>
              <w:rPr>
                <w:b/>
              </w:rPr>
            </w:pPr>
            <w:r>
              <w:rPr>
                <w:b/>
              </w:rPr>
              <w:t>Assent</w:t>
            </w:r>
          </w:p>
        </w:tc>
        <w:tc>
          <w:tcPr>
            <w:tcW w:w="2576" w:type="dxa"/>
            <w:tcBorders>
              <w:top w:val="single" w:sz="8" w:space="0" w:color="auto"/>
              <w:bottom w:val="single" w:sz="8" w:space="0" w:color="auto"/>
            </w:tcBorders>
          </w:tcPr>
          <w:p>
            <w:pPr>
              <w:pStyle w:val="nTable"/>
              <w:spacing w:after="40"/>
              <w:rPr>
                <w:b/>
              </w:rPr>
            </w:pPr>
            <w:r>
              <w:rPr>
                <w:b/>
              </w:rPr>
              <w:t>Commencement</w:t>
            </w:r>
          </w:p>
        </w:tc>
      </w:tr>
      <w:tr>
        <w:tc>
          <w:tcPr>
            <w:tcW w:w="2257" w:type="dxa"/>
          </w:tcPr>
          <w:p>
            <w:pPr>
              <w:pStyle w:val="nTable"/>
              <w:spacing w:after="40"/>
            </w:pPr>
            <w:r>
              <w:rPr>
                <w:i/>
              </w:rPr>
              <w:t>Poseidon Nickel Agreement Act 1971</w:t>
            </w:r>
          </w:p>
        </w:tc>
        <w:tc>
          <w:tcPr>
            <w:tcW w:w="1129" w:type="dxa"/>
          </w:tcPr>
          <w:p>
            <w:pPr>
              <w:pStyle w:val="nTable"/>
              <w:spacing w:after="40"/>
            </w:pPr>
            <w:r>
              <w:t>59 of 1971</w:t>
            </w:r>
          </w:p>
        </w:tc>
        <w:tc>
          <w:tcPr>
            <w:tcW w:w="1126" w:type="dxa"/>
          </w:tcPr>
          <w:p>
            <w:pPr>
              <w:pStyle w:val="nTable"/>
              <w:spacing w:after="40"/>
            </w:pPr>
            <w:r>
              <w:t>15 Dec 1971</w:t>
            </w:r>
          </w:p>
        </w:tc>
        <w:tc>
          <w:tcPr>
            <w:tcW w:w="2576" w:type="dxa"/>
          </w:tcPr>
          <w:p>
            <w:pPr>
              <w:pStyle w:val="nTable"/>
              <w:spacing w:after="40"/>
            </w:pPr>
            <w:r>
              <w:t>15 Dec 1971</w:t>
            </w:r>
          </w:p>
        </w:tc>
      </w:tr>
      <w:tr>
        <w:tc>
          <w:tcPr>
            <w:tcW w:w="2257" w:type="dxa"/>
          </w:tcPr>
          <w:p>
            <w:pPr>
              <w:pStyle w:val="nTable"/>
              <w:spacing w:after="40"/>
            </w:pPr>
            <w:r>
              <w:rPr>
                <w:i/>
              </w:rPr>
              <w:t>Poseidon Nickel Agreement Amendment Act 1985</w:t>
            </w:r>
          </w:p>
        </w:tc>
        <w:tc>
          <w:tcPr>
            <w:tcW w:w="1129" w:type="dxa"/>
          </w:tcPr>
          <w:p>
            <w:pPr>
              <w:pStyle w:val="nTable"/>
              <w:spacing w:after="40"/>
            </w:pPr>
            <w:r>
              <w:t>17 of 1985</w:t>
            </w:r>
          </w:p>
        </w:tc>
        <w:tc>
          <w:tcPr>
            <w:tcW w:w="1126" w:type="dxa"/>
          </w:tcPr>
          <w:p>
            <w:pPr>
              <w:pStyle w:val="nTable"/>
              <w:spacing w:after="40"/>
            </w:pPr>
            <w:r>
              <w:t>12 Apr 1985</w:t>
            </w:r>
          </w:p>
        </w:tc>
        <w:tc>
          <w:tcPr>
            <w:tcW w:w="2576" w:type="dxa"/>
          </w:tcPr>
          <w:p>
            <w:pPr>
              <w:pStyle w:val="nTable"/>
              <w:spacing w:after="40"/>
            </w:pPr>
            <w:r>
              <w:t>12 Apr 1985 (see s. 2)</w:t>
            </w:r>
          </w:p>
        </w:tc>
      </w:tr>
      <w:tr>
        <w:trPr>
          <w:cantSplit/>
        </w:trPr>
        <w:tc>
          <w:tcPr>
            <w:tcW w:w="7088" w:type="dxa"/>
            <w:gridSpan w:val="4"/>
          </w:tcPr>
          <w:p>
            <w:pPr>
              <w:pStyle w:val="nTable"/>
              <w:spacing w:after="40"/>
            </w:pPr>
            <w:r>
              <w:rPr>
                <w:b/>
                <w:bCs/>
              </w:rPr>
              <w:t xml:space="preserve">Reprint 1: The </w:t>
            </w:r>
            <w:r>
              <w:rPr>
                <w:b/>
                <w:bCs/>
                <w:i/>
              </w:rPr>
              <w:t>Poseidon Nickel Agreement Act 1971</w:t>
            </w:r>
            <w:r>
              <w:rPr>
                <w:b/>
                <w:bCs/>
              </w:rPr>
              <w:t xml:space="preserve"> as at 7 Nov 2008</w:t>
            </w:r>
            <w:r>
              <w:t xml:space="preserve"> (includes amendments listed above)</w:t>
            </w:r>
          </w:p>
        </w:tc>
      </w:tr>
      <w:tr>
        <w:trPr>
          <w:cantSplit/>
        </w:trPr>
        <w:tc>
          <w:tcPr>
            <w:tcW w:w="225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29" w:type="dxa"/>
            <w:tcBorders>
              <w:bottom w:val="single" w:sz="4" w:space="0" w:color="auto"/>
            </w:tcBorders>
          </w:tcPr>
          <w:p>
            <w:pPr>
              <w:pStyle w:val="nTable"/>
              <w:spacing w:after="40"/>
              <w:rPr>
                <w:snapToGrid w:val="0"/>
              </w:rPr>
            </w:pPr>
            <w:r>
              <w:rPr>
                <w:snapToGrid w:val="0"/>
              </w:rPr>
              <w:t>19 of 2010</w:t>
            </w:r>
          </w:p>
        </w:tc>
        <w:tc>
          <w:tcPr>
            <w:tcW w:w="1126" w:type="dxa"/>
            <w:tcBorders>
              <w:bottom w:val="single" w:sz="4" w:space="0" w:color="auto"/>
            </w:tcBorders>
          </w:tcPr>
          <w:p>
            <w:pPr>
              <w:pStyle w:val="nTable"/>
              <w:spacing w:after="40"/>
              <w:rPr>
                <w:snapToGrid w:val="0"/>
              </w:rPr>
            </w:pPr>
            <w:r>
              <w:rPr>
                <w:snapToGrid w:val="0"/>
              </w:rPr>
              <w:t>28 Jun 2010</w:t>
            </w:r>
          </w:p>
        </w:tc>
        <w:tc>
          <w:tcPr>
            <w:tcW w:w="257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 notes in the agreements have been represented as bold headnotes in this reprint but that does not change their status as marginal notes</w:t>
      </w:r>
      <w:r>
        <w:rPr>
          <w:i/>
        </w:rPr>
        <w:t>.</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6" w:name="_Toc536004613"/>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Company</w:t>
      </w:r>
      <w:r>
        <w:tab/>
        <w:t>2</w:t>
      </w:r>
    </w:p>
    <w:p>
      <w:pPr>
        <w:pStyle w:val="DefinedTerms"/>
      </w:pPr>
      <w:r>
        <w:t>the variation agreement</w:t>
      </w:r>
      <w:r>
        <w:tab/>
        <w:t>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0CF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903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CE82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1C36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3C40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D856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30896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52E1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201D16"/>
    <w:lvl w:ilvl="0">
      <w:start w:val="1"/>
      <w:numFmt w:val="decimal"/>
      <w:pStyle w:val="ListNumber"/>
      <w:lvlText w:val="%1."/>
      <w:lvlJc w:val="left"/>
      <w:pPr>
        <w:tabs>
          <w:tab w:val="num" w:pos="360"/>
        </w:tabs>
        <w:ind w:left="360" w:hanging="360"/>
      </w:pPr>
    </w:lvl>
  </w:abstractNum>
  <w:abstractNum w:abstractNumId="9">
    <w:nsid w:val="FFFFFF89"/>
    <w:multiLevelType w:val="singleLevel"/>
    <w:tmpl w:val="CFF81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1496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24"/>
    <w:docVar w:name="WAFER_20140123163320" w:val="RemoveTocBookmarks,RemoveUnusedBookmarks,RemoveLanguageTags,UsedStyles,ResetPageSize,UpdateArrangement"/>
    <w:docVar w:name="WAFER_20140123163320_GUID" w:val="31fa1d62-45b0-4741-89df-622335b6ae2b"/>
    <w:docVar w:name="WAFER_20140123173012" w:val="RemoveTocBookmarks,RunningHeaders"/>
    <w:docVar w:name="WAFER_20140123173012_GUID" w:val="0cf6cc12-8398-4d17-8eff-e01e5a021892"/>
    <w:docVar w:name="WAFER_20150710092741" w:val="ResetPageSize,UpdateArrangement,UpdateNTable"/>
    <w:docVar w:name="WAFER_20150710092741_GUID" w:val="83435783-37d3-44ed-811d-adfa2a1d55c9"/>
    <w:docVar w:name="WAFER_20151109112824" w:val="UpdateStyles,UsedStyles"/>
    <w:docVar w:name="WAFER_20151109112824_GUID" w:val="7eeb24a0-7fc0-4ab8-aa2e-b037a5517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3.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image" Target="media/image5.png"/><Relationship Id="rId35" Type="http://schemas.openxmlformats.org/officeDocument/2006/relationships/header" Target="header14.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16872</Words>
  <Characters>83179</Characters>
  <Application>Microsoft Office Word</Application>
  <DocSecurity>0</DocSecurity>
  <Lines>1808</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99371</CharactersWithSpaces>
  <SharedDoc>false</SharedDoc>
  <HLinks>
    <vt:vector size="12" baseType="variant">
      <vt:variant>
        <vt:i4>5439608</vt:i4>
      </vt:variant>
      <vt:variant>
        <vt:i4>100680</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1971 - 01-c0-05</dc:title>
  <dc:subject/>
  <dc:creator/>
  <cp:keywords/>
  <dc:description/>
  <cp:lastModifiedBy>svcMRProcess</cp:lastModifiedBy>
  <cp:revision>4</cp:revision>
  <cp:lastPrinted>2008-11-03T03:14:00Z</cp:lastPrinted>
  <dcterms:created xsi:type="dcterms:W3CDTF">2020-02-18T01:47:00Z</dcterms:created>
  <dcterms:modified xsi:type="dcterms:W3CDTF">2020-02-18T01:47:00Z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2008-11-06T15:00:00Z</vt:filetime>
  </property>
  <property fmtid="{D5CDD505-2E9C-101B-9397-08002B2CF9AE}" pid="6" name="ReprintNo">
    <vt:lpwstr>1</vt:lpwstr>
  </property>
  <property fmtid="{D5CDD505-2E9C-101B-9397-08002B2CF9AE}" pid="7" name="AsAtDate">
    <vt:lpwstr>11 Sep 2010</vt:lpwstr>
  </property>
  <property fmtid="{D5CDD505-2E9C-101B-9397-08002B2CF9AE}" pid="8" name="Suffix">
    <vt:lpwstr>01-c0-05</vt:lpwstr>
  </property>
</Properties>
</file>