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B9" w:rsidRDefault="00D04212">
      <w:pPr>
        <w:pStyle w:val="WA"/>
        <w:tabs>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963B9" w:rsidRDefault="00D04212">
      <w:pPr>
        <w:pStyle w:val="NameofActRegPage1"/>
        <w:spacing w:before="3760" w:after="4200"/>
      </w:pPr>
      <w:r>
        <w:fldChar w:fldCharType="begin"/>
      </w:r>
      <w:r>
        <w:instrText xml:space="preserve"> STYLEREF "Name Of Act/Reg"</w:instrText>
      </w:r>
      <w:r>
        <w:fldChar w:fldCharType="separate"/>
      </w:r>
      <w:r w:rsidR="0057143B">
        <w:rPr>
          <w:noProof/>
        </w:rPr>
        <w:t>Public and Bank Holidays Act 1972</w:t>
      </w:r>
      <w:r>
        <w:fldChar w:fldCharType="end"/>
      </w:r>
    </w:p>
    <w:p w:rsidR="000963B9" w:rsidRDefault="000963B9">
      <w:pPr>
        <w:jc w:val="center"/>
        <w:rPr>
          <w:b/>
        </w:rPr>
        <w:sectPr w:rsidR="000963B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0963B9" w:rsidRDefault="00D04212">
      <w:pPr>
        <w:pStyle w:val="WA"/>
        <w:spacing w:before="120"/>
      </w:pPr>
      <w:r>
        <w:lastRenderedPageBreak/>
        <w:t>Western Australia</w:t>
      </w:r>
    </w:p>
    <w:p w:rsidR="000963B9" w:rsidRDefault="00D04212">
      <w:pPr>
        <w:pStyle w:val="NameofActRegPage1"/>
      </w:pPr>
      <w:r>
        <w:fldChar w:fldCharType="begin"/>
      </w:r>
      <w:r>
        <w:instrText xml:space="preserve"> STYLEREF "Name Of Act/Reg"</w:instrText>
      </w:r>
      <w:r>
        <w:fldChar w:fldCharType="separate"/>
      </w:r>
      <w:r w:rsidR="0057143B">
        <w:rPr>
          <w:noProof/>
        </w:rPr>
        <w:t>Public and Bank Holidays Act 1972</w:t>
      </w:r>
      <w:r>
        <w:fldChar w:fldCharType="end"/>
      </w:r>
    </w:p>
    <w:p w:rsidR="000963B9" w:rsidRDefault="00D04212">
      <w:pPr>
        <w:pStyle w:val="Arrangement"/>
      </w:pPr>
      <w:r>
        <w:t>CONTENTS</w:t>
      </w:r>
    </w:p>
    <w:p w:rsidR="000963B9" w:rsidRDefault="00D04212">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_Toc272309129 \h </w:instrText>
      </w:r>
      <w:r>
        <w:fldChar w:fldCharType="separate"/>
      </w:r>
      <w:r w:rsidR="0057143B">
        <w:t>1</w:t>
      </w:r>
      <w:r>
        <w:fldChar w:fldCharType="end"/>
      </w:r>
    </w:p>
    <w:p w:rsidR="000963B9" w:rsidRDefault="00D0421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_Toc272309130 \h </w:instrText>
      </w:r>
      <w:r>
        <w:fldChar w:fldCharType="separate"/>
      </w:r>
      <w:r w:rsidR="0057143B">
        <w:t>1</w:t>
      </w:r>
      <w:r>
        <w:fldChar w:fldCharType="end"/>
      </w:r>
    </w:p>
    <w:p w:rsidR="000963B9" w:rsidRDefault="00D04212">
      <w:pPr>
        <w:pStyle w:val="TOC8"/>
        <w:rPr>
          <w:sz w:val="24"/>
          <w:szCs w:val="24"/>
        </w:rPr>
      </w:pPr>
      <w:r>
        <w:rPr>
          <w:szCs w:val="24"/>
        </w:rPr>
        <w:t>3</w:t>
      </w:r>
      <w:r>
        <w:rPr>
          <w:snapToGrid w:val="0"/>
          <w:szCs w:val="24"/>
        </w:rPr>
        <w:t>.</w:t>
      </w:r>
      <w:r>
        <w:rPr>
          <w:snapToGrid w:val="0"/>
          <w:szCs w:val="24"/>
        </w:rPr>
        <w:tab/>
        <w:t xml:space="preserve">Construction of this Act to be subject to awards, orders, or agreements, made under </w:t>
      </w:r>
      <w:r>
        <w:rPr>
          <w:i/>
          <w:snapToGrid w:val="0"/>
          <w:szCs w:val="24"/>
        </w:rPr>
        <w:t>Industrial Relations Act 1979</w:t>
      </w:r>
      <w:r>
        <w:tab/>
      </w:r>
      <w:r>
        <w:fldChar w:fldCharType="begin"/>
      </w:r>
      <w:r>
        <w:instrText xml:space="preserve"> PAGEREF _Toc272309131 \h </w:instrText>
      </w:r>
      <w:r>
        <w:fldChar w:fldCharType="separate"/>
      </w:r>
      <w:r w:rsidR="0057143B">
        <w:t>1</w:t>
      </w:r>
      <w:r>
        <w:fldChar w:fldCharType="end"/>
      </w:r>
    </w:p>
    <w:p w:rsidR="000963B9" w:rsidRDefault="00D04212">
      <w:pPr>
        <w:pStyle w:val="TOC8"/>
        <w:rPr>
          <w:sz w:val="24"/>
          <w:szCs w:val="24"/>
        </w:rPr>
      </w:pPr>
      <w:r>
        <w:rPr>
          <w:szCs w:val="24"/>
        </w:rPr>
        <w:t>5</w:t>
      </w:r>
      <w:r>
        <w:rPr>
          <w:snapToGrid w:val="0"/>
          <w:szCs w:val="24"/>
        </w:rPr>
        <w:t>.</w:t>
      </w:r>
      <w:r>
        <w:rPr>
          <w:snapToGrid w:val="0"/>
          <w:szCs w:val="24"/>
        </w:rPr>
        <w:tab/>
        <w:t>Days fixed as public and bank holidays</w:t>
      </w:r>
      <w:r>
        <w:tab/>
      </w:r>
      <w:r>
        <w:fldChar w:fldCharType="begin"/>
      </w:r>
      <w:r>
        <w:instrText xml:space="preserve"> PAGEREF _Toc272309132 \h </w:instrText>
      </w:r>
      <w:r>
        <w:fldChar w:fldCharType="separate"/>
      </w:r>
      <w:r w:rsidR="0057143B">
        <w:t>2</w:t>
      </w:r>
      <w:r>
        <w:fldChar w:fldCharType="end"/>
      </w:r>
    </w:p>
    <w:p w:rsidR="000963B9" w:rsidRDefault="00D04212">
      <w:pPr>
        <w:pStyle w:val="TOC8"/>
        <w:rPr>
          <w:sz w:val="24"/>
          <w:szCs w:val="24"/>
        </w:rPr>
      </w:pPr>
      <w:r>
        <w:rPr>
          <w:szCs w:val="24"/>
        </w:rPr>
        <w:t>6.</w:t>
      </w:r>
      <w:r>
        <w:rPr>
          <w:szCs w:val="24"/>
        </w:rPr>
        <w:tab/>
        <w:t>Saturdays to be bank holidays</w:t>
      </w:r>
      <w:r>
        <w:tab/>
      </w:r>
      <w:r>
        <w:fldChar w:fldCharType="begin"/>
      </w:r>
      <w:r>
        <w:instrText xml:space="preserve"> PAGEREF _Toc272309133 \h </w:instrText>
      </w:r>
      <w:r>
        <w:fldChar w:fldCharType="separate"/>
      </w:r>
      <w:r w:rsidR="0057143B">
        <w:t>2</w:t>
      </w:r>
      <w:r>
        <w:fldChar w:fldCharType="end"/>
      </w:r>
    </w:p>
    <w:p w:rsidR="000963B9" w:rsidRDefault="00D04212">
      <w:pPr>
        <w:pStyle w:val="TOC8"/>
        <w:rPr>
          <w:sz w:val="24"/>
          <w:szCs w:val="24"/>
        </w:rPr>
      </w:pPr>
      <w:r>
        <w:rPr>
          <w:szCs w:val="24"/>
        </w:rPr>
        <w:t>7</w:t>
      </w:r>
      <w:r>
        <w:rPr>
          <w:snapToGrid w:val="0"/>
          <w:szCs w:val="24"/>
        </w:rPr>
        <w:t>.</w:t>
      </w:r>
      <w:r>
        <w:rPr>
          <w:snapToGrid w:val="0"/>
          <w:szCs w:val="24"/>
        </w:rPr>
        <w:tab/>
        <w:t>Special public or bank holidays and half</w:t>
      </w:r>
      <w:r>
        <w:rPr>
          <w:snapToGrid w:val="0"/>
          <w:szCs w:val="24"/>
        </w:rPr>
        <w:noBreakHyphen/>
        <w:t>holidays</w:t>
      </w:r>
      <w:r>
        <w:tab/>
      </w:r>
      <w:r>
        <w:fldChar w:fldCharType="begin"/>
      </w:r>
      <w:r>
        <w:instrText xml:space="preserve"> PAGEREF _Toc272309134 \h </w:instrText>
      </w:r>
      <w:r>
        <w:fldChar w:fldCharType="separate"/>
      </w:r>
      <w:r w:rsidR="0057143B">
        <w:t>2</w:t>
      </w:r>
      <w:r>
        <w:fldChar w:fldCharType="end"/>
      </w:r>
    </w:p>
    <w:p w:rsidR="000963B9" w:rsidRDefault="00D04212">
      <w:pPr>
        <w:pStyle w:val="TOC8"/>
        <w:rPr>
          <w:sz w:val="24"/>
          <w:szCs w:val="24"/>
        </w:rPr>
      </w:pPr>
      <w:r>
        <w:rPr>
          <w:szCs w:val="24"/>
        </w:rPr>
        <w:t>8</w:t>
      </w:r>
      <w:r>
        <w:rPr>
          <w:snapToGrid w:val="0"/>
          <w:szCs w:val="24"/>
        </w:rPr>
        <w:t>.</w:t>
      </w:r>
      <w:r>
        <w:rPr>
          <w:snapToGrid w:val="0"/>
          <w:szCs w:val="24"/>
        </w:rPr>
        <w:tab/>
        <w:t>Power of Governor to alter day appointed for a public holiday or bank holiday</w:t>
      </w:r>
      <w:r>
        <w:tab/>
      </w:r>
      <w:r>
        <w:fldChar w:fldCharType="begin"/>
      </w:r>
      <w:r>
        <w:instrText xml:space="preserve"> PAGEREF _Toc272309135 \h </w:instrText>
      </w:r>
      <w:r>
        <w:fldChar w:fldCharType="separate"/>
      </w:r>
      <w:r w:rsidR="0057143B">
        <w:t>2</w:t>
      </w:r>
      <w:r>
        <w:fldChar w:fldCharType="end"/>
      </w:r>
    </w:p>
    <w:p w:rsidR="000963B9" w:rsidRDefault="00D04212">
      <w:pPr>
        <w:pStyle w:val="TOC8"/>
        <w:rPr>
          <w:sz w:val="24"/>
          <w:szCs w:val="24"/>
        </w:rPr>
      </w:pPr>
      <w:r>
        <w:rPr>
          <w:szCs w:val="24"/>
        </w:rPr>
        <w:t>9</w:t>
      </w:r>
      <w:r>
        <w:rPr>
          <w:snapToGrid w:val="0"/>
          <w:szCs w:val="24"/>
        </w:rPr>
        <w:t>.</w:t>
      </w:r>
      <w:r>
        <w:rPr>
          <w:snapToGrid w:val="0"/>
          <w:szCs w:val="24"/>
        </w:rPr>
        <w:tab/>
        <w:t xml:space="preserve">Effect of proclamation under sections 7 and 8 on awards, orders, or agreements under </w:t>
      </w:r>
      <w:r>
        <w:rPr>
          <w:i/>
          <w:snapToGrid w:val="0"/>
          <w:szCs w:val="24"/>
        </w:rPr>
        <w:t>Industrial Relations Act 1979</w:t>
      </w:r>
      <w:r>
        <w:tab/>
      </w:r>
      <w:r>
        <w:fldChar w:fldCharType="begin"/>
      </w:r>
      <w:r>
        <w:instrText xml:space="preserve"> PAGEREF _Toc272309136 \h </w:instrText>
      </w:r>
      <w:r>
        <w:fldChar w:fldCharType="separate"/>
      </w:r>
      <w:r w:rsidR="0057143B">
        <w:t>3</w:t>
      </w:r>
      <w:r>
        <w:fldChar w:fldCharType="end"/>
      </w:r>
    </w:p>
    <w:p w:rsidR="000963B9" w:rsidRDefault="00D04212">
      <w:pPr>
        <w:pStyle w:val="TOC8"/>
        <w:rPr>
          <w:sz w:val="24"/>
          <w:szCs w:val="24"/>
        </w:rPr>
      </w:pPr>
      <w:r>
        <w:rPr>
          <w:szCs w:val="24"/>
        </w:rPr>
        <w:t>10</w:t>
      </w:r>
      <w:r>
        <w:rPr>
          <w:snapToGrid w:val="0"/>
          <w:szCs w:val="24"/>
        </w:rPr>
        <w:t>.</w:t>
      </w:r>
      <w:r>
        <w:rPr>
          <w:snapToGrid w:val="0"/>
          <w:szCs w:val="24"/>
        </w:rPr>
        <w:tab/>
        <w:t>Banks to be closed on bank holidays</w:t>
      </w:r>
      <w:r>
        <w:tab/>
      </w:r>
      <w:r>
        <w:fldChar w:fldCharType="begin"/>
      </w:r>
      <w:r>
        <w:instrText xml:space="preserve"> PAGEREF _Toc272309137 \h </w:instrText>
      </w:r>
      <w:r>
        <w:fldChar w:fldCharType="separate"/>
      </w:r>
      <w:r w:rsidR="0057143B">
        <w:t>3</w:t>
      </w:r>
      <w:r>
        <w:fldChar w:fldCharType="end"/>
      </w:r>
    </w:p>
    <w:p w:rsidR="000963B9" w:rsidRDefault="00D04212">
      <w:pPr>
        <w:pStyle w:val="TOC2"/>
        <w:tabs>
          <w:tab w:val="right" w:leader="dot" w:pos="7078"/>
        </w:tabs>
        <w:rPr>
          <w:b w:val="0"/>
          <w:sz w:val="24"/>
          <w:szCs w:val="24"/>
        </w:rPr>
      </w:pPr>
      <w:r>
        <w:rPr>
          <w:szCs w:val="28"/>
        </w:rPr>
        <w:t>Second Schedule — Public and bank holidays</w:t>
      </w:r>
    </w:p>
    <w:p w:rsidR="000963B9" w:rsidRDefault="00D04212">
      <w:pPr>
        <w:pStyle w:val="TOC2"/>
        <w:tabs>
          <w:tab w:val="right" w:leader="dot" w:pos="7078"/>
        </w:tabs>
        <w:rPr>
          <w:b w:val="0"/>
          <w:sz w:val="24"/>
          <w:szCs w:val="24"/>
        </w:rPr>
      </w:pPr>
      <w:r>
        <w:rPr>
          <w:szCs w:val="26"/>
        </w:rPr>
        <w:t>Notes</w:t>
      </w:r>
    </w:p>
    <w:p w:rsidR="000963B9" w:rsidRDefault="00D04212">
      <w:pPr>
        <w:pStyle w:val="TOC8"/>
        <w:rPr>
          <w:sz w:val="24"/>
          <w:szCs w:val="24"/>
        </w:rPr>
      </w:pPr>
      <w:r>
        <w:rPr>
          <w:snapToGrid w:val="0"/>
          <w:szCs w:val="24"/>
        </w:rPr>
        <w:tab/>
        <w:t>Compilation table</w:t>
      </w:r>
      <w:r>
        <w:tab/>
      </w:r>
      <w:r>
        <w:fldChar w:fldCharType="begin"/>
      </w:r>
      <w:r>
        <w:instrText xml:space="preserve"> PAGEREF _Toc272309140 \h </w:instrText>
      </w:r>
      <w:r>
        <w:fldChar w:fldCharType="separate"/>
      </w:r>
      <w:r w:rsidR="0057143B">
        <w:t>6</w:t>
      </w:r>
      <w:r>
        <w:fldChar w:fldCharType="end"/>
      </w:r>
    </w:p>
    <w:p w:rsidR="000963B9" w:rsidRDefault="00D04212">
      <w:pPr>
        <w:pStyle w:val="TOC2"/>
      </w:pPr>
      <w:r>
        <w:fldChar w:fldCharType="end"/>
      </w:r>
    </w:p>
    <w:p w:rsidR="000963B9" w:rsidRDefault="00D0421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963B9" w:rsidRDefault="000963B9">
      <w:pPr>
        <w:pStyle w:val="NoteHeading"/>
        <w:sectPr w:rsidR="000963B9">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0963B9" w:rsidRDefault="00D04212">
      <w:pPr>
        <w:pStyle w:val="WA"/>
        <w:spacing w:before="120"/>
      </w:pPr>
      <w:r>
        <w:lastRenderedPageBreak/>
        <w:t>Western Australia</w:t>
      </w:r>
    </w:p>
    <w:p w:rsidR="000963B9" w:rsidRDefault="00D04212">
      <w:pPr>
        <w:pStyle w:val="NameofActReg"/>
      </w:pPr>
      <w:r>
        <w:t xml:space="preserve">Public and Bank Holidays Act 1972 </w:t>
      </w:r>
    </w:p>
    <w:p w:rsidR="000963B9" w:rsidRDefault="00D04212">
      <w:pPr>
        <w:pStyle w:val="LongTitle"/>
        <w:spacing w:after="240"/>
        <w:rPr>
          <w:snapToGrid w:val="0"/>
        </w:rPr>
      </w:pPr>
      <w:r>
        <w:rPr>
          <w:snapToGrid w:val="0"/>
        </w:rPr>
        <w:t xml:space="preserve">An Act to rationalise public and bank holidays and for purposes incidental thereto. </w:t>
      </w:r>
    </w:p>
    <w:p w:rsidR="000963B9" w:rsidRDefault="00D04212">
      <w:pPr>
        <w:pStyle w:val="Heading5"/>
        <w:rPr>
          <w:snapToGrid w:val="0"/>
        </w:rPr>
      </w:pPr>
      <w:bookmarkStart w:id="1" w:name="_Toc459175639"/>
      <w:bookmarkStart w:id="2" w:name="_Toc532969412"/>
      <w:bookmarkStart w:id="3" w:name="_Toc85872434"/>
      <w:bookmarkStart w:id="4" w:name="_Toc85872527"/>
      <w:bookmarkStart w:id="5" w:name="_Toc27230912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0963B9" w:rsidRDefault="00D04212">
      <w:pPr>
        <w:pStyle w:val="Subsection"/>
        <w:rPr>
          <w:snapToGrid w:val="0"/>
        </w:rPr>
      </w:pPr>
      <w:r>
        <w:rPr>
          <w:snapToGrid w:val="0"/>
        </w:rPr>
        <w:tab/>
      </w:r>
      <w:r>
        <w:rPr>
          <w:snapToGrid w:val="0"/>
        </w:rPr>
        <w:tab/>
        <w:t xml:space="preserve">This Act may be cited as the </w:t>
      </w:r>
      <w:r>
        <w:rPr>
          <w:i/>
          <w:snapToGrid w:val="0"/>
        </w:rPr>
        <w:t>Public and Bank Holidays Act 1972</w:t>
      </w:r>
      <w:r>
        <w:rPr>
          <w:snapToGrid w:val="0"/>
          <w:vertAlign w:val="superscript"/>
        </w:rPr>
        <w:t> 1</w:t>
      </w:r>
      <w:r>
        <w:rPr>
          <w:snapToGrid w:val="0"/>
        </w:rPr>
        <w:t>.</w:t>
      </w:r>
    </w:p>
    <w:p w:rsidR="000963B9" w:rsidRDefault="00D04212">
      <w:pPr>
        <w:pStyle w:val="Heading5"/>
        <w:rPr>
          <w:snapToGrid w:val="0"/>
        </w:rPr>
      </w:pPr>
      <w:bookmarkStart w:id="6" w:name="_Toc459175640"/>
      <w:bookmarkStart w:id="7" w:name="_Toc532969413"/>
      <w:bookmarkStart w:id="8" w:name="_Toc85872435"/>
      <w:bookmarkStart w:id="9" w:name="_Toc85872528"/>
      <w:bookmarkStart w:id="10" w:name="_Toc27230913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0963B9" w:rsidRDefault="00D04212">
      <w:pPr>
        <w:pStyle w:val="Subsection"/>
        <w:rPr>
          <w:snapToGrid w:val="0"/>
        </w:rPr>
      </w:pPr>
      <w:r>
        <w:rPr>
          <w:snapToGrid w:val="0"/>
        </w:rPr>
        <w:tab/>
      </w:r>
      <w:r>
        <w:rPr>
          <w:snapToGrid w:val="0"/>
        </w:rPr>
        <w:tab/>
        <w:t>This Act shall come into operation on a date to fixed by proclamation</w:t>
      </w:r>
      <w:r>
        <w:rPr>
          <w:snapToGrid w:val="0"/>
          <w:vertAlign w:val="superscript"/>
        </w:rPr>
        <w:t xml:space="preserve"> 1</w:t>
      </w:r>
      <w:r>
        <w:rPr>
          <w:snapToGrid w:val="0"/>
        </w:rPr>
        <w:t>.</w:t>
      </w:r>
    </w:p>
    <w:p w:rsidR="000963B9" w:rsidRDefault="00D04212">
      <w:pPr>
        <w:pStyle w:val="Heading5"/>
        <w:rPr>
          <w:snapToGrid w:val="0"/>
        </w:rPr>
      </w:pPr>
      <w:bookmarkStart w:id="11" w:name="_Toc459175641"/>
      <w:bookmarkStart w:id="12" w:name="_Toc532969414"/>
      <w:bookmarkStart w:id="13" w:name="_Toc85872436"/>
      <w:bookmarkStart w:id="14" w:name="_Toc85872529"/>
      <w:bookmarkStart w:id="15" w:name="_Toc272309131"/>
      <w:r>
        <w:rPr>
          <w:rStyle w:val="CharSectno"/>
        </w:rPr>
        <w:t>3</w:t>
      </w:r>
      <w:r>
        <w:rPr>
          <w:snapToGrid w:val="0"/>
        </w:rPr>
        <w:t>.</w:t>
      </w:r>
      <w:r>
        <w:rPr>
          <w:snapToGrid w:val="0"/>
        </w:rPr>
        <w:tab/>
        <w:t xml:space="preserve">Construction of this Act to be subject to awards, orders, or agreements, made under </w:t>
      </w:r>
      <w:r>
        <w:rPr>
          <w:i/>
          <w:snapToGrid w:val="0"/>
        </w:rPr>
        <w:t>Industrial Relations Act 1979</w:t>
      </w:r>
      <w:bookmarkEnd w:id="11"/>
      <w:bookmarkEnd w:id="12"/>
      <w:bookmarkEnd w:id="13"/>
      <w:bookmarkEnd w:id="14"/>
      <w:bookmarkEnd w:id="15"/>
      <w:r>
        <w:rPr>
          <w:snapToGrid w:val="0"/>
        </w:rPr>
        <w:t xml:space="preserve"> </w:t>
      </w:r>
    </w:p>
    <w:p w:rsidR="000963B9" w:rsidRDefault="00D04212">
      <w:pPr>
        <w:pStyle w:val="Subsection"/>
        <w:rPr>
          <w:snapToGrid w:val="0"/>
        </w:rPr>
      </w:pPr>
      <w:r>
        <w:rPr>
          <w:snapToGrid w:val="0"/>
        </w:rPr>
        <w:tab/>
      </w:r>
      <w:r>
        <w:rPr>
          <w:snapToGrid w:val="0"/>
        </w:rPr>
        <w:tab/>
        <w:t xml:space="preserve">Unless it is otherwise expressly provided in this Act, any provision of an award, order, or industrial agreement made under the </w:t>
      </w:r>
      <w:r>
        <w:rPr>
          <w:i/>
          <w:snapToGrid w:val="0"/>
        </w:rPr>
        <w:t>Industrial Relations Act 1979</w:t>
      </w:r>
      <w:r>
        <w:t xml:space="preserve"> or an employer</w:t>
      </w:r>
      <w:r>
        <w:noBreakHyphen/>
        <w:t xml:space="preserve">employee agreement under Part VID of the </w:t>
      </w:r>
      <w:r>
        <w:rPr>
          <w:i/>
        </w:rPr>
        <w:t>Industrial Relations Act 1979</w:t>
      </w:r>
      <w:r>
        <w:rPr>
          <w:snapToGrid w:val="0"/>
        </w:rPr>
        <w:t>, prevails over any provision of or under this Act, to the extent of any inconsistency therewith.</w:t>
      </w:r>
    </w:p>
    <w:p w:rsidR="000963B9" w:rsidRDefault="00D04212">
      <w:pPr>
        <w:pStyle w:val="Footnotesection"/>
        <w:ind w:left="890" w:hanging="890"/>
      </w:pPr>
      <w:r>
        <w:tab/>
        <w:t>[Section 3 amended by No. 71 of 1987 s. 4; No. 13 of 1993 s. 103; No. 20 of 2002 s. 24; amended in Gazette 15 Aug 2003 p. 3690.]</w:t>
      </w:r>
    </w:p>
    <w:p w:rsidR="000963B9" w:rsidRDefault="00D04212">
      <w:pPr>
        <w:pStyle w:val="Ednotesection"/>
        <w:keepNext/>
        <w:rPr>
          <w:i w:val="0"/>
        </w:rPr>
      </w:pPr>
      <w:r>
        <w:lastRenderedPageBreak/>
        <w:t>[</w:t>
      </w:r>
      <w:r>
        <w:rPr>
          <w:b/>
        </w:rPr>
        <w:t>4.</w:t>
      </w:r>
      <w:r>
        <w:tab/>
        <w:t>Omitted under the Reprints Act 1984 s. 7(4)(f).]</w:t>
      </w:r>
    </w:p>
    <w:p w:rsidR="000963B9" w:rsidRDefault="00D04212">
      <w:pPr>
        <w:pStyle w:val="Heading5"/>
        <w:rPr>
          <w:snapToGrid w:val="0"/>
        </w:rPr>
      </w:pPr>
      <w:bookmarkStart w:id="16" w:name="_Toc459175643"/>
      <w:bookmarkStart w:id="17" w:name="_Toc532969416"/>
      <w:bookmarkStart w:id="18" w:name="_Toc85872437"/>
      <w:bookmarkStart w:id="19" w:name="_Toc85872530"/>
      <w:bookmarkStart w:id="20" w:name="_Toc272309132"/>
      <w:r>
        <w:rPr>
          <w:rStyle w:val="CharSectno"/>
        </w:rPr>
        <w:t>5</w:t>
      </w:r>
      <w:r>
        <w:rPr>
          <w:snapToGrid w:val="0"/>
        </w:rPr>
        <w:t>.</w:t>
      </w:r>
      <w:r>
        <w:rPr>
          <w:snapToGrid w:val="0"/>
        </w:rPr>
        <w:tab/>
        <w:t>Days fixed as public and bank holidays</w:t>
      </w:r>
      <w:bookmarkEnd w:id="16"/>
      <w:bookmarkEnd w:id="17"/>
      <w:bookmarkEnd w:id="18"/>
      <w:bookmarkEnd w:id="19"/>
      <w:bookmarkEnd w:id="20"/>
      <w:r>
        <w:rPr>
          <w:snapToGrid w:val="0"/>
        </w:rPr>
        <w:t xml:space="preserve"> </w:t>
      </w:r>
    </w:p>
    <w:p w:rsidR="000963B9" w:rsidRDefault="00D04212">
      <w:pPr>
        <w:pStyle w:val="Subsection"/>
        <w:rPr>
          <w:snapToGrid w:val="0"/>
        </w:rPr>
      </w:pPr>
      <w:r>
        <w:rPr>
          <w:snapToGrid w:val="0"/>
        </w:rPr>
        <w:tab/>
      </w:r>
      <w:r>
        <w:rPr>
          <w:snapToGrid w:val="0"/>
        </w:rPr>
        <w:tab/>
        <w:t>Subject to this Act, the several days specified, or appointed under the power, in the Second Schedule shall be public holidays and bank holidays throughout the State.</w:t>
      </w:r>
    </w:p>
    <w:p w:rsidR="000963B9" w:rsidRDefault="00D04212">
      <w:pPr>
        <w:pStyle w:val="Footnotesection"/>
      </w:pPr>
      <w:r>
        <w:tab/>
        <w:t xml:space="preserve">[Section 5 amended by No. 53 of 1983 s. 2.] </w:t>
      </w:r>
    </w:p>
    <w:p w:rsidR="000963B9" w:rsidRDefault="00D04212">
      <w:pPr>
        <w:pStyle w:val="Heading5"/>
      </w:pPr>
      <w:bookmarkStart w:id="21" w:name="_Toc85872438"/>
      <w:bookmarkStart w:id="22" w:name="_Toc85872531"/>
      <w:bookmarkStart w:id="23" w:name="_Toc272309133"/>
      <w:bookmarkStart w:id="24" w:name="_Toc459175645"/>
      <w:bookmarkStart w:id="25" w:name="_Toc532969418"/>
      <w:r>
        <w:rPr>
          <w:rStyle w:val="CharSectno"/>
        </w:rPr>
        <w:t>6</w:t>
      </w:r>
      <w:r>
        <w:t>.</w:t>
      </w:r>
      <w:r>
        <w:tab/>
        <w:t>Saturdays to be bank holidays</w:t>
      </w:r>
      <w:bookmarkEnd w:id="21"/>
      <w:bookmarkEnd w:id="22"/>
      <w:bookmarkEnd w:id="23"/>
    </w:p>
    <w:p w:rsidR="000963B9" w:rsidRDefault="00D04212">
      <w:pPr>
        <w:pStyle w:val="Subsection"/>
      </w:pPr>
      <w:r>
        <w:tab/>
      </w:r>
      <w:r>
        <w:tab/>
        <w:t>Saturday shall be a bank holiday throughout the State.</w:t>
      </w:r>
    </w:p>
    <w:p w:rsidR="000963B9" w:rsidRDefault="00D04212">
      <w:pPr>
        <w:pStyle w:val="Footnotesection"/>
      </w:pPr>
      <w:r>
        <w:tab/>
        <w:t>[Section 6 inserted by No. 32 of 2004 s. 4.]</w:t>
      </w:r>
    </w:p>
    <w:p w:rsidR="000963B9" w:rsidRDefault="00D04212">
      <w:pPr>
        <w:pStyle w:val="Heading5"/>
        <w:rPr>
          <w:snapToGrid w:val="0"/>
        </w:rPr>
      </w:pPr>
      <w:bookmarkStart w:id="26" w:name="_Toc85872439"/>
      <w:bookmarkStart w:id="27" w:name="_Toc85872532"/>
      <w:bookmarkStart w:id="28" w:name="_Toc272309134"/>
      <w:r>
        <w:rPr>
          <w:rStyle w:val="CharSectno"/>
        </w:rPr>
        <w:t>7</w:t>
      </w:r>
      <w:r>
        <w:rPr>
          <w:snapToGrid w:val="0"/>
        </w:rPr>
        <w:t>.</w:t>
      </w:r>
      <w:r>
        <w:rPr>
          <w:snapToGrid w:val="0"/>
        </w:rPr>
        <w:tab/>
        <w:t>Special public or bank holidays and half</w:t>
      </w:r>
      <w:r>
        <w:rPr>
          <w:snapToGrid w:val="0"/>
        </w:rPr>
        <w:noBreakHyphen/>
        <w:t>holidays</w:t>
      </w:r>
      <w:bookmarkEnd w:id="24"/>
      <w:bookmarkEnd w:id="25"/>
      <w:bookmarkEnd w:id="26"/>
      <w:bookmarkEnd w:id="27"/>
      <w:bookmarkEnd w:id="28"/>
      <w:r>
        <w:rPr>
          <w:snapToGrid w:val="0"/>
        </w:rPr>
        <w:t xml:space="preserve"> </w:t>
      </w:r>
    </w:p>
    <w:p w:rsidR="000963B9" w:rsidRDefault="00D04212">
      <w:pPr>
        <w:pStyle w:val="Subsection"/>
        <w:rPr>
          <w:snapToGrid w:val="0"/>
        </w:rPr>
      </w:pPr>
      <w:r>
        <w:rPr>
          <w:snapToGrid w:val="0"/>
        </w:rPr>
        <w:tab/>
        <w:t>(1)</w:t>
      </w:r>
      <w:r>
        <w:rPr>
          <w:snapToGrid w:val="0"/>
        </w:rPr>
        <w:tab/>
        <w:t>The Governor may, from time to time, by proclamation — </w:t>
      </w:r>
    </w:p>
    <w:p w:rsidR="000963B9" w:rsidRDefault="00D04212">
      <w:pPr>
        <w:pStyle w:val="Indenta"/>
        <w:rPr>
          <w:snapToGrid w:val="0"/>
        </w:rPr>
      </w:pPr>
      <w:r>
        <w:rPr>
          <w:snapToGrid w:val="0"/>
        </w:rPr>
        <w:tab/>
        <w:t>(a)</w:t>
      </w:r>
      <w:r>
        <w:rPr>
          <w:snapToGrid w:val="0"/>
        </w:rPr>
        <w:tab/>
        <w:t>appoint a special day specified in the proclamation to be a public holiday or bank holiday, or both;</w:t>
      </w:r>
    </w:p>
    <w:p w:rsidR="000963B9" w:rsidRDefault="00D04212">
      <w:pPr>
        <w:pStyle w:val="Indenta"/>
        <w:rPr>
          <w:snapToGrid w:val="0"/>
        </w:rPr>
      </w:pPr>
      <w:r>
        <w:rPr>
          <w:snapToGrid w:val="0"/>
        </w:rPr>
        <w:tab/>
        <w:t>(b)</w:t>
      </w:r>
      <w:r>
        <w:rPr>
          <w:snapToGrid w:val="0"/>
        </w:rPr>
        <w:tab/>
        <w:t>appoint any part of any special day specified in the proclamation to be a public half</w:t>
      </w:r>
      <w:r>
        <w:rPr>
          <w:snapToGrid w:val="0"/>
        </w:rPr>
        <w:noBreakHyphen/>
        <w:t>holiday,</w:t>
      </w:r>
    </w:p>
    <w:p w:rsidR="000963B9" w:rsidRDefault="00D04212">
      <w:pPr>
        <w:pStyle w:val="Subsection"/>
        <w:rPr>
          <w:snapToGrid w:val="0"/>
        </w:rPr>
      </w:pPr>
      <w:r>
        <w:rPr>
          <w:snapToGrid w:val="0"/>
        </w:rPr>
        <w:tab/>
      </w:r>
      <w:r>
        <w:rPr>
          <w:snapToGrid w:val="0"/>
        </w:rPr>
        <w:tab/>
        <w:t>in any year either throughout the State or within such district or locality as is specified in the proclamation, and in that case the special day or part thereof shall accordingly be a public holiday or bank holiday, or both, or public half</w:t>
      </w:r>
      <w:r>
        <w:rPr>
          <w:snapToGrid w:val="0"/>
        </w:rPr>
        <w:noBreakHyphen/>
        <w:t>holiday, as the case may be.</w:t>
      </w:r>
    </w:p>
    <w:p w:rsidR="000963B9" w:rsidRDefault="00D04212">
      <w:pPr>
        <w:pStyle w:val="Subsection"/>
        <w:rPr>
          <w:snapToGrid w:val="0"/>
        </w:rPr>
      </w:pPr>
      <w:r>
        <w:rPr>
          <w:snapToGrid w:val="0"/>
        </w:rPr>
        <w:tab/>
        <w:t>(2)</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special day specified in the former proclamation.</w:t>
      </w:r>
    </w:p>
    <w:p w:rsidR="000963B9" w:rsidRDefault="00D04212">
      <w:pPr>
        <w:pStyle w:val="Heading5"/>
        <w:rPr>
          <w:snapToGrid w:val="0"/>
        </w:rPr>
      </w:pPr>
      <w:bookmarkStart w:id="29" w:name="_Toc459175646"/>
      <w:bookmarkStart w:id="30" w:name="_Toc532969419"/>
      <w:bookmarkStart w:id="31" w:name="_Toc85872440"/>
      <w:bookmarkStart w:id="32" w:name="_Toc85872533"/>
      <w:bookmarkStart w:id="33" w:name="_Toc272309135"/>
      <w:r>
        <w:rPr>
          <w:rStyle w:val="CharSectno"/>
        </w:rPr>
        <w:t>8</w:t>
      </w:r>
      <w:r>
        <w:rPr>
          <w:snapToGrid w:val="0"/>
        </w:rPr>
        <w:t>.</w:t>
      </w:r>
      <w:r>
        <w:rPr>
          <w:snapToGrid w:val="0"/>
        </w:rPr>
        <w:tab/>
        <w:t>Power of Governor to alter day appointed for a public holiday or bank holiday</w:t>
      </w:r>
      <w:bookmarkEnd w:id="29"/>
      <w:bookmarkEnd w:id="30"/>
      <w:bookmarkEnd w:id="31"/>
      <w:bookmarkEnd w:id="32"/>
      <w:bookmarkEnd w:id="33"/>
      <w:r>
        <w:rPr>
          <w:snapToGrid w:val="0"/>
        </w:rPr>
        <w:t xml:space="preserve"> </w:t>
      </w:r>
    </w:p>
    <w:p w:rsidR="000963B9" w:rsidRDefault="00D04212">
      <w:pPr>
        <w:pStyle w:val="Subsection"/>
        <w:rPr>
          <w:snapToGrid w:val="0"/>
        </w:rPr>
      </w:pPr>
      <w:r>
        <w:rPr>
          <w:snapToGrid w:val="0"/>
        </w:rPr>
        <w:tab/>
        <w:t>(1)</w:t>
      </w:r>
      <w:r>
        <w:rPr>
          <w:snapToGrid w:val="0"/>
        </w:rPr>
        <w:tab/>
        <w:t xml:space="preserve">The Governor may, from time to time, by proclamation declare that, instead of a day referred to in section 5, some other day </w:t>
      </w:r>
      <w:r>
        <w:rPr>
          <w:snapToGrid w:val="0"/>
        </w:rPr>
        <w:lastRenderedPageBreak/>
        <w:t>shall be a public holiday or bank holiday, or both, in any year either throughout the State or within such district or locality as is specified in the proclamation, and in that case such other day shall accordingly be a public holiday or bank holiday, or both, as the case may be, instead of the day so referred to in that section.</w:t>
      </w:r>
    </w:p>
    <w:p w:rsidR="000963B9" w:rsidRDefault="00D04212">
      <w:pPr>
        <w:pStyle w:val="Subsection"/>
        <w:rPr>
          <w:snapToGrid w:val="0"/>
        </w:rPr>
      </w:pPr>
      <w:r>
        <w:rPr>
          <w:snapToGrid w:val="0"/>
        </w:rPr>
        <w:tab/>
        <w:t>(2)</w:t>
      </w:r>
      <w:r>
        <w:rPr>
          <w:snapToGrid w:val="0"/>
        </w:rPr>
        <w:tab/>
        <w:t xml:space="preserve">A proclamation made under subsection (1) shall be published in the </w:t>
      </w:r>
      <w:r>
        <w:rPr>
          <w:i/>
          <w:snapToGrid w:val="0"/>
        </w:rPr>
        <w:t>Government Gazette</w:t>
      </w:r>
      <w:r>
        <w:rPr>
          <w:snapToGrid w:val="0"/>
        </w:rPr>
        <w:t xml:space="preserve"> at least 3 weeks before the first day to be affected thereby.</w:t>
      </w:r>
    </w:p>
    <w:p w:rsidR="000963B9" w:rsidRDefault="00D04212">
      <w:pPr>
        <w:pStyle w:val="Subsection"/>
        <w:rPr>
          <w:snapToGrid w:val="0"/>
        </w:rPr>
      </w:pPr>
      <w:r>
        <w:rPr>
          <w:snapToGrid w:val="0"/>
        </w:rPr>
        <w:tab/>
        <w:t>(3)</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first day to be affected thereby.</w:t>
      </w:r>
    </w:p>
    <w:p w:rsidR="000963B9" w:rsidRDefault="00D04212">
      <w:pPr>
        <w:pStyle w:val="Footnotesection"/>
        <w:ind w:left="890" w:hanging="890"/>
      </w:pPr>
      <w:r>
        <w:tab/>
        <w:t xml:space="preserve">[Section 8 amended by No. 6 of 1976 s. 2; No. 53 of 1983 s. 3; No. 71 of 1987 s. 5; No. 74 of 2003 s. 96.] </w:t>
      </w:r>
    </w:p>
    <w:p w:rsidR="000963B9" w:rsidRDefault="00D04212">
      <w:pPr>
        <w:pStyle w:val="Heading5"/>
        <w:rPr>
          <w:snapToGrid w:val="0"/>
        </w:rPr>
      </w:pPr>
      <w:bookmarkStart w:id="34" w:name="_Toc459175647"/>
      <w:bookmarkStart w:id="35" w:name="_Toc532969420"/>
      <w:bookmarkStart w:id="36" w:name="_Toc85872441"/>
      <w:bookmarkStart w:id="37" w:name="_Toc85872534"/>
      <w:bookmarkStart w:id="38" w:name="_Toc272309136"/>
      <w:r>
        <w:rPr>
          <w:rStyle w:val="CharSectno"/>
        </w:rPr>
        <w:t>9</w:t>
      </w:r>
      <w:r>
        <w:rPr>
          <w:snapToGrid w:val="0"/>
        </w:rPr>
        <w:t>.</w:t>
      </w:r>
      <w:r>
        <w:rPr>
          <w:snapToGrid w:val="0"/>
        </w:rPr>
        <w:tab/>
        <w:t xml:space="preserve">Effect of proclamation under sections 7 and 8 on awards, orders, or agreements under </w:t>
      </w:r>
      <w:r>
        <w:rPr>
          <w:i/>
          <w:snapToGrid w:val="0"/>
        </w:rPr>
        <w:t>Industrial Relations Act 1979</w:t>
      </w:r>
      <w:bookmarkEnd w:id="34"/>
      <w:bookmarkEnd w:id="35"/>
      <w:bookmarkEnd w:id="36"/>
      <w:bookmarkEnd w:id="37"/>
      <w:bookmarkEnd w:id="38"/>
      <w:r>
        <w:rPr>
          <w:snapToGrid w:val="0"/>
        </w:rPr>
        <w:t xml:space="preserve"> </w:t>
      </w:r>
    </w:p>
    <w:p w:rsidR="000963B9" w:rsidRDefault="00D04212">
      <w:pPr>
        <w:pStyle w:val="Subsection"/>
        <w:rPr>
          <w:snapToGrid w:val="0"/>
        </w:rPr>
      </w:pPr>
      <w:r>
        <w:rPr>
          <w:snapToGrid w:val="0"/>
        </w:rPr>
        <w:tab/>
      </w:r>
      <w:r>
        <w:rPr>
          <w:snapToGrid w:val="0"/>
        </w:rPr>
        <w:tab/>
        <w:t xml:space="preserve">Any provision of a proclamation made under section 7 or 8 prevails over any provision of an award, order, or industrial agreement made under the </w:t>
      </w:r>
      <w:r>
        <w:rPr>
          <w:i/>
          <w:snapToGrid w:val="0"/>
        </w:rPr>
        <w:t>Industrial Relations Act 1979</w:t>
      </w:r>
      <w:r>
        <w:rPr>
          <w:snapToGrid w:val="0"/>
        </w:rPr>
        <w:t xml:space="preserve"> to the extent of any inconsistency therewith.</w:t>
      </w:r>
    </w:p>
    <w:p w:rsidR="000963B9" w:rsidRDefault="00D04212">
      <w:pPr>
        <w:pStyle w:val="Footnotesection"/>
      </w:pPr>
      <w:r>
        <w:tab/>
        <w:t xml:space="preserve">[Section 9 amended by No. 71 of 1987 s. 6.] </w:t>
      </w:r>
    </w:p>
    <w:p w:rsidR="000963B9" w:rsidRDefault="00D04212">
      <w:pPr>
        <w:pStyle w:val="Heading5"/>
        <w:rPr>
          <w:snapToGrid w:val="0"/>
        </w:rPr>
      </w:pPr>
      <w:bookmarkStart w:id="39" w:name="_Toc459175648"/>
      <w:bookmarkStart w:id="40" w:name="_Toc532969421"/>
      <w:bookmarkStart w:id="41" w:name="_Toc85872442"/>
      <w:bookmarkStart w:id="42" w:name="_Toc85872535"/>
      <w:bookmarkStart w:id="43" w:name="_Toc272309137"/>
      <w:r>
        <w:rPr>
          <w:rStyle w:val="CharSectno"/>
        </w:rPr>
        <w:t>10</w:t>
      </w:r>
      <w:r>
        <w:rPr>
          <w:snapToGrid w:val="0"/>
        </w:rPr>
        <w:t>.</w:t>
      </w:r>
      <w:r>
        <w:rPr>
          <w:snapToGrid w:val="0"/>
        </w:rPr>
        <w:tab/>
        <w:t>Banks to be closed on bank holidays</w:t>
      </w:r>
      <w:bookmarkEnd w:id="39"/>
      <w:bookmarkEnd w:id="40"/>
      <w:bookmarkEnd w:id="41"/>
      <w:bookmarkEnd w:id="42"/>
      <w:bookmarkEnd w:id="43"/>
      <w:r>
        <w:rPr>
          <w:snapToGrid w:val="0"/>
        </w:rPr>
        <w:t xml:space="preserve"> </w:t>
      </w:r>
    </w:p>
    <w:p w:rsidR="000963B9" w:rsidRDefault="00D04212">
      <w:pPr>
        <w:pStyle w:val="Subsection"/>
        <w:rPr>
          <w:snapToGrid w:val="0"/>
        </w:rPr>
      </w:pPr>
      <w:r>
        <w:rPr>
          <w:snapToGrid w:val="0"/>
        </w:rPr>
        <w:tab/>
        <w:t>(1)</w:t>
      </w:r>
      <w:r>
        <w:rPr>
          <w:snapToGrid w:val="0"/>
        </w:rPr>
        <w:tab/>
        <w:t>Subject to subsection (2), all banks in the State shall</w:t>
      </w:r>
      <w:r>
        <w:t xml:space="preserve"> close their premises to the public</w:t>
      </w:r>
      <w:r>
        <w:rPr>
          <w:snapToGrid w:val="0"/>
        </w:rPr>
        <w:t xml:space="preserve"> on bank holidays.</w:t>
      </w:r>
    </w:p>
    <w:p w:rsidR="000963B9" w:rsidRDefault="00D04212">
      <w:pPr>
        <w:pStyle w:val="Subsection"/>
      </w:pPr>
      <w:r>
        <w:tab/>
        <w:t>(2)</w:t>
      </w:r>
      <w:r>
        <w:tab/>
        <w:t xml:space="preserve">A bank in the State is not required to close its premises to the public on a Saturday, if that Saturday — </w:t>
      </w:r>
    </w:p>
    <w:p w:rsidR="000963B9" w:rsidRDefault="00D04212">
      <w:pPr>
        <w:pStyle w:val="Indenta"/>
      </w:pPr>
      <w:r>
        <w:tab/>
        <w:t>(a)</w:t>
      </w:r>
      <w:r>
        <w:tab/>
        <w:t>is a bank holiday by virtue of section 6; and</w:t>
      </w:r>
    </w:p>
    <w:p w:rsidR="000963B9" w:rsidRDefault="00D04212">
      <w:pPr>
        <w:pStyle w:val="Indenta"/>
        <w:keepNext/>
        <w:keepLines/>
      </w:pPr>
      <w:r>
        <w:lastRenderedPageBreak/>
        <w:tab/>
        <w:t>(b)</w:t>
      </w:r>
      <w:r>
        <w:tab/>
        <w:t>is not a bank holiday or public holiday under any other section.</w:t>
      </w:r>
    </w:p>
    <w:p w:rsidR="000963B9" w:rsidRDefault="00D04212">
      <w:pPr>
        <w:pStyle w:val="Footnotesection"/>
        <w:keepNext/>
      </w:pPr>
      <w:r>
        <w:tab/>
        <w:t>[Section 10 amended by No. 32 of 2004 s. 5.]</w:t>
      </w:r>
    </w:p>
    <w:p w:rsidR="000963B9" w:rsidRDefault="00D04212">
      <w:pPr>
        <w:pStyle w:val="yEdnoteschedule"/>
      </w:pPr>
      <w:r>
        <w:t>[First Schedule omitted under the Reprints Act 1984 s. 7(4)(f).]</w:t>
      </w:r>
    </w:p>
    <w:p w:rsidR="000963B9" w:rsidRDefault="000963B9">
      <w:pPr>
        <w:sectPr w:rsidR="000963B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44" w:name="_Toc85872443"/>
      <w:bookmarkStart w:id="45" w:name="_Toc85872536"/>
      <w:bookmarkStart w:id="46" w:name="_Toc195434192"/>
      <w:bookmarkStart w:id="47" w:name="_Toc195434239"/>
      <w:bookmarkStart w:id="48" w:name="_Toc195434272"/>
      <w:bookmarkStart w:id="49" w:name="_Toc195434284"/>
      <w:bookmarkStart w:id="50" w:name="_Toc195434514"/>
      <w:bookmarkStart w:id="51" w:name="_Toc195505969"/>
      <w:bookmarkStart w:id="52" w:name="_Toc196019935"/>
      <w:bookmarkStart w:id="53" w:name="_Toc196107561"/>
    </w:p>
    <w:p w:rsidR="000963B9" w:rsidRDefault="00D04212">
      <w:pPr>
        <w:pStyle w:val="yScheduleHeading"/>
      </w:pPr>
      <w:bookmarkStart w:id="54" w:name="_Toc196193062"/>
      <w:bookmarkStart w:id="55" w:name="_Toc197228278"/>
      <w:bookmarkStart w:id="56" w:name="_Toc197484399"/>
      <w:bookmarkStart w:id="57" w:name="_Toc268244750"/>
      <w:bookmarkStart w:id="58" w:name="_Toc268614903"/>
      <w:bookmarkStart w:id="59" w:name="_Toc272309138"/>
      <w:r>
        <w:rPr>
          <w:rStyle w:val="CharSchNo"/>
        </w:rPr>
        <w:lastRenderedPageBreak/>
        <w:t>Second Schedule</w:t>
      </w:r>
      <w:bookmarkEnd w:id="44"/>
      <w:bookmarkEnd w:id="45"/>
      <w:bookmarkEnd w:id="46"/>
      <w:bookmarkEnd w:id="47"/>
      <w:bookmarkEnd w:id="48"/>
      <w:bookmarkEnd w:id="49"/>
      <w:bookmarkEnd w:id="50"/>
      <w:bookmarkEnd w:id="51"/>
      <w:bookmarkEnd w:id="52"/>
      <w:bookmarkEnd w:id="53"/>
      <w:bookmarkEnd w:id="54"/>
      <w:bookmarkEnd w:id="55"/>
      <w:bookmarkEnd w:id="56"/>
      <w:r>
        <w:t> — </w:t>
      </w:r>
      <w:r>
        <w:rPr>
          <w:rStyle w:val="CharSchText"/>
        </w:rPr>
        <w:t>Public and bank holidays</w:t>
      </w:r>
      <w:bookmarkEnd w:id="57"/>
      <w:bookmarkEnd w:id="58"/>
      <w:bookmarkEnd w:id="59"/>
    </w:p>
    <w:p w:rsidR="000963B9" w:rsidRDefault="00D04212">
      <w:pPr>
        <w:pStyle w:val="yShoulderClause"/>
        <w:rPr>
          <w:snapToGrid w:val="0"/>
        </w:rPr>
      </w:pPr>
      <w:r>
        <w:rPr>
          <w:snapToGrid w:val="0"/>
        </w:rPr>
        <w:t>[s. 5]</w:t>
      </w:r>
    </w:p>
    <w:p w:rsidR="000963B9" w:rsidRDefault="00D04212">
      <w:pPr>
        <w:pStyle w:val="yFootnoteheading"/>
      </w:pPr>
      <w:r>
        <w:tab/>
        <w:t>[Heading amended by No. 19 of 2010 s. 4.]</w:t>
      </w:r>
    </w:p>
    <w:p w:rsidR="000963B9" w:rsidRDefault="00D04212">
      <w:pPr>
        <w:pStyle w:val="yNumberedItem"/>
      </w:pPr>
      <w:r>
        <w:tab/>
        <w:t>New Year’s Day (1st January).</w:t>
      </w:r>
    </w:p>
    <w:p w:rsidR="000963B9" w:rsidRDefault="00D04212">
      <w:pPr>
        <w:pStyle w:val="yNumberedItem"/>
      </w:pPr>
      <w:r>
        <w:tab/>
        <w:t>Australia Day (26th January or, when that day falls on a Saturday or Sunday, the first Monday following the 26th January).</w:t>
      </w:r>
    </w:p>
    <w:p w:rsidR="000963B9" w:rsidRDefault="00D04212">
      <w:pPr>
        <w:pStyle w:val="yNumberedItem"/>
      </w:pPr>
      <w:r>
        <w:tab/>
        <w:t>Labour Day (Monday on or first Monday following the 1st March).</w:t>
      </w:r>
    </w:p>
    <w:p w:rsidR="000963B9" w:rsidRDefault="00D04212">
      <w:pPr>
        <w:pStyle w:val="yNumberedItem"/>
      </w:pPr>
      <w:r>
        <w:tab/>
        <w:t>Good Friday.</w:t>
      </w:r>
    </w:p>
    <w:p w:rsidR="000963B9" w:rsidRDefault="00D04212">
      <w:pPr>
        <w:pStyle w:val="yNumberedItem"/>
      </w:pPr>
      <w:r>
        <w:tab/>
        <w:t>Easter Monday.</w:t>
      </w:r>
    </w:p>
    <w:p w:rsidR="000963B9" w:rsidRDefault="00D04212">
      <w:pPr>
        <w:pStyle w:val="yNumberedItem"/>
      </w:pPr>
      <w:r>
        <w:tab/>
        <w:t>Anzac Day (25th April).</w:t>
      </w:r>
    </w:p>
    <w:p w:rsidR="000963B9" w:rsidRDefault="00D04212">
      <w:pPr>
        <w:pStyle w:val="yNumberedItem"/>
      </w:pPr>
      <w:r>
        <w:tab/>
        <w:t>Foundation Day (Monday on or first Monday following the 1st June).</w:t>
      </w:r>
    </w:p>
    <w:p w:rsidR="000963B9" w:rsidRDefault="00D04212">
      <w:pPr>
        <w:pStyle w:val="yNumberedItem"/>
      </w:pPr>
      <w:r>
        <w:tab/>
        <w:t xml:space="preserve">Celebration Day for the Anniversary of the Birthday of the Reigning Sovereign (day to be appointed for each year by proclamation published in the </w:t>
      </w:r>
      <w:r>
        <w:rPr>
          <w:i/>
        </w:rPr>
        <w:t>Government Gazette</w:t>
      </w:r>
      <w:r>
        <w:t xml:space="preserve"> at least 3 weeks before the day so appointed).</w:t>
      </w:r>
    </w:p>
    <w:p w:rsidR="000963B9" w:rsidRDefault="00D04212">
      <w:pPr>
        <w:pStyle w:val="yNumberedItem"/>
      </w:pPr>
      <w:r>
        <w:tab/>
        <w:t>Christmas Day (25th December).</w:t>
      </w:r>
    </w:p>
    <w:p w:rsidR="000963B9" w:rsidRDefault="00D04212">
      <w:pPr>
        <w:pStyle w:val="yNumberedItem"/>
      </w:pPr>
      <w:r>
        <w:tab/>
        <w:t>Boxing Day (26th December).</w:t>
      </w:r>
    </w:p>
    <w:p w:rsidR="000963B9" w:rsidRDefault="00D04212">
      <w:pPr>
        <w:pStyle w:val="yNumberedItem"/>
      </w:pPr>
      <w:r>
        <w:tab/>
        <w:t>When New Year’s Day, Anzac Day, or Christmas Day falls on a Saturday or Sunday the next following Monday is also a public holiday and bank holiday.</w:t>
      </w:r>
    </w:p>
    <w:p w:rsidR="000963B9" w:rsidRDefault="00D04212">
      <w:pPr>
        <w:pStyle w:val="yNumberedItem"/>
      </w:pPr>
      <w:r>
        <w:tab/>
        <w:t>When Boxing Day falls on a Saturday the next following Monday is also a public holiday and bank holiday.</w:t>
      </w:r>
    </w:p>
    <w:p w:rsidR="000963B9" w:rsidRDefault="00D04212">
      <w:pPr>
        <w:pStyle w:val="yNumberedItem"/>
      </w:pPr>
      <w:r>
        <w:tab/>
        <w:t>When Boxing Day falls on a Sunday or Monday the next following Tuesday is also a public holiday and bank holiday.</w:t>
      </w:r>
    </w:p>
    <w:p w:rsidR="000963B9" w:rsidRDefault="00D04212">
      <w:pPr>
        <w:pStyle w:val="yFootnotesection"/>
      </w:pPr>
      <w:r>
        <w:tab/>
        <w:t>[Second Schedule amended by No. 6 of 1976 s. 3; No. 53 of 1983 s. 4; No. 20 of 1992 s. 4; No. 8 of 2009 s. 103.]</w:t>
      </w:r>
    </w:p>
    <w:p w:rsidR="000963B9" w:rsidRDefault="000963B9">
      <w:pPr>
        <w:sectPr w:rsidR="000963B9">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0" w:name="_Toc85872444"/>
      <w:bookmarkStart w:id="61" w:name="_Toc85872537"/>
      <w:bookmarkStart w:id="62" w:name="_Toc195434193"/>
      <w:bookmarkStart w:id="63" w:name="_Toc195434240"/>
      <w:bookmarkStart w:id="64" w:name="_Toc195434273"/>
      <w:bookmarkStart w:id="65" w:name="_Toc195434285"/>
      <w:bookmarkStart w:id="66" w:name="_Toc195434515"/>
      <w:bookmarkStart w:id="67" w:name="_Toc195505970"/>
      <w:bookmarkStart w:id="68" w:name="_Toc196019936"/>
      <w:bookmarkStart w:id="69" w:name="_Toc196107562"/>
    </w:p>
    <w:p w:rsidR="000963B9" w:rsidRDefault="00D04212">
      <w:pPr>
        <w:pStyle w:val="nHeading2"/>
      </w:pPr>
      <w:bookmarkStart w:id="70" w:name="_Toc196193063"/>
      <w:bookmarkStart w:id="71" w:name="_Toc197228279"/>
      <w:bookmarkStart w:id="72" w:name="_Toc197484400"/>
      <w:bookmarkStart w:id="73" w:name="_Toc268244751"/>
      <w:bookmarkStart w:id="74" w:name="_Toc268614904"/>
      <w:bookmarkStart w:id="75" w:name="_Toc272309139"/>
      <w:r>
        <w:lastRenderedPageBreak/>
        <w:t>Notes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0963B9" w:rsidRDefault="00D04212">
      <w:pPr>
        <w:pStyle w:val="nSubsection"/>
        <w:rPr>
          <w:snapToGrid w:val="0"/>
        </w:rPr>
      </w:pPr>
      <w:r>
        <w:rPr>
          <w:snapToGrid w:val="0"/>
          <w:vertAlign w:val="superscript"/>
        </w:rPr>
        <w:t>1</w:t>
      </w:r>
      <w:r>
        <w:rPr>
          <w:snapToGrid w:val="0"/>
        </w:rPr>
        <w:tab/>
        <w:t xml:space="preserve">This is a compilation of the </w:t>
      </w:r>
      <w:r>
        <w:rPr>
          <w:i/>
          <w:iCs/>
          <w:snapToGrid w:val="0"/>
        </w:rPr>
        <w:t>Public and Bank Holidays Act 1972</w:t>
      </w:r>
      <w:r>
        <w:rPr>
          <w:snapToGrid w:val="0"/>
        </w:rPr>
        <w:t xml:space="preserve"> and includes the amendments made by the other written laws referred to in the following table.  The table also contains information about any reprint.</w:t>
      </w:r>
    </w:p>
    <w:p w:rsidR="000963B9" w:rsidRDefault="00D04212">
      <w:pPr>
        <w:pStyle w:val="nHeading3"/>
        <w:rPr>
          <w:snapToGrid w:val="0"/>
        </w:rPr>
      </w:pPr>
      <w:bookmarkStart w:id="76" w:name="UpToHere"/>
      <w:bookmarkStart w:id="77" w:name="_Toc272309140"/>
      <w:bookmarkEnd w:id="76"/>
      <w:r>
        <w:rPr>
          <w:snapToGrid w:val="0"/>
        </w:rPr>
        <w:t>Compilation table</w:t>
      </w:r>
      <w:bookmarkEnd w:id="77"/>
    </w:p>
    <w:tbl>
      <w:tblPr>
        <w:tblW w:w="0" w:type="auto"/>
        <w:tblInd w:w="28" w:type="dxa"/>
        <w:tblLayout w:type="fixed"/>
        <w:tblCellMar>
          <w:left w:w="56" w:type="dxa"/>
          <w:right w:w="56" w:type="dxa"/>
        </w:tblCellMar>
        <w:tblLook w:val="0000" w:firstRow="0" w:lastRow="0" w:firstColumn="0" w:lastColumn="0" w:noHBand="0" w:noVBand="0"/>
      </w:tblPr>
      <w:tblGrid>
        <w:gridCol w:w="33"/>
        <w:gridCol w:w="2245"/>
        <w:gridCol w:w="1139"/>
        <w:gridCol w:w="1136"/>
        <w:gridCol w:w="52"/>
        <w:gridCol w:w="2503"/>
        <w:gridCol w:w="47"/>
      </w:tblGrid>
      <w:tr w:rsidR="000963B9">
        <w:trPr>
          <w:gridAfter w:val="1"/>
          <w:wAfter w:w="46" w:type="dxa"/>
          <w:cantSplit/>
          <w:tblHeader/>
        </w:trPr>
        <w:tc>
          <w:tcPr>
            <w:tcW w:w="2274" w:type="dxa"/>
            <w:gridSpan w:val="2"/>
            <w:tcBorders>
              <w:top w:val="single" w:sz="8" w:space="0" w:color="auto"/>
              <w:bottom w:val="single" w:sz="8" w:space="0" w:color="auto"/>
            </w:tcBorders>
          </w:tcPr>
          <w:p w:rsidR="000963B9" w:rsidRDefault="00D04212">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rsidR="000963B9" w:rsidRDefault="00D04212">
            <w:pPr>
              <w:pStyle w:val="nTable"/>
              <w:spacing w:after="40"/>
              <w:ind w:left="57"/>
              <w:rPr>
                <w:b/>
                <w:sz w:val="19"/>
              </w:rPr>
            </w:pPr>
            <w:r>
              <w:rPr>
                <w:b/>
                <w:sz w:val="19"/>
              </w:rPr>
              <w:t>Number and year</w:t>
            </w:r>
          </w:p>
        </w:tc>
        <w:tc>
          <w:tcPr>
            <w:tcW w:w="1187" w:type="dxa"/>
            <w:gridSpan w:val="2"/>
            <w:tcBorders>
              <w:top w:val="single" w:sz="8" w:space="0" w:color="auto"/>
              <w:bottom w:val="single" w:sz="8" w:space="0" w:color="auto"/>
            </w:tcBorders>
          </w:tcPr>
          <w:p w:rsidR="000963B9" w:rsidRDefault="00D04212">
            <w:pPr>
              <w:pStyle w:val="nTable"/>
              <w:spacing w:after="40"/>
              <w:ind w:left="57"/>
              <w:rPr>
                <w:b/>
                <w:sz w:val="19"/>
              </w:rPr>
            </w:pPr>
            <w:r>
              <w:rPr>
                <w:b/>
                <w:sz w:val="19"/>
              </w:rPr>
              <w:t>Assent</w:t>
            </w:r>
          </w:p>
        </w:tc>
        <w:tc>
          <w:tcPr>
            <w:tcW w:w="2503" w:type="dxa"/>
            <w:tcBorders>
              <w:top w:val="single" w:sz="8" w:space="0" w:color="auto"/>
              <w:bottom w:val="single" w:sz="8" w:space="0" w:color="auto"/>
            </w:tcBorders>
          </w:tcPr>
          <w:p w:rsidR="000963B9" w:rsidRDefault="00D04212">
            <w:pPr>
              <w:pStyle w:val="nTable"/>
              <w:spacing w:after="40"/>
              <w:ind w:left="57"/>
              <w:rPr>
                <w:b/>
                <w:sz w:val="19"/>
              </w:rPr>
            </w:pPr>
            <w:r>
              <w:rPr>
                <w:b/>
                <w:sz w:val="19"/>
              </w:rPr>
              <w:t>Commencement</w:t>
            </w:r>
          </w:p>
        </w:tc>
      </w:tr>
      <w:tr w:rsidR="000963B9">
        <w:trPr>
          <w:gridAfter w:val="1"/>
          <w:wAfter w:w="46" w:type="dxa"/>
          <w:cantSplit/>
        </w:trPr>
        <w:tc>
          <w:tcPr>
            <w:tcW w:w="2274" w:type="dxa"/>
            <w:gridSpan w:val="2"/>
            <w:tcBorders>
              <w:top w:val="single" w:sz="8" w:space="0" w:color="auto"/>
            </w:tcBorders>
          </w:tcPr>
          <w:p w:rsidR="000963B9" w:rsidRDefault="00D04212">
            <w:pPr>
              <w:pStyle w:val="nTable"/>
              <w:spacing w:after="40"/>
              <w:ind w:right="113"/>
              <w:rPr>
                <w:sz w:val="19"/>
              </w:rPr>
            </w:pPr>
            <w:r>
              <w:rPr>
                <w:i/>
                <w:sz w:val="19"/>
              </w:rPr>
              <w:t>Public and Bank Holidays Act 1972</w:t>
            </w:r>
          </w:p>
        </w:tc>
        <w:tc>
          <w:tcPr>
            <w:tcW w:w="1139" w:type="dxa"/>
            <w:tcBorders>
              <w:top w:val="single" w:sz="8" w:space="0" w:color="auto"/>
            </w:tcBorders>
          </w:tcPr>
          <w:p w:rsidR="000963B9" w:rsidRDefault="00D04212">
            <w:pPr>
              <w:pStyle w:val="nTable"/>
              <w:spacing w:after="40"/>
              <w:ind w:left="57"/>
              <w:rPr>
                <w:sz w:val="19"/>
              </w:rPr>
            </w:pPr>
            <w:r>
              <w:rPr>
                <w:sz w:val="19"/>
              </w:rPr>
              <w:t>63 of 1972</w:t>
            </w:r>
          </w:p>
        </w:tc>
        <w:tc>
          <w:tcPr>
            <w:tcW w:w="1187" w:type="dxa"/>
            <w:gridSpan w:val="2"/>
            <w:tcBorders>
              <w:top w:val="single" w:sz="8" w:space="0" w:color="auto"/>
            </w:tcBorders>
          </w:tcPr>
          <w:p w:rsidR="000963B9" w:rsidRDefault="00D04212">
            <w:pPr>
              <w:pStyle w:val="nTable"/>
              <w:spacing w:after="40"/>
              <w:ind w:left="57"/>
              <w:rPr>
                <w:sz w:val="19"/>
              </w:rPr>
            </w:pPr>
            <w:r>
              <w:rPr>
                <w:sz w:val="19"/>
              </w:rPr>
              <w:t>31 Oct 1972</w:t>
            </w:r>
          </w:p>
        </w:tc>
        <w:tc>
          <w:tcPr>
            <w:tcW w:w="2503" w:type="dxa"/>
            <w:tcBorders>
              <w:top w:val="single" w:sz="8" w:space="0" w:color="auto"/>
            </w:tcBorders>
          </w:tcPr>
          <w:p w:rsidR="000963B9" w:rsidRDefault="00D04212">
            <w:pPr>
              <w:pStyle w:val="nTable"/>
              <w:spacing w:after="40"/>
              <w:ind w:left="57"/>
              <w:rPr>
                <w:sz w:val="19"/>
              </w:rPr>
            </w:pPr>
            <w:r>
              <w:rPr>
                <w:sz w:val="19"/>
              </w:rPr>
              <w:t xml:space="preserve">22 Jun 1973 (see s. 2 and </w:t>
            </w:r>
            <w:r>
              <w:rPr>
                <w:i/>
                <w:sz w:val="19"/>
              </w:rPr>
              <w:t>Gazette</w:t>
            </w:r>
            <w:r>
              <w:rPr>
                <w:sz w:val="19"/>
              </w:rPr>
              <w:t xml:space="preserve"> 22 Jun 1973 p. 2367)</w:t>
            </w:r>
          </w:p>
        </w:tc>
      </w:tr>
      <w:tr w:rsidR="000963B9">
        <w:trPr>
          <w:gridAfter w:val="1"/>
          <w:wAfter w:w="46" w:type="dxa"/>
          <w:cantSplit/>
        </w:trPr>
        <w:tc>
          <w:tcPr>
            <w:tcW w:w="2274" w:type="dxa"/>
            <w:gridSpan w:val="2"/>
          </w:tcPr>
          <w:p w:rsidR="000963B9" w:rsidRDefault="00D04212">
            <w:pPr>
              <w:pStyle w:val="nTable"/>
              <w:spacing w:after="40"/>
              <w:ind w:right="113"/>
              <w:rPr>
                <w:sz w:val="19"/>
              </w:rPr>
            </w:pPr>
            <w:r>
              <w:rPr>
                <w:i/>
                <w:sz w:val="19"/>
              </w:rPr>
              <w:t>Public and Bank Holidays Act Amendment Act 1976</w:t>
            </w:r>
          </w:p>
        </w:tc>
        <w:tc>
          <w:tcPr>
            <w:tcW w:w="1139" w:type="dxa"/>
          </w:tcPr>
          <w:p w:rsidR="000963B9" w:rsidRDefault="00D04212">
            <w:pPr>
              <w:pStyle w:val="nTable"/>
              <w:spacing w:after="40"/>
              <w:ind w:left="57"/>
              <w:rPr>
                <w:sz w:val="19"/>
              </w:rPr>
            </w:pPr>
            <w:r>
              <w:rPr>
                <w:sz w:val="19"/>
              </w:rPr>
              <w:t>6 of 1976</w:t>
            </w:r>
          </w:p>
        </w:tc>
        <w:tc>
          <w:tcPr>
            <w:tcW w:w="1187" w:type="dxa"/>
            <w:gridSpan w:val="2"/>
          </w:tcPr>
          <w:p w:rsidR="000963B9" w:rsidRDefault="00D04212">
            <w:pPr>
              <w:pStyle w:val="nTable"/>
              <w:spacing w:after="40"/>
              <w:ind w:left="57"/>
              <w:rPr>
                <w:sz w:val="19"/>
              </w:rPr>
            </w:pPr>
            <w:r>
              <w:rPr>
                <w:sz w:val="19"/>
              </w:rPr>
              <w:t>25 May 1976</w:t>
            </w:r>
          </w:p>
        </w:tc>
        <w:tc>
          <w:tcPr>
            <w:tcW w:w="2503" w:type="dxa"/>
          </w:tcPr>
          <w:p w:rsidR="000963B9" w:rsidRDefault="00D04212">
            <w:pPr>
              <w:pStyle w:val="nTable"/>
              <w:spacing w:after="40"/>
              <w:ind w:left="57"/>
              <w:rPr>
                <w:sz w:val="19"/>
              </w:rPr>
            </w:pPr>
            <w:r>
              <w:rPr>
                <w:sz w:val="19"/>
              </w:rPr>
              <w:t>25 May 1976</w:t>
            </w:r>
          </w:p>
        </w:tc>
      </w:tr>
      <w:tr w:rsidR="000963B9">
        <w:trPr>
          <w:gridAfter w:val="1"/>
          <w:wAfter w:w="46" w:type="dxa"/>
          <w:cantSplit/>
        </w:trPr>
        <w:tc>
          <w:tcPr>
            <w:tcW w:w="2274" w:type="dxa"/>
            <w:gridSpan w:val="2"/>
          </w:tcPr>
          <w:p w:rsidR="000963B9" w:rsidRDefault="00D04212">
            <w:pPr>
              <w:pStyle w:val="nTable"/>
              <w:spacing w:after="40"/>
              <w:ind w:right="113"/>
              <w:rPr>
                <w:sz w:val="19"/>
              </w:rPr>
            </w:pPr>
            <w:r>
              <w:rPr>
                <w:i/>
                <w:sz w:val="19"/>
              </w:rPr>
              <w:t>Public and Bank Holidays Amendment Act 1983</w:t>
            </w:r>
          </w:p>
        </w:tc>
        <w:tc>
          <w:tcPr>
            <w:tcW w:w="1139" w:type="dxa"/>
          </w:tcPr>
          <w:p w:rsidR="000963B9" w:rsidRDefault="00D04212">
            <w:pPr>
              <w:pStyle w:val="nTable"/>
              <w:spacing w:after="40"/>
              <w:ind w:left="57"/>
              <w:rPr>
                <w:sz w:val="19"/>
              </w:rPr>
            </w:pPr>
            <w:r>
              <w:rPr>
                <w:sz w:val="19"/>
              </w:rPr>
              <w:t>53 of 1983</w:t>
            </w:r>
          </w:p>
        </w:tc>
        <w:tc>
          <w:tcPr>
            <w:tcW w:w="1187" w:type="dxa"/>
            <w:gridSpan w:val="2"/>
          </w:tcPr>
          <w:p w:rsidR="000963B9" w:rsidRDefault="00D04212">
            <w:pPr>
              <w:pStyle w:val="nTable"/>
              <w:spacing w:after="40"/>
              <w:ind w:left="57"/>
              <w:rPr>
                <w:sz w:val="19"/>
              </w:rPr>
            </w:pPr>
            <w:r>
              <w:rPr>
                <w:sz w:val="19"/>
              </w:rPr>
              <w:t>13 Dec 1983</w:t>
            </w:r>
          </w:p>
        </w:tc>
        <w:tc>
          <w:tcPr>
            <w:tcW w:w="2503" w:type="dxa"/>
          </w:tcPr>
          <w:p w:rsidR="000963B9" w:rsidRDefault="00D04212">
            <w:pPr>
              <w:pStyle w:val="nTable"/>
              <w:spacing w:after="40"/>
              <w:ind w:left="57"/>
              <w:rPr>
                <w:sz w:val="19"/>
              </w:rPr>
            </w:pPr>
            <w:r>
              <w:rPr>
                <w:sz w:val="19"/>
              </w:rPr>
              <w:t>13 Dec 1983</w:t>
            </w:r>
          </w:p>
        </w:tc>
      </w:tr>
      <w:tr w:rsidR="000963B9">
        <w:trPr>
          <w:gridAfter w:val="1"/>
          <w:wAfter w:w="46" w:type="dxa"/>
          <w:cantSplit/>
        </w:trPr>
        <w:tc>
          <w:tcPr>
            <w:tcW w:w="2274" w:type="dxa"/>
            <w:gridSpan w:val="2"/>
          </w:tcPr>
          <w:p w:rsidR="000963B9" w:rsidRDefault="00D04212">
            <w:pPr>
              <w:pStyle w:val="nTable"/>
              <w:spacing w:after="40"/>
              <w:ind w:right="113"/>
              <w:rPr>
                <w:sz w:val="19"/>
              </w:rPr>
            </w:pPr>
            <w:r>
              <w:rPr>
                <w:i/>
                <w:sz w:val="19"/>
              </w:rPr>
              <w:t>Public and Bank Holidays Amendment Act 1987</w:t>
            </w:r>
          </w:p>
        </w:tc>
        <w:tc>
          <w:tcPr>
            <w:tcW w:w="1139" w:type="dxa"/>
          </w:tcPr>
          <w:p w:rsidR="000963B9" w:rsidRDefault="00D04212">
            <w:pPr>
              <w:pStyle w:val="nTable"/>
              <w:spacing w:after="40"/>
              <w:ind w:left="57"/>
              <w:rPr>
                <w:sz w:val="19"/>
              </w:rPr>
            </w:pPr>
            <w:r>
              <w:rPr>
                <w:sz w:val="19"/>
              </w:rPr>
              <w:t>71 of 1987</w:t>
            </w:r>
          </w:p>
        </w:tc>
        <w:tc>
          <w:tcPr>
            <w:tcW w:w="1187" w:type="dxa"/>
            <w:gridSpan w:val="2"/>
          </w:tcPr>
          <w:p w:rsidR="000963B9" w:rsidRDefault="00D04212">
            <w:pPr>
              <w:pStyle w:val="nTable"/>
              <w:spacing w:after="40"/>
              <w:ind w:left="57"/>
              <w:rPr>
                <w:sz w:val="19"/>
              </w:rPr>
            </w:pPr>
            <w:r>
              <w:rPr>
                <w:sz w:val="19"/>
              </w:rPr>
              <w:t>22 Nov 1987</w:t>
            </w:r>
          </w:p>
        </w:tc>
        <w:tc>
          <w:tcPr>
            <w:tcW w:w="2503" w:type="dxa"/>
          </w:tcPr>
          <w:p w:rsidR="000963B9" w:rsidRDefault="00D04212">
            <w:pPr>
              <w:pStyle w:val="nTable"/>
              <w:spacing w:after="40"/>
              <w:ind w:left="57"/>
              <w:rPr>
                <w:sz w:val="19"/>
              </w:rPr>
            </w:pPr>
            <w:r>
              <w:rPr>
                <w:sz w:val="19"/>
              </w:rPr>
              <w:t>22 Nov 1987 (see s. 2)</w:t>
            </w:r>
          </w:p>
        </w:tc>
      </w:tr>
      <w:tr w:rsidR="000963B9">
        <w:trPr>
          <w:gridAfter w:val="1"/>
          <w:wAfter w:w="46" w:type="dxa"/>
          <w:cantSplit/>
        </w:trPr>
        <w:tc>
          <w:tcPr>
            <w:tcW w:w="2274" w:type="dxa"/>
            <w:gridSpan w:val="2"/>
          </w:tcPr>
          <w:p w:rsidR="000963B9" w:rsidRDefault="00D04212">
            <w:pPr>
              <w:pStyle w:val="nTable"/>
              <w:spacing w:after="40"/>
              <w:ind w:right="113"/>
              <w:rPr>
                <w:sz w:val="19"/>
              </w:rPr>
            </w:pPr>
            <w:r>
              <w:rPr>
                <w:i/>
                <w:sz w:val="19"/>
              </w:rPr>
              <w:t>Public and Bank Holidays Amendment Act 1992</w:t>
            </w:r>
          </w:p>
        </w:tc>
        <w:tc>
          <w:tcPr>
            <w:tcW w:w="1139" w:type="dxa"/>
          </w:tcPr>
          <w:p w:rsidR="000963B9" w:rsidRDefault="00D04212">
            <w:pPr>
              <w:pStyle w:val="nTable"/>
              <w:spacing w:after="40"/>
              <w:ind w:left="57"/>
              <w:rPr>
                <w:sz w:val="19"/>
              </w:rPr>
            </w:pPr>
            <w:r>
              <w:rPr>
                <w:sz w:val="19"/>
              </w:rPr>
              <w:t>20 of 1992</w:t>
            </w:r>
          </w:p>
        </w:tc>
        <w:tc>
          <w:tcPr>
            <w:tcW w:w="1187" w:type="dxa"/>
            <w:gridSpan w:val="2"/>
          </w:tcPr>
          <w:p w:rsidR="000963B9" w:rsidRDefault="00D04212">
            <w:pPr>
              <w:pStyle w:val="nTable"/>
              <w:spacing w:after="40"/>
              <w:ind w:left="57"/>
              <w:rPr>
                <w:sz w:val="19"/>
              </w:rPr>
            </w:pPr>
            <w:r>
              <w:rPr>
                <w:sz w:val="19"/>
              </w:rPr>
              <w:t>17 Jun 1992</w:t>
            </w:r>
          </w:p>
        </w:tc>
        <w:tc>
          <w:tcPr>
            <w:tcW w:w="2503" w:type="dxa"/>
          </w:tcPr>
          <w:p w:rsidR="000963B9" w:rsidRDefault="00D04212">
            <w:pPr>
              <w:pStyle w:val="nTable"/>
              <w:spacing w:after="40"/>
              <w:ind w:left="57"/>
              <w:rPr>
                <w:sz w:val="19"/>
              </w:rPr>
            </w:pPr>
            <w:r>
              <w:rPr>
                <w:sz w:val="19"/>
              </w:rPr>
              <w:t>1 Jan 1994 (see s. 2)</w:t>
            </w:r>
          </w:p>
        </w:tc>
      </w:tr>
      <w:tr w:rsidR="000963B9">
        <w:trPr>
          <w:gridAfter w:val="1"/>
          <w:wAfter w:w="46" w:type="dxa"/>
          <w:cantSplit/>
        </w:trPr>
        <w:tc>
          <w:tcPr>
            <w:tcW w:w="2274" w:type="dxa"/>
            <w:gridSpan w:val="2"/>
          </w:tcPr>
          <w:p w:rsidR="000963B9" w:rsidRDefault="00D04212">
            <w:pPr>
              <w:pStyle w:val="nTable"/>
              <w:spacing w:after="40"/>
              <w:ind w:right="113"/>
              <w:rPr>
                <w:sz w:val="19"/>
              </w:rPr>
            </w:pPr>
            <w:r>
              <w:rPr>
                <w:i/>
                <w:sz w:val="19"/>
              </w:rPr>
              <w:t xml:space="preserve">Workplace Agreements Act 1993 </w:t>
            </w:r>
            <w:r>
              <w:rPr>
                <w:sz w:val="19"/>
              </w:rPr>
              <w:t>s. 103</w:t>
            </w:r>
          </w:p>
        </w:tc>
        <w:tc>
          <w:tcPr>
            <w:tcW w:w="1139" w:type="dxa"/>
          </w:tcPr>
          <w:p w:rsidR="000963B9" w:rsidRDefault="00D04212">
            <w:pPr>
              <w:pStyle w:val="nTable"/>
              <w:spacing w:after="40"/>
              <w:ind w:left="57"/>
              <w:rPr>
                <w:sz w:val="19"/>
              </w:rPr>
            </w:pPr>
            <w:r>
              <w:rPr>
                <w:sz w:val="19"/>
              </w:rPr>
              <w:t>13 of 1993</w:t>
            </w:r>
          </w:p>
        </w:tc>
        <w:tc>
          <w:tcPr>
            <w:tcW w:w="1187" w:type="dxa"/>
            <w:gridSpan w:val="2"/>
          </w:tcPr>
          <w:p w:rsidR="000963B9" w:rsidRDefault="00D04212">
            <w:pPr>
              <w:pStyle w:val="nTable"/>
              <w:spacing w:after="40"/>
              <w:ind w:left="57"/>
              <w:rPr>
                <w:sz w:val="19"/>
              </w:rPr>
            </w:pPr>
            <w:r>
              <w:rPr>
                <w:sz w:val="19"/>
              </w:rPr>
              <w:t>23 Nov 1993</w:t>
            </w:r>
          </w:p>
        </w:tc>
        <w:tc>
          <w:tcPr>
            <w:tcW w:w="2503" w:type="dxa"/>
          </w:tcPr>
          <w:p w:rsidR="000963B9" w:rsidRDefault="00D04212">
            <w:pPr>
              <w:pStyle w:val="nTable"/>
              <w:spacing w:after="40"/>
              <w:ind w:left="57"/>
              <w:rPr>
                <w:sz w:val="19"/>
              </w:rPr>
            </w:pPr>
            <w:r>
              <w:rPr>
                <w:sz w:val="19"/>
              </w:rPr>
              <w:t xml:space="preserve">1 Dec 1993 (see s. 2 and </w:t>
            </w:r>
            <w:r>
              <w:rPr>
                <w:i/>
                <w:sz w:val="19"/>
              </w:rPr>
              <w:t>Gazette</w:t>
            </w:r>
            <w:r>
              <w:rPr>
                <w:sz w:val="19"/>
              </w:rPr>
              <w:t xml:space="preserve"> 30 Nov 1993 p. 6439)</w:t>
            </w:r>
          </w:p>
        </w:tc>
      </w:tr>
      <w:tr w:rsidR="000963B9">
        <w:trPr>
          <w:gridAfter w:val="1"/>
          <w:wAfter w:w="46" w:type="dxa"/>
          <w:cantSplit/>
        </w:trPr>
        <w:tc>
          <w:tcPr>
            <w:tcW w:w="7103" w:type="dxa"/>
            <w:gridSpan w:val="6"/>
          </w:tcPr>
          <w:p w:rsidR="000963B9" w:rsidRDefault="00D04212">
            <w:pPr>
              <w:pStyle w:val="nTable"/>
              <w:spacing w:after="40"/>
              <w:ind w:left="57"/>
              <w:rPr>
                <w:sz w:val="19"/>
              </w:rPr>
            </w:pPr>
            <w:r>
              <w:rPr>
                <w:b/>
                <w:sz w:val="19"/>
              </w:rPr>
              <w:t xml:space="preserve">Reprint of the </w:t>
            </w:r>
            <w:r>
              <w:rPr>
                <w:b/>
                <w:i/>
                <w:sz w:val="19"/>
              </w:rPr>
              <w:t>Public and Bank Holidays Act 1972</w:t>
            </w:r>
            <w:r>
              <w:rPr>
                <w:b/>
                <w:sz w:val="19"/>
              </w:rPr>
              <w:t xml:space="preserve"> as at 4 Jan 2002 </w:t>
            </w:r>
            <w:r>
              <w:rPr>
                <w:sz w:val="19"/>
              </w:rPr>
              <w:t>(includes amendments listed above)</w:t>
            </w:r>
          </w:p>
        </w:tc>
      </w:tr>
      <w:tr w:rsidR="000963B9">
        <w:trPr>
          <w:gridAfter w:val="1"/>
          <w:wAfter w:w="46" w:type="dxa"/>
          <w:cantSplit/>
        </w:trPr>
        <w:tc>
          <w:tcPr>
            <w:tcW w:w="2274" w:type="dxa"/>
            <w:gridSpan w:val="2"/>
          </w:tcPr>
          <w:p w:rsidR="000963B9" w:rsidRDefault="00D04212">
            <w:pPr>
              <w:pStyle w:val="nTable"/>
              <w:spacing w:after="40"/>
              <w:ind w:right="113"/>
              <w:rPr>
                <w:sz w:val="19"/>
              </w:rPr>
            </w:pPr>
            <w:r>
              <w:rPr>
                <w:i/>
                <w:sz w:val="19"/>
              </w:rPr>
              <w:t>Labour Relations Reform Act 2002</w:t>
            </w:r>
            <w:r>
              <w:rPr>
                <w:sz w:val="19"/>
              </w:rPr>
              <w:t xml:space="preserve"> s. 24</w:t>
            </w:r>
          </w:p>
        </w:tc>
        <w:tc>
          <w:tcPr>
            <w:tcW w:w="1139" w:type="dxa"/>
          </w:tcPr>
          <w:p w:rsidR="000963B9" w:rsidRDefault="00D04212">
            <w:pPr>
              <w:pStyle w:val="nTable"/>
              <w:spacing w:after="40"/>
              <w:ind w:left="57"/>
              <w:rPr>
                <w:sz w:val="19"/>
              </w:rPr>
            </w:pPr>
            <w:r>
              <w:rPr>
                <w:sz w:val="19"/>
              </w:rPr>
              <w:t>20 of 2002</w:t>
            </w:r>
          </w:p>
        </w:tc>
        <w:tc>
          <w:tcPr>
            <w:tcW w:w="1187" w:type="dxa"/>
            <w:gridSpan w:val="2"/>
          </w:tcPr>
          <w:p w:rsidR="000963B9" w:rsidRDefault="00D04212">
            <w:pPr>
              <w:pStyle w:val="nTable"/>
              <w:spacing w:after="40"/>
              <w:ind w:left="57"/>
              <w:rPr>
                <w:sz w:val="19"/>
              </w:rPr>
            </w:pPr>
            <w:r>
              <w:rPr>
                <w:sz w:val="19"/>
              </w:rPr>
              <w:t>8 Jul 2002</w:t>
            </w:r>
          </w:p>
        </w:tc>
        <w:tc>
          <w:tcPr>
            <w:tcW w:w="2503" w:type="dxa"/>
          </w:tcPr>
          <w:p w:rsidR="000963B9" w:rsidRDefault="00D04212">
            <w:pPr>
              <w:pStyle w:val="nTable"/>
              <w:spacing w:after="40"/>
              <w:ind w:left="57"/>
              <w:rPr>
                <w:caps/>
                <w:sz w:val="19"/>
              </w:rPr>
            </w:pPr>
            <w:r>
              <w:rPr>
                <w:sz w:val="19"/>
              </w:rPr>
              <w:t xml:space="preserve">15 Sep 2002 (see s. 2(1) and </w:t>
            </w:r>
            <w:r>
              <w:rPr>
                <w:i/>
                <w:sz w:val="19"/>
              </w:rPr>
              <w:t>Gazette</w:t>
            </w:r>
            <w:r>
              <w:rPr>
                <w:sz w:val="19"/>
              </w:rPr>
              <w:t xml:space="preserve"> 6 Sep 2002 p. 4487)</w:t>
            </w:r>
          </w:p>
        </w:tc>
      </w:tr>
      <w:tr w:rsidR="000963B9">
        <w:trPr>
          <w:gridBefore w:val="1"/>
          <w:wBefore w:w="33" w:type="dxa"/>
          <w:cantSplit/>
        </w:trPr>
        <w:tc>
          <w:tcPr>
            <w:tcW w:w="4572" w:type="dxa"/>
            <w:gridSpan w:val="4"/>
          </w:tcPr>
          <w:p w:rsidR="000963B9" w:rsidRDefault="00D04212">
            <w:pPr>
              <w:pStyle w:val="nTable"/>
              <w:spacing w:after="40"/>
              <w:rPr>
                <w:sz w:val="19"/>
              </w:rPr>
            </w:pPr>
            <w:r>
              <w:rPr>
                <w:i/>
                <w:spacing w:val="-2"/>
                <w:sz w:val="19"/>
              </w:rPr>
              <w:t>Labour Relations Reform (Consequential Amendments) Regulations 2003</w:t>
            </w:r>
            <w:r>
              <w:rPr>
                <w:spacing w:val="-2"/>
                <w:sz w:val="19"/>
              </w:rPr>
              <w:t xml:space="preserve"> r. 13 published in </w:t>
            </w:r>
            <w:r>
              <w:rPr>
                <w:i/>
                <w:spacing w:val="-2"/>
                <w:sz w:val="19"/>
              </w:rPr>
              <w:t>Gazette</w:t>
            </w:r>
            <w:r>
              <w:rPr>
                <w:spacing w:val="-2"/>
                <w:sz w:val="19"/>
              </w:rPr>
              <w:t xml:space="preserve"> </w:t>
            </w:r>
            <w:r>
              <w:rPr>
                <w:sz w:val="19"/>
              </w:rPr>
              <w:t>15 Aug 2003 p. 3685</w:t>
            </w:r>
            <w:r>
              <w:rPr>
                <w:sz w:val="19"/>
              </w:rPr>
              <w:noBreakHyphen/>
              <w:t>92</w:t>
            </w:r>
          </w:p>
        </w:tc>
        <w:tc>
          <w:tcPr>
            <w:tcW w:w="2549" w:type="dxa"/>
            <w:gridSpan w:val="2"/>
          </w:tcPr>
          <w:p w:rsidR="000963B9" w:rsidRDefault="00D04212">
            <w:pPr>
              <w:pStyle w:val="nTable"/>
              <w:spacing w:after="40"/>
              <w:rPr>
                <w:sz w:val="19"/>
              </w:rPr>
            </w:pPr>
            <w:r>
              <w:rPr>
                <w:spacing w:val="-2"/>
                <w:sz w:val="19"/>
              </w:rPr>
              <w:t>15 Sep 2003 (see r. 2)</w:t>
            </w:r>
          </w:p>
        </w:tc>
      </w:tr>
      <w:tr w:rsidR="000963B9">
        <w:trPr>
          <w:gridAfter w:val="1"/>
          <w:wAfter w:w="46" w:type="dxa"/>
          <w:cantSplit/>
        </w:trPr>
        <w:tc>
          <w:tcPr>
            <w:tcW w:w="2274" w:type="dxa"/>
            <w:gridSpan w:val="2"/>
          </w:tcPr>
          <w:p w:rsidR="000963B9" w:rsidRDefault="00D04212">
            <w:pPr>
              <w:pStyle w:val="nTable"/>
              <w:spacing w:after="40"/>
              <w:ind w:right="113"/>
              <w:rPr>
                <w:sz w:val="19"/>
              </w:rPr>
            </w:pPr>
            <w:r>
              <w:rPr>
                <w:i/>
                <w:sz w:val="19"/>
              </w:rPr>
              <w:t>Statutes (Repeals and Minor Amendments) Act 2003</w:t>
            </w:r>
            <w:r>
              <w:rPr>
                <w:sz w:val="19"/>
              </w:rPr>
              <w:t xml:space="preserve"> s. 96</w:t>
            </w:r>
          </w:p>
        </w:tc>
        <w:tc>
          <w:tcPr>
            <w:tcW w:w="1139" w:type="dxa"/>
          </w:tcPr>
          <w:p w:rsidR="000963B9" w:rsidRDefault="00D04212">
            <w:pPr>
              <w:pStyle w:val="nTable"/>
              <w:spacing w:after="40"/>
              <w:ind w:left="57"/>
              <w:rPr>
                <w:sz w:val="19"/>
              </w:rPr>
            </w:pPr>
            <w:r>
              <w:rPr>
                <w:sz w:val="19"/>
              </w:rPr>
              <w:t>74 of 2003</w:t>
            </w:r>
          </w:p>
        </w:tc>
        <w:tc>
          <w:tcPr>
            <w:tcW w:w="1187" w:type="dxa"/>
            <w:gridSpan w:val="2"/>
          </w:tcPr>
          <w:p w:rsidR="000963B9" w:rsidRDefault="00D04212">
            <w:pPr>
              <w:pStyle w:val="nTable"/>
              <w:spacing w:after="40"/>
              <w:ind w:left="57"/>
              <w:rPr>
                <w:sz w:val="19"/>
              </w:rPr>
            </w:pPr>
            <w:r>
              <w:rPr>
                <w:sz w:val="19"/>
              </w:rPr>
              <w:t>15 Dec 2003</w:t>
            </w:r>
          </w:p>
        </w:tc>
        <w:tc>
          <w:tcPr>
            <w:tcW w:w="2503" w:type="dxa"/>
          </w:tcPr>
          <w:p w:rsidR="000963B9" w:rsidRDefault="00D04212">
            <w:pPr>
              <w:pStyle w:val="nTable"/>
              <w:spacing w:after="40"/>
              <w:ind w:left="57"/>
              <w:rPr>
                <w:caps/>
                <w:sz w:val="19"/>
              </w:rPr>
            </w:pPr>
            <w:r>
              <w:rPr>
                <w:spacing w:val="-2"/>
                <w:sz w:val="19"/>
              </w:rPr>
              <w:t>15 Dec 2003 (see s. 2)</w:t>
            </w:r>
          </w:p>
        </w:tc>
      </w:tr>
      <w:tr w:rsidR="000963B9">
        <w:trPr>
          <w:gridAfter w:val="1"/>
          <w:wAfter w:w="46" w:type="dxa"/>
          <w:cantSplit/>
        </w:trPr>
        <w:tc>
          <w:tcPr>
            <w:tcW w:w="2274" w:type="dxa"/>
            <w:gridSpan w:val="2"/>
          </w:tcPr>
          <w:p w:rsidR="000963B9" w:rsidRDefault="00D04212">
            <w:pPr>
              <w:pStyle w:val="nTable"/>
              <w:spacing w:after="40"/>
              <w:ind w:right="113"/>
              <w:rPr>
                <w:i/>
                <w:sz w:val="19"/>
              </w:rPr>
            </w:pPr>
            <w:r>
              <w:rPr>
                <w:i/>
                <w:sz w:val="19"/>
              </w:rPr>
              <w:t>Public and Bank Holidays Amendment Act 2004</w:t>
            </w:r>
          </w:p>
        </w:tc>
        <w:tc>
          <w:tcPr>
            <w:tcW w:w="1139" w:type="dxa"/>
          </w:tcPr>
          <w:p w:rsidR="000963B9" w:rsidRDefault="00D04212">
            <w:pPr>
              <w:pStyle w:val="nTable"/>
              <w:spacing w:after="40"/>
              <w:ind w:left="57"/>
              <w:rPr>
                <w:sz w:val="19"/>
              </w:rPr>
            </w:pPr>
            <w:r>
              <w:rPr>
                <w:sz w:val="19"/>
              </w:rPr>
              <w:t>32 of 2004</w:t>
            </w:r>
          </w:p>
        </w:tc>
        <w:tc>
          <w:tcPr>
            <w:tcW w:w="1187" w:type="dxa"/>
            <w:gridSpan w:val="2"/>
          </w:tcPr>
          <w:p w:rsidR="000963B9" w:rsidRDefault="00D04212">
            <w:pPr>
              <w:pStyle w:val="nTable"/>
              <w:spacing w:after="40"/>
              <w:ind w:left="57"/>
              <w:rPr>
                <w:sz w:val="19"/>
              </w:rPr>
            </w:pPr>
            <w:r>
              <w:rPr>
                <w:sz w:val="19"/>
              </w:rPr>
              <w:t>14 Oct 2004</w:t>
            </w:r>
          </w:p>
        </w:tc>
        <w:tc>
          <w:tcPr>
            <w:tcW w:w="2503" w:type="dxa"/>
          </w:tcPr>
          <w:p w:rsidR="000963B9" w:rsidRDefault="00D04212">
            <w:pPr>
              <w:pStyle w:val="nTable"/>
              <w:spacing w:after="40"/>
              <w:ind w:left="57"/>
              <w:rPr>
                <w:spacing w:val="-2"/>
                <w:sz w:val="19"/>
              </w:rPr>
            </w:pPr>
            <w:r>
              <w:rPr>
                <w:spacing w:val="-2"/>
                <w:sz w:val="19"/>
              </w:rPr>
              <w:t>14 Oct 2004 (see s. 2)</w:t>
            </w:r>
          </w:p>
        </w:tc>
      </w:tr>
      <w:tr w:rsidR="000963B9">
        <w:trPr>
          <w:gridAfter w:val="1"/>
          <w:wAfter w:w="46" w:type="dxa"/>
          <w:cantSplit/>
        </w:trPr>
        <w:tc>
          <w:tcPr>
            <w:tcW w:w="7103" w:type="dxa"/>
            <w:gridSpan w:val="6"/>
          </w:tcPr>
          <w:p w:rsidR="000963B9" w:rsidRDefault="00D04212">
            <w:pPr>
              <w:pStyle w:val="nTable"/>
              <w:spacing w:after="40"/>
              <w:ind w:left="-28"/>
              <w:rPr>
                <w:spacing w:val="-2"/>
                <w:sz w:val="19"/>
              </w:rPr>
            </w:pPr>
            <w:r>
              <w:rPr>
                <w:b/>
                <w:sz w:val="19"/>
              </w:rPr>
              <w:t xml:space="preserve">Reprint 2:  The </w:t>
            </w:r>
            <w:r>
              <w:rPr>
                <w:b/>
                <w:i/>
                <w:sz w:val="19"/>
              </w:rPr>
              <w:t>Public and Bank Holidays Act 1972</w:t>
            </w:r>
            <w:r>
              <w:rPr>
                <w:b/>
                <w:sz w:val="19"/>
              </w:rPr>
              <w:t xml:space="preserve"> as at 18 Apr 2008 </w:t>
            </w:r>
            <w:r>
              <w:rPr>
                <w:sz w:val="19"/>
              </w:rPr>
              <w:t>(includes amendments listed above)</w:t>
            </w:r>
          </w:p>
        </w:tc>
      </w:tr>
      <w:tr w:rsidR="000963B9">
        <w:trPr>
          <w:gridAfter w:val="1"/>
          <w:wAfter w:w="46" w:type="dxa"/>
          <w:cantSplit/>
        </w:trPr>
        <w:tc>
          <w:tcPr>
            <w:tcW w:w="2274" w:type="dxa"/>
            <w:gridSpan w:val="2"/>
          </w:tcPr>
          <w:p w:rsidR="000963B9" w:rsidRDefault="00D04212">
            <w:pPr>
              <w:pStyle w:val="nTable"/>
              <w:spacing w:after="40"/>
              <w:ind w:right="113"/>
              <w:rPr>
                <w:iCs/>
                <w:sz w:val="19"/>
              </w:rPr>
            </w:pPr>
            <w:r>
              <w:rPr>
                <w:i/>
                <w:sz w:val="19"/>
              </w:rPr>
              <w:t>Statutes (Repeals and Miscellaneous Amendments) Act 2009</w:t>
            </w:r>
            <w:r>
              <w:rPr>
                <w:iCs/>
                <w:sz w:val="19"/>
              </w:rPr>
              <w:t xml:space="preserve"> s. 103</w:t>
            </w:r>
          </w:p>
        </w:tc>
        <w:tc>
          <w:tcPr>
            <w:tcW w:w="1139" w:type="dxa"/>
          </w:tcPr>
          <w:p w:rsidR="000963B9" w:rsidRDefault="00D04212">
            <w:pPr>
              <w:pStyle w:val="nTable"/>
              <w:spacing w:after="40"/>
              <w:rPr>
                <w:sz w:val="19"/>
              </w:rPr>
            </w:pPr>
            <w:r>
              <w:rPr>
                <w:sz w:val="19"/>
              </w:rPr>
              <w:t xml:space="preserve">8 of 2009 </w:t>
            </w:r>
          </w:p>
        </w:tc>
        <w:tc>
          <w:tcPr>
            <w:tcW w:w="1136" w:type="dxa"/>
          </w:tcPr>
          <w:p w:rsidR="000963B9" w:rsidRDefault="00D04212">
            <w:pPr>
              <w:pStyle w:val="nTable"/>
              <w:spacing w:after="40"/>
              <w:rPr>
                <w:sz w:val="19"/>
              </w:rPr>
            </w:pPr>
            <w:r>
              <w:rPr>
                <w:sz w:val="19"/>
              </w:rPr>
              <w:t>21 May 2009</w:t>
            </w:r>
          </w:p>
        </w:tc>
        <w:tc>
          <w:tcPr>
            <w:tcW w:w="2554" w:type="dxa"/>
            <w:gridSpan w:val="2"/>
          </w:tcPr>
          <w:p w:rsidR="000963B9" w:rsidRDefault="00D04212">
            <w:pPr>
              <w:pStyle w:val="nTable"/>
              <w:spacing w:after="40"/>
              <w:rPr>
                <w:sz w:val="19"/>
              </w:rPr>
            </w:pPr>
            <w:r>
              <w:rPr>
                <w:sz w:val="19"/>
              </w:rPr>
              <w:t>22 May 2009 (see s. 2(b))</w:t>
            </w:r>
          </w:p>
        </w:tc>
      </w:tr>
      <w:tr w:rsidR="000963B9">
        <w:trPr>
          <w:gridAfter w:val="1"/>
          <w:wAfter w:w="47" w:type="dxa"/>
          <w:cantSplit/>
        </w:trPr>
        <w:tc>
          <w:tcPr>
            <w:tcW w:w="2278" w:type="dxa"/>
            <w:gridSpan w:val="2"/>
            <w:tcBorders>
              <w:bottom w:val="single" w:sz="4" w:space="0" w:color="auto"/>
            </w:tcBorders>
          </w:tcPr>
          <w:p w:rsidR="000963B9" w:rsidRDefault="00D04212">
            <w:pPr>
              <w:pStyle w:val="nTable"/>
              <w:spacing w:after="40"/>
              <w:ind w:right="113"/>
              <w:rPr>
                <w:iCs/>
                <w:snapToGrid w:val="0"/>
                <w:sz w:val="19"/>
                <w:lang w:val="en-US"/>
              </w:rPr>
            </w:pPr>
            <w:r>
              <w:rPr>
                <w:i/>
                <w:snapToGrid w:val="0"/>
                <w:sz w:val="19"/>
                <w:lang w:val="en-US"/>
              </w:rPr>
              <w:lastRenderedPageBreak/>
              <w:t>Standardisation of Formatting Act 2010</w:t>
            </w:r>
            <w:r>
              <w:rPr>
                <w:iCs/>
                <w:snapToGrid w:val="0"/>
                <w:sz w:val="19"/>
                <w:lang w:val="en-US"/>
              </w:rPr>
              <w:t xml:space="preserve"> s. 4</w:t>
            </w:r>
          </w:p>
        </w:tc>
        <w:tc>
          <w:tcPr>
            <w:tcW w:w="1139" w:type="dxa"/>
            <w:tcBorders>
              <w:bottom w:val="single" w:sz="4" w:space="0" w:color="auto"/>
            </w:tcBorders>
          </w:tcPr>
          <w:p w:rsidR="000963B9" w:rsidRDefault="00D04212">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rsidR="000963B9" w:rsidRDefault="00D04212">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rsidR="000963B9" w:rsidRDefault="00D04212">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0963B9" w:rsidRDefault="000963B9"/>
    <w:p w:rsidR="000963B9" w:rsidRDefault="000963B9">
      <w:pPr>
        <w:sectPr w:rsidR="000963B9">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0963B9" w:rsidRDefault="000963B9"/>
    <w:sectPr w:rsidR="000963B9">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B9" w:rsidRDefault="00D04212">
      <w:r>
        <w:separator/>
      </w:r>
    </w:p>
  </w:endnote>
  <w:endnote w:type="continuationSeparator" w:id="0">
    <w:p w:rsidR="000963B9" w:rsidRDefault="00D0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B9" w:rsidRDefault="000963B9">
    <w:pPr>
      <w:pStyle w:val="Footer"/>
      <w:tabs>
        <w:tab w:val="clear" w:pos="4153"/>
        <w:tab w:val="right" w:pos="7088"/>
      </w:tabs>
      <w:rPr>
        <w:rStyle w:val="PageNumber"/>
      </w:rPr>
    </w:pPr>
  </w:p>
  <w:p w:rsidR="000963B9" w:rsidRDefault="00D042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43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43B">
      <w:rPr>
        <w:rFonts w:ascii="Arial" w:hAnsi="Arial" w:cs="Arial"/>
        <w:sz w:val="20"/>
        <w:lang w:val="en-US"/>
      </w:rPr>
      <w:t>11 Sep 2010</w:t>
    </w:r>
    <w:r>
      <w:rPr>
        <w:rFonts w:ascii="Arial" w:hAnsi="Arial" w:cs="Arial"/>
        <w:sz w:val="20"/>
        <w:lang w:val="en-US"/>
      </w:rPr>
      <w:fldChar w:fldCharType="end"/>
    </w:r>
  </w:p>
  <w:p w:rsidR="000963B9" w:rsidRDefault="00D0421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B9" w:rsidRDefault="000963B9">
    <w:pPr>
      <w:pStyle w:val="Footer"/>
      <w:tabs>
        <w:tab w:val="clear" w:pos="4153"/>
        <w:tab w:val="right" w:pos="7088"/>
      </w:tabs>
      <w:rPr>
        <w:rStyle w:val="PageNumber"/>
      </w:rPr>
    </w:pPr>
  </w:p>
  <w:p w:rsidR="000963B9" w:rsidRDefault="00D042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43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43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0963B9" w:rsidRDefault="00D0421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B9" w:rsidRDefault="000963B9">
    <w:pPr>
      <w:pStyle w:val="Footer"/>
      <w:tabs>
        <w:tab w:val="clear" w:pos="4153"/>
        <w:tab w:val="right" w:pos="7088"/>
      </w:tabs>
      <w:rPr>
        <w:rStyle w:val="PageNumber"/>
      </w:rPr>
    </w:pPr>
  </w:p>
  <w:p w:rsidR="000963B9" w:rsidRDefault="00D042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43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43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0963B9" w:rsidRDefault="00D0421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B9" w:rsidRDefault="000963B9">
    <w:pPr>
      <w:pStyle w:val="Footer"/>
      <w:tabs>
        <w:tab w:val="clear" w:pos="4153"/>
        <w:tab w:val="right" w:pos="7088"/>
      </w:tabs>
      <w:rPr>
        <w:rStyle w:val="PageNumber"/>
      </w:rPr>
    </w:pPr>
  </w:p>
  <w:p w:rsidR="000963B9" w:rsidRDefault="00D042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43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43B">
      <w:rPr>
        <w:rFonts w:ascii="Arial" w:hAnsi="Arial" w:cs="Arial"/>
        <w:sz w:val="20"/>
        <w:lang w:val="en-US"/>
      </w:rPr>
      <w:t>11 Sep 2010</w:t>
    </w:r>
    <w:r>
      <w:rPr>
        <w:rFonts w:ascii="Arial" w:hAnsi="Arial" w:cs="Arial"/>
        <w:sz w:val="20"/>
        <w:lang w:val="en-US"/>
      </w:rPr>
      <w:fldChar w:fldCharType="end"/>
    </w:r>
  </w:p>
  <w:p w:rsidR="000963B9" w:rsidRDefault="00D0421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B9" w:rsidRDefault="000963B9">
    <w:pPr>
      <w:pStyle w:val="Footer"/>
      <w:tabs>
        <w:tab w:val="clear" w:pos="4153"/>
        <w:tab w:val="right" w:pos="7088"/>
      </w:tabs>
      <w:rPr>
        <w:rStyle w:val="PageNumber"/>
      </w:rPr>
    </w:pPr>
  </w:p>
  <w:p w:rsidR="000963B9" w:rsidRDefault="00D042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43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43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963B9" w:rsidRDefault="00D0421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B9" w:rsidRDefault="000963B9">
    <w:pPr>
      <w:pStyle w:val="Footer"/>
      <w:tabs>
        <w:tab w:val="clear" w:pos="4153"/>
        <w:tab w:val="right" w:pos="7088"/>
      </w:tabs>
      <w:rPr>
        <w:rStyle w:val="PageNumber"/>
      </w:rPr>
    </w:pPr>
  </w:p>
  <w:p w:rsidR="000963B9" w:rsidRDefault="00D042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43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43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143B">
      <w:rPr>
        <w:rStyle w:val="PageNumber"/>
        <w:rFonts w:ascii="Arial" w:hAnsi="Arial" w:cs="Arial"/>
        <w:noProof/>
      </w:rPr>
      <w:t>i</w:t>
    </w:r>
    <w:r>
      <w:rPr>
        <w:rStyle w:val="PageNumber"/>
        <w:rFonts w:ascii="Arial" w:hAnsi="Arial" w:cs="Arial"/>
      </w:rPr>
      <w:fldChar w:fldCharType="end"/>
    </w:r>
  </w:p>
  <w:p w:rsidR="000963B9" w:rsidRDefault="00D0421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B9" w:rsidRDefault="000963B9">
    <w:pPr>
      <w:pStyle w:val="Footer"/>
      <w:tabs>
        <w:tab w:val="clear" w:pos="4153"/>
        <w:tab w:val="right" w:pos="7088"/>
      </w:tabs>
      <w:rPr>
        <w:rStyle w:val="PageNumber"/>
      </w:rPr>
    </w:pPr>
  </w:p>
  <w:p w:rsidR="000963B9" w:rsidRDefault="00D042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143B">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43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43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0963B9" w:rsidRDefault="00D0421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B9" w:rsidRDefault="000963B9">
    <w:pPr>
      <w:pStyle w:val="Footer"/>
      <w:tabs>
        <w:tab w:val="clear" w:pos="4153"/>
        <w:tab w:val="right" w:pos="7088"/>
      </w:tabs>
      <w:rPr>
        <w:rStyle w:val="PageNumber"/>
      </w:rPr>
    </w:pPr>
  </w:p>
  <w:p w:rsidR="000963B9" w:rsidRDefault="00D042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43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43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143B">
      <w:rPr>
        <w:rStyle w:val="CharPageNo"/>
        <w:rFonts w:ascii="Arial" w:hAnsi="Arial"/>
        <w:noProof/>
      </w:rPr>
      <w:t>7</w:t>
    </w:r>
    <w:r>
      <w:rPr>
        <w:rStyle w:val="CharPageNo"/>
        <w:rFonts w:ascii="Arial" w:hAnsi="Arial"/>
      </w:rPr>
      <w:fldChar w:fldCharType="end"/>
    </w:r>
  </w:p>
  <w:p w:rsidR="000963B9" w:rsidRDefault="00D0421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B9" w:rsidRDefault="000963B9">
    <w:pPr>
      <w:pStyle w:val="Footer"/>
      <w:tabs>
        <w:tab w:val="clear" w:pos="4153"/>
        <w:tab w:val="right" w:pos="7088"/>
      </w:tabs>
      <w:rPr>
        <w:rStyle w:val="PageNumber"/>
      </w:rPr>
    </w:pPr>
  </w:p>
  <w:p w:rsidR="000963B9" w:rsidRDefault="00D042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143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143B">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143B">
      <w:rPr>
        <w:rStyle w:val="CharPageNo"/>
        <w:rFonts w:ascii="Arial" w:hAnsi="Arial"/>
        <w:noProof/>
      </w:rPr>
      <w:t>1</w:t>
    </w:r>
    <w:r>
      <w:rPr>
        <w:rStyle w:val="CharPageNo"/>
        <w:rFonts w:ascii="Arial" w:hAnsi="Arial"/>
      </w:rPr>
      <w:fldChar w:fldCharType="end"/>
    </w:r>
  </w:p>
  <w:p w:rsidR="000963B9" w:rsidRDefault="00D0421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B9" w:rsidRDefault="00D04212">
      <w:r>
        <w:separator/>
      </w:r>
    </w:p>
  </w:footnote>
  <w:footnote w:type="continuationSeparator" w:id="0">
    <w:p w:rsidR="000963B9" w:rsidRDefault="00D0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3B" w:rsidRDefault="0057143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63B9">
      <w:trPr>
        <w:cantSplit/>
      </w:trPr>
      <w:tc>
        <w:tcPr>
          <w:tcW w:w="7258" w:type="dxa"/>
          <w:gridSpan w:val="2"/>
        </w:tcPr>
        <w:p w:rsidR="000963B9" w:rsidRDefault="00D04212">
          <w:pPr>
            <w:pStyle w:val="HeaderActNameLeft"/>
          </w:pPr>
          <w:fldSimple w:instr=" STYLEREF &quot;Name of Act/Reg&quot; \* MERGEFORMAT ">
            <w:r w:rsidR="0057143B">
              <w:rPr>
                <w:noProof/>
              </w:rPr>
              <w:t>Public and Bank Holidays Act 1972</w:t>
            </w:r>
          </w:fldSimple>
        </w:p>
      </w:tc>
    </w:tr>
    <w:tr w:rsidR="000963B9">
      <w:tc>
        <w:tcPr>
          <w:tcW w:w="1548" w:type="dxa"/>
        </w:tcPr>
        <w:p w:rsidR="000963B9" w:rsidRDefault="00D04212">
          <w:pPr>
            <w:pStyle w:val="HeaderNumberLeft"/>
            <w:rPr>
              <w:b w:val="0"/>
            </w:rPr>
          </w:pPr>
          <w:r>
            <w:fldChar w:fldCharType="begin"/>
          </w:r>
          <w:r>
            <w:instrText xml:space="preserve"> styleref CharSchno </w:instrText>
          </w:r>
          <w:r>
            <w:fldChar w:fldCharType="end"/>
          </w:r>
        </w:p>
      </w:tc>
      <w:tc>
        <w:tcPr>
          <w:tcW w:w="5715" w:type="dxa"/>
        </w:tcPr>
        <w:p w:rsidR="000963B9" w:rsidRDefault="00D04212">
          <w:pPr>
            <w:pStyle w:val="HeaderTextLeft"/>
          </w:pPr>
          <w:r>
            <w:fldChar w:fldCharType="begin"/>
          </w:r>
          <w:r>
            <w:instrText xml:space="preserve"> styleref CharSchText </w:instrText>
          </w:r>
          <w:r>
            <w:fldChar w:fldCharType="end"/>
          </w:r>
        </w:p>
      </w:tc>
    </w:tr>
    <w:tr w:rsidR="000963B9">
      <w:tc>
        <w:tcPr>
          <w:tcW w:w="1548" w:type="dxa"/>
        </w:tcPr>
        <w:p w:rsidR="000963B9" w:rsidRDefault="00D04212">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0963B9" w:rsidRDefault="00D04212">
          <w:pPr>
            <w:pStyle w:val="HeaderTextLeft"/>
          </w:pPr>
          <w:r>
            <w:fldChar w:fldCharType="begin"/>
          </w:r>
          <w:r>
            <w:instrText xml:space="preserve"> styleref CharSDivText </w:instrText>
          </w:r>
          <w:r>
            <w:fldChar w:fldCharType="end"/>
          </w:r>
        </w:p>
      </w:tc>
    </w:tr>
    <w:tr w:rsidR="000963B9">
      <w:tc>
        <w:tcPr>
          <w:tcW w:w="1548" w:type="dxa"/>
        </w:tcPr>
        <w:p w:rsidR="000963B9" w:rsidRDefault="00D04212">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57143B">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sidR="0057143B">
            <w:rPr>
              <w:noProof/>
            </w:rPr>
            <w:t>0</w:t>
          </w:r>
          <w:r>
            <w:fldChar w:fldCharType="end"/>
          </w:r>
        </w:p>
      </w:tc>
      <w:tc>
        <w:tcPr>
          <w:tcW w:w="5715" w:type="dxa"/>
        </w:tcPr>
        <w:p w:rsidR="000963B9" w:rsidRDefault="000963B9">
          <w:pPr>
            <w:pStyle w:val="HeaderTextLeft"/>
          </w:pPr>
        </w:p>
      </w:tc>
    </w:tr>
  </w:tbl>
  <w:p w:rsidR="000963B9" w:rsidRDefault="000963B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0963B9">
      <w:trPr>
        <w:cantSplit/>
      </w:trPr>
      <w:tc>
        <w:tcPr>
          <w:tcW w:w="7263" w:type="dxa"/>
          <w:gridSpan w:val="2"/>
        </w:tcPr>
        <w:p w:rsidR="000963B9" w:rsidRDefault="00D04212">
          <w:pPr>
            <w:pStyle w:val="HeaderActNameRight"/>
            <w:ind w:right="17"/>
          </w:pPr>
          <w:fldSimple w:instr=" Styleref &quot;Name of Act/Reg&quot; ">
            <w:r w:rsidR="0057143B">
              <w:rPr>
                <w:noProof/>
              </w:rPr>
              <w:t>Public and Bank Holidays Act 1972</w:t>
            </w:r>
          </w:fldSimple>
        </w:p>
      </w:tc>
    </w:tr>
    <w:tr w:rsidR="000963B9">
      <w:tc>
        <w:tcPr>
          <w:tcW w:w="5352" w:type="dxa"/>
          <w:vAlign w:val="bottom"/>
        </w:tcPr>
        <w:p w:rsidR="000963B9" w:rsidRDefault="00D04212">
          <w:pPr>
            <w:pStyle w:val="HeaderTextRight"/>
          </w:pPr>
          <w:r>
            <w:fldChar w:fldCharType="begin"/>
          </w:r>
          <w:r>
            <w:instrText xml:space="preserve"> styleref CharSchText </w:instrText>
          </w:r>
          <w:r>
            <w:fldChar w:fldCharType="end"/>
          </w:r>
        </w:p>
      </w:tc>
      <w:tc>
        <w:tcPr>
          <w:tcW w:w="1911" w:type="dxa"/>
        </w:tcPr>
        <w:p w:rsidR="000963B9" w:rsidRDefault="00D04212">
          <w:pPr>
            <w:pStyle w:val="HeaderNumberRight"/>
            <w:ind w:right="17"/>
          </w:pPr>
          <w:r>
            <w:fldChar w:fldCharType="begin"/>
          </w:r>
          <w:r>
            <w:instrText xml:space="preserve"> styleref CharSchno </w:instrText>
          </w:r>
          <w:r>
            <w:fldChar w:fldCharType="end"/>
          </w:r>
        </w:p>
      </w:tc>
    </w:tr>
    <w:tr w:rsidR="000963B9">
      <w:tc>
        <w:tcPr>
          <w:tcW w:w="5352" w:type="dxa"/>
        </w:tcPr>
        <w:p w:rsidR="000963B9" w:rsidRDefault="00D04212">
          <w:pPr>
            <w:pStyle w:val="HeaderTextRight"/>
          </w:pPr>
          <w:r>
            <w:fldChar w:fldCharType="begin"/>
          </w:r>
          <w:r>
            <w:instrText xml:space="preserve"> styleref CharSDivText </w:instrText>
          </w:r>
          <w:r>
            <w:fldChar w:fldCharType="end"/>
          </w:r>
        </w:p>
      </w:tc>
      <w:tc>
        <w:tcPr>
          <w:tcW w:w="1911" w:type="dxa"/>
        </w:tcPr>
        <w:p w:rsidR="000963B9" w:rsidRDefault="00D04212">
          <w:pPr>
            <w:pStyle w:val="HeaderNumberRight"/>
            <w:ind w:right="17"/>
          </w:pPr>
          <w:r>
            <w:rPr>
              <w:bCs/>
            </w:rPr>
            <w:fldChar w:fldCharType="begin"/>
          </w:r>
          <w:r>
            <w:rPr>
              <w:bCs/>
            </w:rPr>
            <w:instrText xml:space="preserve"> STYLEREF CharSDivNo \* charformat</w:instrText>
          </w:r>
          <w:r>
            <w:rPr>
              <w:bCs/>
            </w:rPr>
            <w:fldChar w:fldCharType="end"/>
          </w:r>
        </w:p>
      </w:tc>
    </w:tr>
    <w:tr w:rsidR="000963B9">
      <w:tc>
        <w:tcPr>
          <w:tcW w:w="5352" w:type="dxa"/>
        </w:tcPr>
        <w:p w:rsidR="000963B9" w:rsidRDefault="000963B9">
          <w:pPr>
            <w:pStyle w:val="HeaderTextRight"/>
          </w:pPr>
        </w:p>
      </w:tc>
      <w:tc>
        <w:tcPr>
          <w:tcW w:w="1911" w:type="dxa"/>
        </w:tcPr>
        <w:p w:rsidR="000963B9" w:rsidRDefault="000963B9">
          <w:pPr>
            <w:pStyle w:val="HeaderNumberRight"/>
            <w:ind w:right="17"/>
            <w:rPr>
              <w:bCs/>
            </w:rPr>
          </w:pPr>
        </w:p>
      </w:tc>
    </w:tr>
  </w:tbl>
  <w:p w:rsidR="000963B9" w:rsidRDefault="000963B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B9" w:rsidRDefault="000963B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963B9">
      <w:trPr>
        <w:cantSplit/>
      </w:trPr>
      <w:tc>
        <w:tcPr>
          <w:tcW w:w="7160" w:type="dxa"/>
          <w:gridSpan w:val="2"/>
        </w:tcPr>
        <w:p w:rsidR="000963B9" w:rsidRDefault="00D04212">
          <w:pPr>
            <w:pStyle w:val="HeaderActNameLeft"/>
          </w:pPr>
          <w:fldSimple w:instr=" Styleref &quot;Name of Act/Reg&quot; ">
            <w:r w:rsidR="0057143B">
              <w:rPr>
                <w:noProof/>
              </w:rPr>
              <w:t>Public and Bank Holidays Act 1972</w:t>
            </w:r>
          </w:fldSimple>
        </w:p>
      </w:tc>
    </w:tr>
    <w:tr w:rsidR="000963B9">
      <w:tc>
        <w:tcPr>
          <w:tcW w:w="1548" w:type="dxa"/>
        </w:tcPr>
        <w:p w:rsidR="000963B9" w:rsidRDefault="000963B9">
          <w:pPr>
            <w:pStyle w:val="HeaderNumberLeft"/>
          </w:pPr>
        </w:p>
      </w:tc>
      <w:tc>
        <w:tcPr>
          <w:tcW w:w="5612" w:type="dxa"/>
        </w:tcPr>
        <w:p w:rsidR="000963B9" w:rsidRDefault="000963B9">
          <w:pPr>
            <w:pStyle w:val="HeaderTextLeft"/>
          </w:pPr>
        </w:p>
      </w:tc>
    </w:tr>
    <w:tr w:rsidR="000963B9">
      <w:tc>
        <w:tcPr>
          <w:tcW w:w="1548" w:type="dxa"/>
        </w:tcPr>
        <w:p w:rsidR="000963B9" w:rsidRDefault="000963B9">
          <w:pPr>
            <w:pStyle w:val="HeaderNumberLeft"/>
          </w:pPr>
        </w:p>
      </w:tc>
      <w:tc>
        <w:tcPr>
          <w:tcW w:w="5612" w:type="dxa"/>
        </w:tcPr>
        <w:p w:rsidR="000963B9" w:rsidRDefault="000963B9">
          <w:pPr>
            <w:pStyle w:val="HeaderTextLeft"/>
          </w:pPr>
        </w:p>
      </w:tc>
    </w:tr>
    <w:tr w:rsidR="000963B9">
      <w:trPr>
        <w:cantSplit/>
      </w:trPr>
      <w:tc>
        <w:tcPr>
          <w:tcW w:w="7160" w:type="dxa"/>
          <w:gridSpan w:val="2"/>
        </w:tcPr>
        <w:p w:rsidR="000963B9" w:rsidRDefault="000963B9">
          <w:pPr>
            <w:pStyle w:val="HeaderSectionLeft"/>
          </w:pPr>
        </w:p>
      </w:tc>
    </w:tr>
  </w:tbl>
  <w:p w:rsidR="000963B9" w:rsidRDefault="000963B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963B9">
      <w:trPr>
        <w:cantSplit/>
      </w:trPr>
      <w:tc>
        <w:tcPr>
          <w:tcW w:w="7160" w:type="dxa"/>
          <w:gridSpan w:val="2"/>
        </w:tcPr>
        <w:p w:rsidR="000963B9" w:rsidRDefault="00D04212">
          <w:pPr>
            <w:pStyle w:val="HeaderActNameRight"/>
          </w:pPr>
          <w:fldSimple w:instr=" Styleref &quot;Name of Act/Reg&quot; ">
            <w:r w:rsidR="0057143B">
              <w:rPr>
                <w:noProof/>
              </w:rPr>
              <w:t>Public and Bank Holidays Act 1972</w:t>
            </w:r>
          </w:fldSimple>
        </w:p>
      </w:tc>
    </w:tr>
    <w:tr w:rsidR="000963B9">
      <w:tc>
        <w:tcPr>
          <w:tcW w:w="5760" w:type="dxa"/>
        </w:tcPr>
        <w:p w:rsidR="000963B9" w:rsidRDefault="000963B9">
          <w:pPr>
            <w:pStyle w:val="HeaderTextRight"/>
          </w:pPr>
        </w:p>
      </w:tc>
      <w:tc>
        <w:tcPr>
          <w:tcW w:w="1400" w:type="dxa"/>
        </w:tcPr>
        <w:p w:rsidR="000963B9" w:rsidRDefault="000963B9">
          <w:pPr>
            <w:pStyle w:val="HeaderNumberRight"/>
          </w:pPr>
        </w:p>
      </w:tc>
    </w:tr>
    <w:tr w:rsidR="000963B9">
      <w:tc>
        <w:tcPr>
          <w:tcW w:w="5760" w:type="dxa"/>
        </w:tcPr>
        <w:p w:rsidR="000963B9" w:rsidRDefault="000963B9">
          <w:pPr>
            <w:pStyle w:val="HeaderTextRight"/>
          </w:pPr>
        </w:p>
      </w:tc>
      <w:tc>
        <w:tcPr>
          <w:tcW w:w="1400" w:type="dxa"/>
        </w:tcPr>
        <w:p w:rsidR="000963B9" w:rsidRDefault="000963B9">
          <w:pPr>
            <w:pStyle w:val="HeaderNumberRight"/>
          </w:pPr>
        </w:p>
      </w:tc>
    </w:tr>
    <w:tr w:rsidR="000963B9">
      <w:trPr>
        <w:cantSplit/>
      </w:trPr>
      <w:tc>
        <w:tcPr>
          <w:tcW w:w="7160" w:type="dxa"/>
          <w:gridSpan w:val="2"/>
        </w:tcPr>
        <w:p w:rsidR="000963B9" w:rsidRDefault="000963B9">
          <w:pPr>
            <w:pStyle w:val="HeaderSectionRight"/>
          </w:pPr>
        </w:p>
      </w:tc>
    </w:tr>
  </w:tbl>
  <w:p w:rsidR="000963B9" w:rsidRDefault="000963B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B9" w:rsidRDefault="000963B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B9" w:rsidRDefault="00D04212">
    <w:pPr>
      <w:pStyle w:val="headerpartodd"/>
      <w:ind w:left="0" w:firstLine="0"/>
      <w:rPr>
        <w:i/>
      </w:rPr>
    </w:pPr>
    <w:r>
      <w:rPr>
        <w:i/>
      </w:rPr>
      <w:fldChar w:fldCharType="begin"/>
    </w:r>
    <w:r>
      <w:rPr>
        <w:i/>
      </w:rPr>
      <w:instrText xml:space="preserve"> Styleref "Name of Act/Reg" </w:instrText>
    </w:r>
    <w:r>
      <w:rPr>
        <w:i/>
      </w:rPr>
      <w:fldChar w:fldCharType="separate"/>
    </w:r>
    <w:r w:rsidR="0057143B">
      <w:rPr>
        <w:i/>
        <w:noProof/>
      </w:rPr>
      <w:t>Public and Bank Holidays Act 1972</w:t>
    </w:r>
    <w:r>
      <w:rPr>
        <w:i/>
      </w:rPr>
      <w:fldChar w:fldCharType="end"/>
    </w:r>
  </w:p>
  <w:p w:rsidR="000963B9" w:rsidRDefault="000963B9">
    <w:pPr>
      <w:pStyle w:val="headerpartodd"/>
      <w:ind w:left="0" w:firstLine="0"/>
      <w:rPr>
        <w:b w:val="0"/>
        <w:i/>
      </w:rPr>
    </w:pPr>
  </w:p>
  <w:p w:rsidR="000963B9" w:rsidRDefault="000963B9">
    <w:pPr>
      <w:pStyle w:val="headerpart"/>
    </w:pPr>
  </w:p>
  <w:p w:rsidR="000963B9" w:rsidRDefault="000963B9">
    <w:pPr>
      <w:pStyle w:val="headerpart"/>
    </w:pPr>
  </w:p>
  <w:p w:rsidR="000963B9" w:rsidRDefault="000963B9">
    <w:pPr>
      <w:pBdr>
        <w:bottom w:val="single" w:sz="6" w:space="1" w:color="auto"/>
      </w:pBdr>
      <w:rPr>
        <w:b/>
      </w:rPr>
    </w:pPr>
  </w:p>
  <w:p w:rsidR="000963B9" w:rsidRDefault="000963B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B9" w:rsidRDefault="00D04212">
    <w:pPr>
      <w:pStyle w:val="headerpartodd"/>
      <w:ind w:left="0" w:firstLine="0"/>
      <w:jc w:val="right"/>
      <w:rPr>
        <w:i/>
      </w:rPr>
    </w:pPr>
    <w:r>
      <w:rPr>
        <w:i/>
      </w:rPr>
      <w:fldChar w:fldCharType="begin"/>
    </w:r>
    <w:r>
      <w:rPr>
        <w:i/>
      </w:rPr>
      <w:instrText xml:space="preserve"> Styleref "Name of Act/Reg" </w:instrText>
    </w:r>
    <w:r>
      <w:rPr>
        <w:i/>
      </w:rPr>
      <w:fldChar w:fldCharType="separate"/>
    </w:r>
    <w:r w:rsidR="0057143B">
      <w:rPr>
        <w:i/>
        <w:noProof/>
      </w:rPr>
      <w:t>Public and Bank Holidays Act 1972</w:t>
    </w:r>
    <w:r>
      <w:rPr>
        <w:i/>
      </w:rPr>
      <w:fldChar w:fldCharType="end"/>
    </w:r>
  </w:p>
  <w:p w:rsidR="000963B9" w:rsidRDefault="000963B9">
    <w:pPr>
      <w:pStyle w:val="headerpartodd"/>
      <w:ind w:left="0" w:firstLine="0"/>
      <w:jc w:val="right"/>
      <w:rPr>
        <w:b w:val="0"/>
        <w:i/>
      </w:rPr>
    </w:pPr>
  </w:p>
  <w:p w:rsidR="000963B9" w:rsidRDefault="000963B9">
    <w:pPr>
      <w:pStyle w:val="headerpart"/>
      <w:jc w:val="right"/>
    </w:pPr>
  </w:p>
  <w:p w:rsidR="000963B9" w:rsidRDefault="000963B9">
    <w:pPr>
      <w:pStyle w:val="headerpart"/>
      <w:jc w:val="right"/>
    </w:pPr>
  </w:p>
  <w:p w:rsidR="000963B9" w:rsidRDefault="000963B9">
    <w:pPr>
      <w:pBdr>
        <w:bottom w:val="single" w:sz="6" w:space="1" w:color="auto"/>
      </w:pBdr>
      <w:jc w:val="right"/>
      <w:rPr>
        <w:b/>
      </w:rPr>
    </w:pPr>
  </w:p>
  <w:p w:rsidR="000963B9" w:rsidRDefault="00096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3B" w:rsidRDefault="005714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3B" w:rsidRDefault="005714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963B9">
      <w:trPr>
        <w:cantSplit/>
      </w:trPr>
      <w:tc>
        <w:tcPr>
          <w:tcW w:w="7312" w:type="dxa"/>
          <w:gridSpan w:val="2"/>
        </w:tcPr>
        <w:p w:rsidR="000963B9" w:rsidRDefault="00D04212">
          <w:pPr>
            <w:pStyle w:val="HeaderActNameLeft"/>
          </w:pPr>
          <w:r>
            <w:rPr>
              <w:i w:val="0"/>
            </w:rPr>
            <w:fldChar w:fldCharType="begin"/>
          </w:r>
          <w:r>
            <w:rPr>
              <w:i w:val="0"/>
            </w:rPr>
            <w:instrText xml:space="preserve"> Styleref "Name of Act/Reg" </w:instrText>
          </w:r>
          <w:r>
            <w:rPr>
              <w:i w:val="0"/>
            </w:rPr>
            <w:fldChar w:fldCharType="separate"/>
          </w:r>
          <w:r w:rsidR="0057143B">
            <w:rPr>
              <w:i w:val="0"/>
              <w:noProof/>
            </w:rPr>
            <w:t>Public and Bank Holidays Act 1972</w:t>
          </w:r>
          <w:r>
            <w:rPr>
              <w:i w:val="0"/>
            </w:rPr>
            <w:fldChar w:fldCharType="end"/>
          </w:r>
        </w:p>
      </w:tc>
    </w:tr>
    <w:tr w:rsidR="000963B9">
      <w:tc>
        <w:tcPr>
          <w:tcW w:w="1548" w:type="dxa"/>
        </w:tcPr>
        <w:p w:rsidR="000963B9" w:rsidRDefault="000963B9">
          <w:pPr>
            <w:pStyle w:val="HeaderNumberLeft"/>
          </w:pPr>
        </w:p>
      </w:tc>
      <w:tc>
        <w:tcPr>
          <w:tcW w:w="5764" w:type="dxa"/>
        </w:tcPr>
        <w:p w:rsidR="000963B9" w:rsidRDefault="000963B9">
          <w:pPr>
            <w:pStyle w:val="HeaderTextLeft"/>
          </w:pPr>
        </w:p>
      </w:tc>
    </w:tr>
    <w:tr w:rsidR="000963B9">
      <w:tc>
        <w:tcPr>
          <w:tcW w:w="1548" w:type="dxa"/>
        </w:tcPr>
        <w:p w:rsidR="000963B9" w:rsidRDefault="000963B9">
          <w:pPr>
            <w:pStyle w:val="HeaderNumberLeft"/>
          </w:pPr>
        </w:p>
      </w:tc>
      <w:tc>
        <w:tcPr>
          <w:tcW w:w="5764" w:type="dxa"/>
        </w:tcPr>
        <w:p w:rsidR="000963B9" w:rsidRDefault="000963B9">
          <w:pPr>
            <w:pStyle w:val="HeaderTextLeft"/>
          </w:pPr>
        </w:p>
      </w:tc>
    </w:tr>
    <w:tr w:rsidR="000963B9">
      <w:trPr>
        <w:cantSplit/>
      </w:trPr>
      <w:tc>
        <w:tcPr>
          <w:tcW w:w="7312" w:type="dxa"/>
          <w:gridSpan w:val="2"/>
        </w:tcPr>
        <w:p w:rsidR="000963B9" w:rsidRDefault="000963B9">
          <w:pPr>
            <w:pStyle w:val="HeaderSectionLeft"/>
          </w:pPr>
        </w:p>
      </w:tc>
    </w:tr>
  </w:tbl>
  <w:p w:rsidR="000963B9" w:rsidRDefault="000963B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963B9">
      <w:trPr>
        <w:cantSplit/>
      </w:trPr>
      <w:tc>
        <w:tcPr>
          <w:tcW w:w="7312" w:type="dxa"/>
          <w:gridSpan w:val="2"/>
        </w:tcPr>
        <w:p w:rsidR="000963B9" w:rsidRDefault="00D04212">
          <w:pPr>
            <w:pStyle w:val="HeaderActNameRight"/>
          </w:pPr>
          <w:fldSimple w:instr=" Styleref &quot;Name of Act/Reg&quot; ">
            <w:r w:rsidR="0057143B">
              <w:rPr>
                <w:noProof/>
              </w:rPr>
              <w:t>Public and Bank Holidays Act 1972</w:t>
            </w:r>
          </w:fldSimple>
        </w:p>
      </w:tc>
    </w:tr>
    <w:tr w:rsidR="000963B9">
      <w:tc>
        <w:tcPr>
          <w:tcW w:w="5760" w:type="dxa"/>
        </w:tcPr>
        <w:p w:rsidR="000963B9" w:rsidRDefault="000963B9">
          <w:pPr>
            <w:pStyle w:val="HeaderTextRight"/>
          </w:pPr>
        </w:p>
      </w:tc>
      <w:tc>
        <w:tcPr>
          <w:tcW w:w="1552" w:type="dxa"/>
        </w:tcPr>
        <w:p w:rsidR="000963B9" w:rsidRDefault="000963B9">
          <w:pPr>
            <w:pStyle w:val="HeaderNumberRight"/>
          </w:pPr>
        </w:p>
      </w:tc>
    </w:tr>
    <w:tr w:rsidR="000963B9">
      <w:tc>
        <w:tcPr>
          <w:tcW w:w="5760" w:type="dxa"/>
        </w:tcPr>
        <w:p w:rsidR="000963B9" w:rsidRDefault="000963B9">
          <w:pPr>
            <w:pStyle w:val="HeaderTextRight"/>
          </w:pPr>
        </w:p>
      </w:tc>
      <w:tc>
        <w:tcPr>
          <w:tcW w:w="1552" w:type="dxa"/>
        </w:tcPr>
        <w:p w:rsidR="000963B9" w:rsidRDefault="000963B9">
          <w:pPr>
            <w:pStyle w:val="HeaderNumberRight"/>
          </w:pPr>
        </w:p>
      </w:tc>
    </w:tr>
    <w:tr w:rsidR="000963B9">
      <w:trPr>
        <w:cantSplit/>
      </w:trPr>
      <w:tc>
        <w:tcPr>
          <w:tcW w:w="7312" w:type="dxa"/>
          <w:gridSpan w:val="2"/>
        </w:tcPr>
        <w:p w:rsidR="000963B9" w:rsidRDefault="000963B9">
          <w:pPr>
            <w:pStyle w:val="HeaderSectionRight"/>
          </w:pPr>
        </w:p>
      </w:tc>
    </w:tr>
  </w:tbl>
  <w:p w:rsidR="000963B9" w:rsidRDefault="000963B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B9" w:rsidRDefault="000963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63B9">
      <w:trPr>
        <w:cantSplit/>
      </w:trPr>
      <w:tc>
        <w:tcPr>
          <w:tcW w:w="7258" w:type="dxa"/>
          <w:gridSpan w:val="2"/>
        </w:tcPr>
        <w:p w:rsidR="000963B9" w:rsidRDefault="00D04212">
          <w:pPr>
            <w:pStyle w:val="HeaderActNameLeft"/>
          </w:pPr>
          <w:fldSimple w:instr=" Styleref &quot;Name of Act/Reg&quot; ">
            <w:r w:rsidR="0057143B">
              <w:rPr>
                <w:noProof/>
              </w:rPr>
              <w:t>Public and Bank Holidays Act 1972</w:t>
            </w:r>
          </w:fldSimple>
        </w:p>
      </w:tc>
    </w:tr>
    <w:tr w:rsidR="000963B9">
      <w:tc>
        <w:tcPr>
          <w:tcW w:w="1548" w:type="dxa"/>
        </w:tcPr>
        <w:p w:rsidR="000963B9" w:rsidRDefault="00D04212">
          <w:pPr>
            <w:pStyle w:val="HeaderNumberLeft"/>
          </w:pPr>
          <w:r>
            <w:fldChar w:fldCharType="begin"/>
          </w:r>
          <w:r>
            <w:instrText xml:space="preserve"> styleref CharPartNo </w:instrText>
          </w:r>
          <w:r>
            <w:fldChar w:fldCharType="end"/>
          </w:r>
        </w:p>
      </w:tc>
      <w:tc>
        <w:tcPr>
          <w:tcW w:w="5715" w:type="dxa"/>
          <w:vAlign w:val="bottom"/>
        </w:tcPr>
        <w:p w:rsidR="000963B9" w:rsidRDefault="00D04212">
          <w:pPr>
            <w:pStyle w:val="HeaderTextLeft"/>
          </w:pPr>
          <w:r>
            <w:fldChar w:fldCharType="begin"/>
          </w:r>
          <w:r>
            <w:instrText xml:space="preserve"> styleref CharPartText </w:instrText>
          </w:r>
          <w:r>
            <w:fldChar w:fldCharType="end"/>
          </w:r>
        </w:p>
      </w:tc>
    </w:tr>
    <w:tr w:rsidR="000963B9">
      <w:tc>
        <w:tcPr>
          <w:tcW w:w="1548" w:type="dxa"/>
        </w:tcPr>
        <w:p w:rsidR="000963B9" w:rsidRDefault="00D04212">
          <w:pPr>
            <w:pStyle w:val="HeaderNumberLeft"/>
          </w:pPr>
          <w:r>
            <w:fldChar w:fldCharType="begin"/>
          </w:r>
          <w:r>
            <w:instrText xml:space="preserve"> styleref CharDivNo </w:instrText>
          </w:r>
          <w:r>
            <w:fldChar w:fldCharType="end"/>
          </w:r>
        </w:p>
      </w:tc>
      <w:tc>
        <w:tcPr>
          <w:tcW w:w="5715" w:type="dxa"/>
        </w:tcPr>
        <w:p w:rsidR="000963B9" w:rsidRDefault="00D04212">
          <w:pPr>
            <w:pStyle w:val="HeaderTextLeft"/>
          </w:pPr>
          <w:r>
            <w:fldChar w:fldCharType="begin"/>
          </w:r>
          <w:r>
            <w:instrText xml:space="preserve"> styleref CharDivText </w:instrText>
          </w:r>
          <w:r>
            <w:fldChar w:fldCharType="end"/>
          </w:r>
        </w:p>
      </w:tc>
    </w:tr>
    <w:tr w:rsidR="000963B9">
      <w:trPr>
        <w:cantSplit/>
      </w:trPr>
      <w:tc>
        <w:tcPr>
          <w:tcW w:w="7258" w:type="dxa"/>
          <w:gridSpan w:val="2"/>
        </w:tcPr>
        <w:p w:rsidR="000963B9" w:rsidRDefault="00D04212">
          <w:pPr>
            <w:pStyle w:val="HeaderSectionLeft"/>
          </w:pPr>
          <w:r>
            <w:t xml:space="preserve">s. </w:t>
          </w:r>
          <w:fldSimple w:instr=" styleref CharSectno ">
            <w:r w:rsidR="0057143B">
              <w:rPr>
                <w:noProof/>
              </w:rPr>
              <w:t>1</w:t>
            </w:r>
          </w:fldSimple>
        </w:p>
      </w:tc>
    </w:tr>
  </w:tbl>
  <w:p w:rsidR="000963B9" w:rsidRDefault="000963B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963B9">
      <w:trPr>
        <w:cantSplit/>
      </w:trPr>
      <w:tc>
        <w:tcPr>
          <w:tcW w:w="7258" w:type="dxa"/>
          <w:gridSpan w:val="2"/>
        </w:tcPr>
        <w:p w:rsidR="000963B9" w:rsidRDefault="00D04212">
          <w:pPr>
            <w:pStyle w:val="HeaderActNameRight"/>
            <w:ind w:right="17"/>
          </w:pPr>
          <w:fldSimple w:instr=" Styleref &quot;Name of Act/Reg&quot; ">
            <w:r w:rsidR="0057143B">
              <w:rPr>
                <w:noProof/>
              </w:rPr>
              <w:t>Public and Bank Holidays Act 1972</w:t>
            </w:r>
          </w:fldSimple>
        </w:p>
      </w:tc>
    </w:tr>
    <w:tr w:rsidR="000963B9">
      <w:tc>
        <w:tcPr>
          <w:tcW w:w="5715" w:type="dxa"/>
          <w:vAlign w:val="bottom"/>
        </w:tcPr>
        <w:p w:rsidR="000963B9" w:rsidRDefault="00D04212">
          <w:pPr>
            <w:pStyle w:val="HeaderTextRight"/>
          </w:pPr>
          <w:r>
            <w:fldChar w:fldCharType="begin"/>
          </w:r>
          <w:r>
            <w:instrText xml:space="preserve"> styleref CharPartText </w:instrText>
          </w:r>
          <w:r>
            <w:fldChar w:fldCharType="end"/>
          </w:r>
        </w:p>
      </w:tc>
      <w:tc>
        <w:tcPr>
          <w:tcW w:w="1548" w:type="dxa"/>
        </w:tcPr>
        <w:p w:rsidR="000963B9" w:rsidRDefault="00D04212">
          <w:pPr>
            <w:pStyle w:val="HeaderNumberRight"/>
            <w:ind w:right="17"/>
          </w:pPr>
          <w:r>
            <w:fldChar w:fldCharType="begin"/>
          </w:r>
          <w:r>
            <w:instrText xml:space="preserve"> styleref CharPartNo </w:instrText>
          </w:r>
          <w:r>
            <w:fldChar w:fldCharType="end"/>
          </w:r>
        </w:p>
      </w:tc>
    </w:tr>
    <w:tr w:rsidR="000963B9">
      <w:tc>
        <w:tcPr>
          <w:tcW w:w="5715" w:type="dxa"/>
        </w:tcPr>
        <w:p w:rsidR="000963B9" w:rsidRDefault="00D04212">
          <w:pPr>
            <w:pStyle w:val="HeaderTextRight"/>
          </w:pPr>
          <w:r>
            <w:fldChar w:fldCharType="begin"/>
          </w:r>
          <w:r>
            <w:instrText xml:space="preserve"> styleref CharDivText </w:instrText>
          </w:r>
          <w:r>
            <w:fldChar w:fldCharType="end"/>
          </w:r>
        </w:p>
      </w:tc>
      <w:tc>
        <w:tcPr>
          <w:tcW w:w="1548" w:type="dxa"/>
        </w:tcPr>
        <w:p w:rsidR="000963B9" w:rsidRDefault="00D04212">
          <w:pPr>
            <w:pStyle w:val="HeaderNumberRight"/>
            <w:ind w:right="17"/>
          </w:pPr>
          <w:r>
            <w:fldChar w:fldCharType="begin"/>
          </w:r>
          <w:r>
            <w:instrText xml:space="preserve"> styleref CharDivNo </w:instrText>
          </w:r>
          <w:r>
            <w:fldChar w:fldCharType="end"/>
          </w:r>
        </w:p>
      </w:tc>
    </w:tr>
    <w:tr w:rsidR="000963B9">
      <w:trPr>
        <w:cantSplit/>
      </w:trPr>
      <w:tc>
        <w:tcPr>
          <w:tcW w:w="7258" w:type="dxa"/>
          <w:gridSpan w:val="2"/>
        </w:tcPr>
        <w:p w:rsidR="000963B9" w:rsidRDefault="00D04212">
          <w:pPr>
            <w:pStyle w:val="HeaderSectionRight"/>
            <w:ind w:right="17"/>
          </w:pPr>
          <w:r>
            <w:t xml:space="preserve">s. </w:t>
          </w:r>
          <w:fldSimple w:instr=" styleref CharSectno ">
            <w:r w:rsidR="0057143B">
              <w:rPr>
                <w:noProof/>
              </w:rPr>
              <w:t>1</w:t>
            </w:r>
          </w:fldSimple>
        </w:p>
      </w:tc>
    </w:tr>
  </w:tbl>
  <w:p w:rsidR="000963B9" w:rsidRDefault="000963B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B9" w:rsidRDefault="00096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78DB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9AD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662F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B8CD2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DE50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0E9D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C207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329A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C2D7A4"/>
    <w:lvl w:ilvl="0">
      <w:start w:val="1"/>
      <w:numFmt w:val="decimal"/>
      <w:pStyle w:val="ListNumber"/>
      <w:lvlText w:val="%1."/>
      <w:lvlJc w:val="left"/>
      <w:pPr>
        <w:tabs>
          <w:tab w:val="num" w:pos="360"/>
        </w:tabs>
        <w:ind w:left="360" w:hanging="360"/>
      </w:pPr>
    </w:lvl>
  </w:abstractNum>
  <w:abstractNum w:abstractNumId="9">
    <w:nsid w:val="FFFFFF89"/>
    <w:multiLevelType w:val="singleLevel"/>
    <w:tmpl w:val="61B82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5EADF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33445F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12"/>
    <w:rsid w:val="000963B9"/>
    <w:rsid w:val="000B5741"/>
    <w:rsid w:val="0057143B"/>
    <w:rsid w:val="008E77FD"/>
    <w:rsid w:val="00D042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1557</Words>
  <Characters>6963</Characters>
  <Application>Microsoft Office Word</Application>
  <DocSecurity>0</DocSecurity>
  <Lines>248</Lines>
  <Paragraphs>170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8350</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Bank Holidays Act 1972 - 02-d0-01</dc:title>
  <dc:subject/>
  <dc:creator>Matthew Pether</dc:creator>
  <cp:keywords/>
  <cp:lastModifiedBy>svcMRProcess</cp:lastModifiedBy>
  <cp:revision>4</cp:revision>
  <cp:lastPrinted>2008-04-29T02:43:00Z</cp:lastPrinted>
  <dcterms:created xsi:type="dcterms:W3CDTF">2013-02-20T04:16:00Z</dcterms:created>
  <dcterms:modified xsi:type="dcterms:W3CDTF">2013-02-20T04:16:00Z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639</vt:i4>
  </property>
  <property fmtid="{D5CDD505-2E9C-101B-9397-08002B2CF9AE}" pid="6" name="AsAtDate">
    <vt:lpwstr>11 Sep 2010</vt:lpwstr>
  </property>
  <property fmtid="{D5CDD505-2E9C-101B-9397-08002B2CF9AE}" pid="7" name="Suffix">
    <vt:lpwstr>02-d0-01</vt:lpwstr>
  </property>
  <property fmtid="{D5CDD505-2E9C-101B-9397-08002B2CF9AE}" pid="8" name="ReprintNo">
    <vt:lpwstr>2</vt:lpwstr>
  </property>
</Properties>
</file>