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Goods (Vienna Convention)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Goods (Vienna Convention)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_Toc413927088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_Toc413927089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_Toc413927090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_Toc413927091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Convention to have the force of law</w:t>
      </w:r>
      <w:r>
        <w:tab/>
      </w:r>
      <w:r>
        <w:fldChar w:fldCharType="begin"/>
      </w:r>
      <w:r>
        <w:instrText xml:space="preserve"> PAGEREF _Toc413927092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Convention to prevail in event of inconsistency</w:t>
      </w:r>
      <w:r>
        <w:tab/>
      </w:r>
      <w:r>
        <w:fldChar w:fldCharType="begin"/>
      </w:r>
      <w:r>
        <w:instrText xml:space="preserve"> PAGEREF _Toc413927093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certain matters</w:t>
      </w:r>
      <w:r>
        <w:tab/>
      </w:r>
      <w:r>
        <w:fldChar w:fldCharType="begin"/>
      </w:r>
      <w:r>
        <w:instrText xml:space="preserve"> PAGEREF _Toc413927094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Vienna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_Toc413927097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 xml:space="preserve">An Act to give effect within Western Australia to the United Nations Convention on Contracts for the International Sale of Goods, and for other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378944185"/>
      <w:bookmarkStart w:id="4" w:name="_Toc41392708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5" w:name="_Toc378944186"/>
      <w:bookmarkStart w:id="6" w:name="_Toc41392708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7" w:name="_Toc378944187"/>
      <w:bookmarkStart w:id="8" w:name="_Toc41392709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9" w:name="_Toc378944188"/>
      <w:bookmarkStart w:id="10" w:name="_Toc413927091"/>
      <w:r>
        <w:rPr>
          <w:rStyle w:val="CharSectno"/>
        </w:rPr>
        <w:t>4</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1" w:name="_Toc378944189"/>
      <w:bookmarkStart w:id="12" w:name="_Toc413927092"/>
      <w:r>
        <w:rPr>
          <w:rStyle w:val="CharSectno"/>
        </w:rPr>
        <w:t>5</w:t>
      </w:r>
      <w:r>
        <w:rPr>
          <w:snapToGrid w:val="0"/>
        </w:rPr>
        <w:t>.</w:t>
      </w:r>
      <w:r>
        <w:rPr>
          <w:snapToGrid w:val="0"/>
        </w:rPr>
        <w:tab/>
        <w:t>Convention to have the force of law</w:t>
      </w:r>
      <w:bookmarkEnd w:id="11"/>
      <w:bookmarkEnd w:id="12"/>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13" w:name="_Toc378944190"/>
      <w:bookmarkStart w:id="14" w:name="_Toc413927093"/>
      <w:r>
        <w:rPr>
          <w:rStyle w:val="CharSectno"/>
        </w:rPr>
        <w:t>6</w:t>
      </w:r>
      <w:r>
        <w:rPr>
          <w:snapToGrid w:val="0"/>
        </w:rPr>
        <w:t>.</w:t>
      </w:r>
      <w:r>
        <w:rPr>
          <w:snapToGrid w:val="0"/>
        </w:rPr>
        <w:tab/>
        <w:t>Convention to prevail in event of inconsistency</w:t>
      </w:r>
      <w:bookmarkEnd w:id="13"/>
      <w:bookmarkEnd w:id="14"/>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15" w:name="_Toc378944191"/>
      <w:bookmarkStart w:id="16" w:name="_Toc413927094"/>
      <w:r>
        <w:rPr>
          <w:rStyle w:val="CharSectno"/>
        </w:rPr>
        <w:t>7</w:t>
      </w:r>
      <w:r>
        <w:rPr>
          <w:snapToGrid w:val="0"/>
        </w:rPr>
        <w:t>.</w:t>
      </w:r>
      <w:r>
        <w:rPr>
          <w:snapToGrid w:val="0"/>
        </w:rPr>
        <w:tab/>
        <w:t>Evidence of certain matters</w:t>
      </w:r>
      <w:bookmarkEnd w:id="15"/>
      <w:bookmarkEnd w:id="16"/>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by No. 21 of 2008 s. 701.]</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 w:name="_Toc378944192"/>
      <w:bookmarkStart w:id="18" w:name="_Toc413927069"/>
      <w:bookmarkStart w:id="19" w:name="_Toc413927095"/>
      <w:r>
        <w:rPr>
          <w:rStyle w:val="CharSchNo"/>
        </w:rPr>
        <w:t>Schedule 1</w:t>
      </w:r>
      <w:r>
        <w:t> — </w:t>
      </w:r>
      <w:r>
        <w:rPr>
          <w:rStyle w:val="CharSchText"/>
        </w:rPr>
        <w:t>Vienna Convention</w:t>
      </w:r>
      <w:bookmarkEnd w:id="17"/>
      <w:bookmarkEnd w:id="18"/>
      <w:bookmarkEnd w:id="19"/>
    </w:p>
    <w:p>
      <w:pPr>
        <w:pStyle w:val="yShoulderClause"/>
        <w:rPr>
          <w:snapToGrid w:val="0"/>
        </w:rPr>
      </w:pPr>
      <w:r>
        <w:rPr>
          <w:snapToGrid w:val="0"/>
        </w:rPr>
        <w:t>[s. 3]</w:t>
      </w:r>
    </w:p>
    <w:p>
      <w:pPr>
        <w:pStyle w:val="yFootnoteheading"/>
        <w:rPr>
          <w:b/>
          <w:snapToGrid w:val="0"/>
        </w:rPr>
      </w:pPr>
      <w:r>
        <w:tab/>
        <w:t>[Heading amended by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pPr>
        <w:pStyle w:val="yTable"/>
        <w:keepNext/>
        <w:tabs>
          <w:tab w:val="center" w:pos="4253"/>
        </w:tabs>
        <w:suppressAutoHyphens/>
        <w:spacing w:before="360" w:after="240"/>
        <w:jc w:val="center"/>
        <w:rPr>
          <w:spacing w:val="-2"/>
        </w:rPr>
      </w:pPr>
      <w:r>
        <w:rPr>
          <w:i/>
          <w:spacing w:val="-2"/>
        </w:rPr>
        <w:t>Article 34</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60" w:after="24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360" w:after="24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60" w:after="24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60" w:after="24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60"/>
        <w:jc w:val="center"/>
        <w:rPr>
          <w:b/>
          <w:spacing w:val="-2"/>
        </w:rPr>
      </w:pPr>
      <w:r>
        <w:rPr>
          <w:b/>
          <w:spacing w:val="-2"/>
        </w:rPr>
        <w:t>Section II. Taking delivery</w:t>
      </w:r>
    </w:p>
    <w:p>
      <w:pPr>
        <w:pStyle w:val="yTable"/>
        <w:keepNext/>
        <w:tabs>
          <w:tab w:val="center" w:pos="4253"/>
        </w:tabs>
        <w:suppressAutoHyphens/>
        <w:spacing w:before="360" w:after="24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z w:val="22"/>
        </w:rPr>
      </w:pPr>
      <w:r>
        <w:rPr>
          <w:spacing w:val="-2"/>
          <w:sz w:val="22"/>
        </w:rPr>
        <w:t>IN WITNESS WHEREOF the undersigned plenipotentiaries, being duly authorized by their respective Governments, have signed this Convention.</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1" w:name="_Toc378944193"/>
      <w:bookmarkStart w:id="22" w:name="_Toc413927070"/>
      <w:bookmarkStart w:id="23" w:name="_Toc413927096"/>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944194"/>
      <w:bookmarkStart w:id="25" w:name="_Toc413927097"/>
      <w:r>
        <w:rPr>
          <w:snapToGrid w:val="0"/>
        </w:rPr>
        <w:t>Compilation table</w:t>
      </w:r>
      <w:bookmarkEnd w:id="24"/>
      <w:bookmarkEnd w:id="25"/>
    </w:p>
    <w:tbl>
      <w:tblPr>
        <w:tblW w:w="7088" w:type="dxa"/>
        <w:tblLayout w:type="fixed"/>
        <w:tblCellMar>
          <w:left w:w="56" w:type="dxa"/>
          <w:right w:w="56" w:type="dxa"/>
        </w:tblCellMar>
        <w:tblLook w:val="0000" w:firstRow="0" w:lastRow="0" w:firstColumn="0" w:lastColumn="0" w:noHBand="0" w:noVBand="0"/>
      </w:tblPr>
      <w:tblGrid>
        <w:gridCol w:w="2268"/>
        <w:gridCol w:w="1136"/>
        <w:gridCol w:w="1132"/>
        <w:gridCol w:w="2546"/>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8" w:type="dxa"/>
            <w:tcBorders>
              <w:top w:val="single" w:sz="8" w:space="0" w:color="auto"/>
              <w:bottom w:val="single" w:sz="8" w:space="0" w:color="auto"/>
            </w:tcBorders>
          </w:tcPr>
          <w:p>
            <w:pPr>
              <w:pStyle w:val="nTable"/>
              <w:spacing w:after="40"/>
              <w:rPr>
                <w:b/>
              </w:rPr>
            </w:pPr>
            <w:r>
              <w:rPr>
                <w:b/>
              </w:rPr>
              <w:t>Commencement</w:t>
            </w:r>
          </w:p>
        </w:tc>
      </w:tr>
      <w:tr>
        <w:trPr>
          <w:gridAfter w:val="1"/>
          <w:wAfter w:w="6" w:type="dxa"/>
          <w:cantSplit/>
          <w:tblHeader/>
        </w:trPr>
        <w:tc>
          <w:tcPr>
            <w:tcW w:w="2269" w:type="dxa"/>
            <w:tcBorders>
              <w:top w:val="single" w:sz="8" w:space="0" w:color="auto"/>
            </w:tcBorders>
          </w:tcPr>
          <w:p>
            <w:pPr>
              <w:pStyle w:val="nTable"/>
              <w:spacing w:after="40"/>
              <w:ind w:right="113"/>
              <w:rPr>
                <w:b/>
              </w:rPr>
            </w:pPr>
            <w:r>
              <w:rPr>
                <w:i/>
              </w:rPr>
              <w:t>Sale of Goods (Vienna Convention) Act 1986</w:t>
            </w:r>
          </w:p>
        </w:tc>
        <w:tc>
          <w:tcPr>
            <w:tcW w:w="1132" w:type="dxa"/>
            <w:tcBorders>
              <w:top w:val="single" w:sz="8" w:space="0" w:color="auto"/>
            </w:tcBorders>
          </w:tcPr>
          <w:p>
            <w:pPr>
              <w:pStyle w:val="nTable"/>
              <w:spacing w:after="40"/>
            </w:pPr>
            <w:r>
              <w:t>88 of 1986</w:t>
            </w:r>
          </w:p>
        </w:tc>
        <w:tc>
          <w:tcPr>
            <w:tcW w:w="1133" w:type="dxa"/>
            <w:tcBorders>
              <w:top w:val="single" w:sz="8" w:space="0" w:color="auto"/>
            </w:tcBorders>
          </w:tcPr>
          <w:p>
            <w:pPr>
              <w:pStyle w:val="nTable"/>
              <w:spacing w:after="40"/>
            </w:pPr>
            <w:r>
              <w:t>10 Dec 1986</w:t>
            </w:r>
          </w:p>
        </w:tc>
        <w:tc>
          <w:tcPr>
            <w:tcW w:w="2548" w:type="dxa"/>
            <w:tcBorders>
              <w:top w:val="single" w:sz="8" w:space="0" w:color="auto"/>
            </w:tcBorders>
          </w:tcPr>
          <w:p>
            <w:pPr>
              <w:pStyle w:val="nTable"/>
              <w:spacing w:after="40"/>
            </w:pPr>
            <w:r>
              <w:t xml:space="preserve">1 Apr 1989 (see s. 2 and </w:t>
            </w:r>
            <w:r>
              <w:rPr>
                <w:i/>
              </w:rPr>
              <w:t>Gazette</w:t>
            </w:r>
            <w:r>
              <w:t xml:space="preserve"> 24 Jun 1988 p. 1995)</w:t>
            </w:r>
          </w:p>
        </w:tc>
      </w:tr>
      <w:tr>
        <w:trPr>
          <w:gridAfter w:val="1"/>
          <w:wAfter w:w="6" w:type="dxa"/>
          <w:cantSplit/>
          <w:tblHeader/>
        </w:trPr>
        <w:tc>
          <w:tcPr>
            <w:tcW w:w="7082" w:type="dxa"/>
            <w:gridSpan w:val="4"/>
          </w:tcPr>
          <w:p>
            <w:pPr>
              <w:pStyle w:val="nTable"/>
              <w:spacing w:after="40"/>
            </w:pPr>
            <w:r>
              <w:rPr>
                <w:b/>
              </w:rPr>
              <w:t xml:space="preserve">Reprint of the </w:t>
            </w:r>
            <w:r>
              <w:rPr>
                <w:b/>
                <w:i/>
              </w:rPr>
              <w:t xml:space="preserve">Sale of Goods (Vienna Convention) Act 1986 </w:t>
            </w:r>
            <w:r>
              <w:rPr>
                <w:b/>
              </w:rPr>
              <w:t>as at 2 Aug 2002</w:t>
            </w:r>
          </w:p>
        </w:tc>
      </w:tr>
      <w:tr>
        <w:trPr>
          <w:gridAfter w:val="1"/>
          <w:wAfter w:w="6" w:type="dxa"/>
          <w:cantSplit/>
          <w:tblHeader/>
        </w:trPr>
        <w:tc>
          <w:tcPr>
            <w:tcW w:w="2269" w:type="dxa"/>
          </w:tcPr>
          <w:p>
            <w:pPr>
              <w:pStyle w:val="nTable"/>
              <w:spacing w:after="40"/>
              <w:ind w:right="113"/>
              <w:rPr>
                <w:bCs/>
              </w:rPr>
            </w:pPr>
            <w:r>
              <w:rPr>
                <w:bCs/>
                <w:i/>
                <w:iCs/>
                <w:snapToGrid w:val="0"/>
              </w:rPr>
              <w:t>Legal Profession Act 2008</w:t>
            </w:r>
            <w:r>
              <w:rPr>
                <w:bCs/>
                <w:snapToGrid w:val="0"/>
              </w:rPr>
              <w:t xml:space="preserve"> s. 701</w:t>
            </w:r>
          </w:p>
        </w:tc>
        <w:tc>
          <w:tcPr>
            <w:tcW w:w="1132" w:type="dxa"/>
          </w:tcPr>
          <w:p>
            <w:pPr>
              <w:pStyle w:val="nTable"/>
              <w:spacing w:after="40"/>
              <w:rPr>
                <w:bCs/>
              </w:rPr>
            </w:pPr>
            <w:r>
              <w:rPr>
                <w:bCs/>
              </w:rPr>
              <w:t>21 of 2008</w:t>
            </w:r>
          </w:p>
        </w:tc>
        <w:tc>
          <w:tcPr>
            <w:tcW w:w="1133" w:type="dxa"/>
          </w:tcPr>
          <w:p>
            <w:pPr>
              <w:pStyle w:val="nTable"/>
              <w:spacing w:after="40"/>
              <w:rPr>
                <w:bCs/>
              </w:rPr>
            </w:pPr>
            <w:r>
              <w:rPr>
                <w:bCs/>
              </w:rPr>
              <w:t>27 May 2008</w:t>
            </w:r>
          </w:p>
        </w:tc>
        <w:tc>
          <w:tcPr>
            <w:tcW w:w="2548" w:type="dxa"/>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rPr>
          <w:cantSplit/>
        </w:trPr>
        <w:tc>
          <w:tcPr>
            <w:tcW w:w="2269"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7" w:type="dxa"/>
            <w:tcBorders>
              <w:bottom w:val="single" w:sz="4" w:space="0" w:color="auto"/>
            </w:tcBorders>
          </w:tcPr>
          <w:p>
            <w:pPr>
              <w:pStyle w:val="nTable"/>
              <w:spacing w:after="40"/>
              <w:rPr>
                <w:snapToGrid w:val="0"/>
              </w:rPr>
            </w:pPr>
            <w:r>
              <w:rPr>
                <w:snapToGrid w:val="0"/>
              </w:rPr>
              <w:t>19 of 2010</w:t>
            </w:r>
          </w:p>
        </w:tc>
        <w:tc>
          <w:tcPr>
            <w:tcW w:w="1133" w:type="dxa"/>
            <w:tcBorders>
              <w:bottom w:val="single" w:sz="4" w:space="0" w:color="auto"/>
            </w:tcBorders>
          </w:tcPr>
          <w:p>
            <w:pPr>
              <w:pStyle w:val="nTable"/>
              <w:spacing w:after="40"/>
              <w:rPr>
                <w:snapToGrid w:val="0"/>
              </w:rPr>
            </w:pPr>
            <w:r>
              <w:rPr>
                <w:snapToGrid w:val="0"/>
              </w:rPr>
              <w:t>28 Jun 2010</w:t>
            </w:r>
          </w:p>
        </w:tc>
        <w:tc>
          <w:tcPr>
            <w:tcW w:w="254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7" w:name="_Toc413927098"/>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Convention</w:t>
      </w:r>
      <w:r>
        <w:tab/>
        <w:t>3</w:t>
      </w:r>
    </w:p>
    <w:p>
      <w:pPr>
        <w:pStyle w:val="DefinedTerms"/>
      </w:pPr>
      <w:r>
        <w:t>legal practitioner</w:t>
      </w:r>
      <w:r>
        <w:tab/>
        <w:t>7(2)</w:t>
      </w:r>
    </w:p>
    <w:p>
      <w:pPr>
        <w:pStyle w:val="DefinedTerms"/>
      </w:pPr>
      <w:r>
        <w:t>writing</w:t>
      </w:r>
      <w:r>
        <w:tab/>
        <w:t>Sch.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8D89B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ABAAA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17"/>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209142917" w:val="RemoveTrackChanges"/>
    <w:docVar w:name="WAFER_20151209142917_GUID" w:val="491f50ba-7f9c-4c62-a0ef-04ed6b046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11116</Words>
  <Characters>52471</Characters>
  <Application>Microsoft Office Word</Application>
  <DocSecurity>0</DocSecurity>
  <Lines>1140</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1986 - 01-e0-04</dc:title>
  <dc:subject/>
  <dc:creator/>
  <cp:keywords/>
  <dc:description/>
  <cp:lastModifiedBy>svcMRProcess</cp:lastModifiedBy>
  <cp:revision>4</cp:revision>
  <cp:lastPrinted>2002-08-09T03:06:00Z</cp:lastPrinted>
  <dcterms:created xsi:type="dcterms:W3CDTF">2015-12-11T03:28:00Z</dcterms:created>
  <dcterms:modified xsi:type="dcterms:W3CDTF">2015-12-11T03:28:00Z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727</vt:i4>
  </property>
  <property fmtid="{D5CDD505-2E9C-101B-9397-08002B2CF9AE}" pid="6" name="AsAtDate">
    <vt:lpwstr>11 Sep 2010</vt:lpwstr>
  </property>
  <property fmtid="{D5CDD505-2E9C-101B-9397-08002B2CF9AE}" pid="7" name="Suffix">
    <vt:lpwstr>01-e0-04</vt:lpwstr>
  </property>
</Properties>
</file>