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Commercial Banking Company of Sydney Limited (Merger)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Commercial Banking Company of Sydney Limited (Merger)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_Toc434924800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_Toc434924801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_Toc434924802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to be bound</w:t>
      </w:r>
      <w:r>
        <w:tab/>
      </w:r>
      <w:r>
        <w:fldChar w:fldCharType="begin"/>
      </w:r>
      <w:r>
        <w:instrText xml:space="preserve"> PAGEREF _Toc434924803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undertakings of merging bank and savings bank</w:t>
      </w:r>
      <w:r>
        <w:tab/>
      </w:r>
      <w:r>
        <w:fldChar w:fldCharType="begin"/>
      </w:r>
      <w:r>
        <w:instrText xml:space="preserve"> PAGEREF _Toc434924804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 — CBC</w:t>
      </w:r>
      <w:r>
        <w:tab/>
      </w:r>
      <w:r>
        <w:fldChar w:fldCharType="begin"/>
      </w:r>
      <w:r>
        <w:instrText xml:space="preserve"> PAGEREF _Toc434924805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provision — CBC Savings Bank</w:t>
      </w:r>
      <w:r>
        <w:tab/>
      </w:r>
      <w:r>
        <w:fldChar w:fldCharType="begin"/>
      </w:r>
      <w:r>
        <w:instrText xml:space="preserve"> PAGEREF _Toc434924806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Assignment and subletting of leases</w:t>
      </w:r>
      <w:r>
        <w:tab/>
      </w:r>
      <w:r>
        <w:fldChar w:fldCharType="begin"/>
      </w:r>
      <w:r>
        <w:instrText xml:space="preserve"> PAGEREF _Toc434924807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Continuity of legal proceedings</w:t>
      </w:r>
      <w:r>
        <w:tab/>
      </w:r>
      <w:r>
        <w:fldChar w:fldCharType="begin"/>
      </w:r>
      <w:r>
        <w:instrText xml:space="preserve"> PAGEREF _Toc434924808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_Toc434924809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Employees</w:t>
      </w:r>
      <w:r>
        <w:tab/>
      </w:r>
      <w:r>
        <w:fldChar w:fldCharType="begin"/>
      </w:r>
      <w:r>
        <w:instrText xml:space="preserve"> PAGEREF _Toc434924810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new trustee</w:t>
      </w:r>
      <w:r>
        <w:tab/>
      </w:r>
      <w:r>
        <w:fldChar w:fldCharType="begin"/>
      </w:r>
      <w:r>
        <w:instrText xml:space="preserve"> PAGEREF _Toc434924811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 of certain shares etc.</w:t>
      </w:r>
      <w:r>
        <w:tab/>
      </w:r>
      <w:r>
        <w:fldChar w:fldCharType="begin"/>
      </w:r>
      <w:r>
        <w:instrText xml:space="preserve"> PAGEREF _Toc434924812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Registration authority to give effect</w:t>
      </w:r>
      <w:r>
        <w:tab/>
      </w:r>
      <w:r>
        <w:fldChar w:fldCharType="begin"/>
      </w:r>
      <w:r>
        <w:instrText xml:space="preserve"> PAGEREF _Toc434924813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Company charges</w:t>
      </w:r>
      <w:r>
        <w:tab/>
      </w:r>
      <w:r>
        <w:fldChar w:fldCharType="begin"/>
      </w:r>
      <w:r>
        <w:instrText xml:space="preserve"> PAGEREF _Toc434924814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persons in respect of dealings with certain assets</w:t>
      </w:r>
      <w:r>
        <w:tab/>
      </w:r>
      <w:r>
        <w:fldChar w:fldCharType="begin"/>
      </w:r>
      <w:r>
        <w:instrText xml:space="preserve"> PAGEREF _Toc434924815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_Toc434924817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The Commercial Banking Company of Sydney Limited (Merger) Act 1982 </w:t>
      </w:r>
    </w:p>
    <w:p>
      <w:pPr>
        <w:pStyle w:val="LongTitle"/>
        <w:rPr>
          <w:snapToGrid w:val="0"/>
        </w:rPr>
      </w:pPr>
      <w:r>
        <w:rPr>
          <w:snapToGrid w:val="0"/>
        </w:rPr>
        <w:t xml:space="preserve">An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pPr>
        <w:pStyle w:val="Preamble1"/>
        <w:rPr>
          <w:rFonts w:ascii="Times New Roman" w:hAnsi="Times New Roman"/>
          <w:snapToGrid w:val="0"/>
        </w:rPr>
      </w:pPr>
      <w:r>
        <w:t>Preamble</w:t>
      </w:r>
    </w:p>
    <w:p>
      <w:pPr>
        <w:pStyle w:val="Preamble2"/>
        <w:rPr>
          <w:rFonts w:ascii="Times New Roman" w:hAnsi="Times New Roman"/>
          <w:snapToGrid w:val="0"/>
        </w:rPr>
      </w:pPr>
      <w:r>
        <w:rPr>
          <w:rFonts w:ascii="Times New Roman" w:hAnsi="Times New Roman"/>
          <w:snapToGrid w:val="0"/>
        </w:rPr>
        <w:t xml:space="preserve">Whereas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pPr>
        <w:pStyle w:val="Preamble2"/>
        <w:rPr>
          <w:rFonts w:ascii="Times New Roman" w:hAnsi="Times New Roman"/>
          <w:snapToGrid w:val="0"/>
        </w:rPr>
      </w:pPr>
      <w:r>
        <w:rPr>
          <w:rFonts w:ascii="Times New Roman" w:hAnsi="Times New Roman"/>
          <w:snapToGrid w:val="0"/>
        </w:rPr>
        <w:t>And whereas C.B.C. Savings Bank Limited is a wholly owned subsidiary of The Commercial Banking Company of Sydney Limited, and The National Bank Savings Bank Limited is a wholly owned subsidiary of The National Bank of Australasia Limited:</w:t>
      </w:r>
    </w:p>
    <w:p>
      <w:pPr>
        <w:pStyle w:val="Preamble2"/>
        <w:rPr>
          <w:rFonts w:ascii="Times New Roman" w:hAnsi="Times New Roman"/>
          <w:snapToGrid w:val="0"/>
        </w:rPr>
      </w:pPr>
      <w:r>
        <w:rPr>
          <w:rFonts w:ascii="Times New Roman" w:hAnsi="Times New Roman"/>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pPr>
        <w:pStyle w:val="Preamble2"/>
        <w:rPr>
          <w:rFonts w:ascii="Times New Roman" w:hAnsi="Times New Roman"/>
          <w:snapToGrid w:val="0"/>
        </w:rPr>
      </w:pPr>
      <w:r>
        <w:rPr>
          <w:rFonts w:ascii="Times New Roman" w:hAnsi="Times New Roman"/>
          <w:snapToGrid w:val="0"/>
        </w:rPr>
        <w:t>And whereas it is expedient that the transfers be effected by Act of the Parliament:</w:t>
      </w:r>
    </w:p>
    <w:p>
      <w:pPr>
        <w:pStyle w:val="Preamble2"/>
        <w:rPr>
          <w:rFonts w:ascii="Times New Roman" w:hAnsi="Times New Roman"/>
          <w:snapToGrid w:val="0"/>
        </w:rPr>
      </w:pPr>
      <w:r>
        <w:rPr>
          <w:rFonts w:ascii="Times New Roman" w:hAnsi="Times New Roman"/>
          <w:snapToGrid w:val="0"/>
        </w:rPr>
        <w:t xml:space="preserve">And whereas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pPr>
        <w:pStyle w:val="Preamble2"/>
        <w:rPr>
          <w:rFonts w:ascii="Times New Roman" w:hAnsi="Times New Roman"/>
          <w:snapToGrid w:val="0"/>
        </w:rPr>
      </w:pPr>
      <w:r>
        <w:rPr>
          <w:rFonts w:ascii="Times New Roman" w:hAnsi="Times New Roman"/>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pPr>
        <w:pStyle w:val="Footnotepreamble"/>
      </w:pPr>
      <w:r>
        <w:tab/>
        <w:t>[Preamble amended: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93095"/>
      <w:bookmarkStart w:id="4" w:name="_Toc43492480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vertAlign w:val="superscript"/>
        </w:rPr>
        <w:t> 1</w:t>
      </w:r>
      <w:r>
        <w:rPr>
          <w:snapToGrid w:val="0"/>
        </w:rPr>
        <w:t>.</w:t>
      </w:r>
    </w:p>
    <w:p>
      <w:pPr>
        <w:pStyle w:val="Heading5"/>
        <w:rPr>
          <w:snapToGrid w:val="0"/>
        </w:rPr>
      </w:pPr>
      <w:bookmarkStart w:id="5" w:name="_Toc377393096"/>
      <w:bookmarkStart w:id="6" w:name="_Toc4349248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377393097"/>
      <w:bookmarkStart w:id="8" w:name="_Toc434924802"/>
      <w:r>
        <w:rPr>
          <w:rStyle w:val="CharSectno"/>
        </w:rPr>
        <w:t>3</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CBC</w:t>
      </w:r>
      <w:r>
        <w:t xml:space="preserve"> means The Commercial Banking Company of Sydney Limited;</w:t>
      </w:r>
    </w:p>
    <w:p>
      <w:pPr>
        <w:pStyle w:val="Defstart"/>
      </w:pPr>
      <w:r>
        <w:rPr>
          <w:b/>
        </w:rPr>
        <w:tab/>
      </w:r>
      <w:r>
        <w:rPr>
          <w:rStyle w:val="CharDefText"/>
        </w:rPr>
        <w:t>CBC Savings Bank</w:t>
      </w:r>
      <w:r>
        <w:t xml:space="preserve"> means C.B.C. Savings Bank Limited;</w:t>
      </w:r>
    </w:p>
    <w:p>
      <w:pPr>
        <w:pStyle w:val="Defstart"/>
      </w:pPr>
      <w:r>
        <w:rPr>
          <w:b/>
        </w:rPr>
        <w:tab/>
      </w:r>
      <w:r>
        <w:rPr>
          <w:rStyle w:val="CharDefText"/>
        </w:rPr>
        <w:t>corporation</w:t>
      </w:r>
      <w:r>
        <w:t xml:space="preserve"> includes any body, corporate or un</w:t>
      </w:r>
      <w:r>
        <w:noBreakHyphen/>
        <w:t>incorporate;</w:t>
      </w:r>
    </w:p>
    <w:p>
      <w:pPr>
        <w:pStyle w:val="Defstart"/>
      </w:pPr>
      <w:r>
        <w:rPr>
          <w:b/>
        </w:rPr>
        <w:tab/>
      </w:r>
      <w:r>
        <w:rPr>
          <w:rStyle w:val="CharDefText"/>
        </w:rPr>
        <w:t>excluded assets</w:t>
      </w:r>
      <w:r>
        <w:t xml:space="preserve"> means — </w:t>
      </w:r>
    </w:p>
    <w:p>
      <w:pPr>
        <w:pStyle w:val="Defpara"/>
      </w:pPr>
      <w:r>
        <w:tab/>
        <w:t>(a)</w:t>
      </w:r>
      <w:r>
        <w:tab/>
        <w:t>documents required by law to be kept by CBC or CBC Savings Bank;</w:t>
      </w:r>
    </w:p>
    <w:p>
      <w:pPr>
        <w:pStyle w:val="Defpara"/>
      </w:pPr>
      <w:r>
        <w:tab/>
        <w:t>(b)</w:t>
      </w:r>
      <w:r>
        <w:tab/>
        <w:t>prescribed securities held, immediately before the appointed day, by or on behalf of CBC or CBC Savings Bank otherwise than by way of security; and</w:t>
      </w:r>
    </w:p>
    <w:p>
      <w:pPr>
        <w:pStyle w:val="Defpara"/>
      </w:pPr>
      <w:r>
        <w:tab/>
        <w:t>(c)</w:t>
      </w:r>
      <w:r>
        <w:tab/>
        <w:t xml:space="preserve">land held, immediately before the appointed day, by or on behalf of CBC or CBC Savings Bank otherwise than by way of security; </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iCs/>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the continuing bank</w:t>
      </w:r>
      <w:r>
        <w:t xml:space="preserve"> means The National Bank of Australasia Limited;</w:t>
      </w:r>
    </w:p>
    <w:p>
      <w:pPr>
        <w:pStyle w:val="Defstart"/>
      </w:pPr>
      <w:r>
        <w:rPr>
          <w:b/>
        </w:rPr>
        <w:tab/>
      </w:r>
      <w:r>
        <w:rPr>
          <w:rStyle w:val="CharDefText"/>
        </w:rPr>
        <w:t>the continuing savings bank</w:t>
      </w:r>
      <w:r>
        <w:t xml:space="preserve"> means The National Bank Savings Bank Limited;</w:t>
      </w:r>
    </w:p>
    <w:p>
      <w:pPr>
        <w:pStyle w:val="Defstart"/>
      </w:pPr>
      <w:r>
        <w:rPr>
          <w:b/>
        </w:rPr>
        <w:tab/>
      </w:r>
      <w:r>
        <w:rPr>
          <w:rStyle w:val="CharDefText"/>
        </w:rPr>
        <w:t>transferred employee</w:t>
      </w:r>
      <w:r>
        <w:t xml:space="preserve"> means an employee of CBC who becomes an employee of the continuing bank in pursuance of this Act;</w:t>
      </w:r>
    </w:p>
    <w:p>
      <w:pPr>
        <w:pStyle w:val="Defstart"/>
      </w:pPr>
      <w:r>
        <w:rPr>
          <w:b/>
        </w:rPr>
        <w:tab/>
      </w:r>
      <w:r>
        <w:rPr>
          <w:rStyle w:val="CharDefText"/>
        </w:rPr>
        <w:t>undertaking</w:t>
      </w:r>
      <w:r>
        <w:t>, in relation to CBC or CBC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9" w:name="_Toc377393098"/>
      <w:bookmarkStart w:id="10" w:name="_Toc434924803"/>
      <w:r>
        <w:rPr>
          <w:rStyle w:val="CharSectno"/>
        </w:rPr>
        <w:t>4</w:t>
      </w:r>
      <w:r>
        <w:rPr>
          <w:snapToGrid w:val="0"/>
        </w:rPr>
        <w:t>.</w:t>
      </w:r>
      <w:r>
        <w:rPr>
          <w:snapToGrid w:val="0"/>
        </w:rPr>
        <w:tab/>
        <w:t>Crown to be bound</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377393099"/>
      <w:bookmarkStart w:id="12" w:name="_Toc434924804"/>
      <w:r>
        <w:rPr>
          <w:rStyle w:val="CharSectno"/>
        </w:rPr>
        <w:t>5</w:t>
      </w:r>
      <w:r>
        <w:rPr>
          <w:snapToGrid w:val="0"/>
        </w:rPr>
        <w:t>.</w:t>
      </w:r>
      <w:r>
        <w:rPr>
          <w:snapToGrid w:val="0"/>
        </w:rPr>
        <w:tab/>
        <w:t>Vesting of undertakings of merging bank and savings bank</w:t>
      </w:r>
      <w:bookmarkEnd w:id="11"/>
      <w:bookmarkEnd w:id="12"/>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CBC is vested in the continuing bank; and</w:t>
      </w:r>
    </w:p>
    <w:p>
      <w:pPr>
        <w:pStyle w:val="Indenta"/>
        <w:rPr>
          <w:snapToGrid w:val="0"/>
        </w:rPr>
      </w:pPr>
      <w:r>
        <w:rPr>
          <w:snapToGrid w:val="0"/>
        </w:rPr>
        <w:tab/>
        <w:t>(b)</w:t>
      </w:r>
      <w:r>
        <w:rPr>
          <w:snapToGrid w:val="0"/>
        </w:rPr>
        <w:tab/>
        <w:t>the undertaking of CBC Savings Bank is vested in the continuing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pPr>
        <w:pStyle w:val="Subsection"/>
        <w:rPr>
          <w:snapToGrid w:val="0"/>
        </w:rPr>
      </w:pPr>
      <w:r>
        <w:rPr>
          <w:snapToGrid w:val="0"/>
        </w:rPr>
        <w:tab/>
        <w:t>(3)</w:t>
      </w:r>
      <w:r>
        <w:rPr>
          <w:snapToGrid w:val="0"/>
        </w:rPr>
        <w:tab/>
        <w:t>On and after the appointed day — </w:t>
      </w:r>
    </w:p>
    <w:p>
      <w:pPr>
        <w:pStyle w:val="Indenta"/>
        <w:rPr>
          <w:snapToGrid w:val="0"/>
        </w:rPr>
      </w:pPr>
      <w:r>
        <w:rPr>
          <w:snapToGrid w:val="0"/>
        </w:rPr>
        <w:tab/>
        <w:t>(a)</w:t>
      </w:r>
      <w:r>
        <w:rPr>
          <w:snapToGrid w:val="0"/>
        </w:rPr>
        <w:tab/>
        <w:t>any place of business of CBC, wherever located, shall be deemed to be a place of business of the continuing bank; and</w:t>
      </w:r>
    </w:p>
    <w:p>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 </w:t>
      </w:r>
    </w:p>
    <w:p>
      <w:pPr>
        <w:pStyle w:val="Indenta"/>
        <w:rPr>
          <w:snapToGrid w:val="0"/>
        </w:rPr>
      </w:pPr>
      <w:r>
        <w:rPr>
          <w:snapToGrid w:val="0"/>
        </w:rPr>
        <w:tab/>
        <w:t>(a)</w:t>
      </w:r>
      <w:r>
        <w:rPr>
          <w:snapToGrid w:val="0"/>
        </w:rPr>
        <w:tab/>
        <w:t>a liability to CBC immediately before the appointed day remains a liability to CBC on or after that day; or</w:t>
      </w:r>
    </w:p>
    <w:p>
      <w:pPr>
        <w:pStyle w:val="Indenta"/>
        <w:keepLines/>
        <w:rPr>
          <w:snapToGrid w:val="0"/>
        </w:rPr>
      </w:pPr>
      <w:r>
        <w:rPr>
          <w:snapToGrid w:val="0"/>
        </w:rPr>
        <w:tab/>
        <w:t>(b)</w:t>
      </w:r>
      <w:r>
        <w:rPr>
          <w:snapToGrid w:val="0"/>
        </w:rPr>
        <w:tab/>
        <w:t>a liability to CBC Savings Bank immediately before the appointed day remains a liability to CBC Savings Bank on or after that day,</w:t>
      </w:r>
    </w:p>
    <w:p>
      <w:pPr>
        <w:pStyle w:val="Subsection"/>
        <w:keepLines/>
        <w:rPr>
          <w:snapToGrid w:val="0"/>
        </w:rPr>
      </w:pPr>
      <w:r>
        <w:rPr>
          <w:snapToGrid w:val="0"/>
        </w:rPr>
        <w:tab/>
      </w:r>
      <w:r>
        <w:rPr>
          <w:snapToGrid w:val="0"/>
        </w:rPr>
        <w:tab/>
        <w:t>CBC or CBC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13" w:name="_Toc377393100"/>
      <w:bookmarkStart w:id="14" w:name="_Toc434924805"/>
      <w:r>
        <w:rPr>
          <w:rStyle w:val="CharSectno"/>
        </w:rPr>
        <w:t>6</w:t>
      </w:r>
      <w:r>
        <w:rPr>
          <w:snapToGrid w:val="0"/>
        </w:rPr>
        <w:t>.</w:t>
      </w:r>
      <w:r>
        <w:rPr>
          <w:snapToGrid w:val="0"/>
        </w:rPr>
        <w:tab/>
        <w:t>Transitional provision — CBC</w:t>
      </w:r>
      <w:bookmarkEnd w:id="13"/>
      <w:bookmarkEnd w:id="14"/>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CBC or the continuing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if this Act had not been enacted.</w:t>
      </w:r>
    </w:p>
    <w:p>
      <w:pPr>
        <w:pStyle w:val="Heading5"/>
        <w:rPr>
          <w:snapToGrid w:val="0"/>
        </w:rPr>
      </w:pPr>
      <w:bookmarkStart w:id="15" w:name="_Toc377393101"/>
      <w:bookmarkStart w:id="16" w:name="_Toc434924806"/>
      <w:r>
        <w:rPr>
          <w:rStyle w:val="CharSectno"/>
        </w:rPr>
        <w:t>7</w:t>
      </w:r>
      <w:r>
        <w:rPr>
          <w:snapToGrid w:val="0"/>
        </w:rPr>
        <w:t>.</w:t>
      </w:r>
      <w:r>
        <w:rPr>
          <w:snapToGrid w:val="0"/>
        </w:rPr>
        <w:tab/>
        <w:t>Transitional provision — CBC Savings Bank</w:t>
      </w:r>
      <w:bookmarkEnd w:id="15"/>
      <w:bookmarkEnd w:id="16"/>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pPr>
        <w:pStyle w:val="Indenta"/>
        <w:keepNext/>
        <w:keepLines/>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i"/>
        <w:rPr>
          <w:snapToGrid w:val="0"/>
        </w:rPr>
      </w:pPr>
      <w:r>
        <w:rPr>
          <w:snapToGrid w:val="0"/>
        </w:rPr>
        <w:tab/>
        <w:t>and</w:t>
      </w:r>
    </w:p>
    <w:p>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Savings Bank if this Act had not been enacted.</w:t>
      </w:r>
    </w:p>
    <w:p>
      <w:pPr>
        <w:pStyle w:val="Heading5"/>
        <w:rPr>
          <w:snapToGrid w:val="0"/>
        </w:rPr>
      </w:pPr>
      <w:bookmarkStart w:id="17" w:name="_Toc377393102"/>
      <w:bookmarkStart w:id="18" w:name="_Toc434924807"/>
      <w:r>
        <w:rPr>
          <w:rStyle w:val="CharSectno"/>
        </w:rPr>
        <w:t>8</w:t>
      </w:r>
      <w:r>
        <w:rPr>
          <w:snapToGrid w:val="0"/>
        </w:rPr>
        <w:t>.</w:t>
      </w:r>
      <w:r>
        <w:rPr>
          <w:snapToGrid w:val="0"/>
        </w:rPr>
        <w:tab/>
        <w:t>Assignment and subletting of leases</w:t>
      </w:r>
      <w:bookmarkEnd w:id="17"/>
      <w:bookmarkEnd w:id="18"/>
      <w:r>
        <w:rPr>
          <w:snapToGrid w:val="0"/>
        </w:rPr>
        <w:t xml:space="preserve"> </w:t>
      </w:r>
    </w:p>
    <w:p>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19" w:name="_Toc377393103"/>
      <w:bookmarkStart w:id="20" w:name="_Toc434924808"/>
      <w:r>
        <w:rPr>
          <w:rStyle w:val="CharSectno"/>
        </w:rPr>
        <w:t>9</w:t>
      </w:r>
      <w:r>
        <w:rPr>
          <w:snapToGrid w:val="0"/>
        </w:rPr>
        <w:t>.</w:t>
      </w:r>
      <w:r>
        <w:rPr>
          <w:snapToGrid w:val="0"/>
        </w:rPr>
        <w:tab/>
        <w:t>Continuity of legal proceedings</w:t>
      </w:r>
      <w:bookmarkEnd w:id="19"/>
      <w:bookmarkEnd w:id="20"/>
      <w:r>
        <w:rPr>
          <w:snapToGrid w:val="0"/>
        </w:rPr>
        <w:t xml:space="preserve"> </w:t>
      </w:r>
    </w:p>
    <w:p>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pPr>
        <w:pStyle w:val="Heading5"/>
        <w:rPr>
          <w:snapToGrid w:val="0"/>
        </w:rPr>
      </w:pPr>
      <w:bookmarkStart w:id="21" w:name="_Toc377393104"/>
      <w:bookmarkStart w:id="22" w:name="_Toc434924809"/>
      <w:r>
        <w:rPr>
          <w:rStyle w:val="CharSectno"/>
        </w:rPr>
        <w:t>10</w:t>
      </w:r>
      <w:r>
        <w:rPr>
          <w:snapToGrid w:val="0"/>
        </w:rPr>
        <w:t>.</w:t>
      </w:r>
      <w:r>
        <w:rPr>
          <w:snapToGrid w:val="0"/>
        </w:rPr>
        <w:tab/>
        <w:t>Evidence</w:t>
      </w:r>
      <w:bookmarkEnd w:id="21"/>
      <w:bookmarkEnd w:id="22"/>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23" w:name="_Toc377393105"/>
      <w:bookmarkStart w:id="24" w:name="_Toc434924810"/>
      <w:r>
        <w:rPr>
          <w:rStyle w:val="CharSectno"/>
        </w:rPr>
        <w:t>11</w:t>
      </w:r>
      <w:r>
        <w:rPr>
          <w:snapToGrid w:val="0"/>
        </w:rPr>
        <w:t>.</w:t>
      </w:r>
      <w:r>
        <w:rPr>
          <w:snapToGrid w:val="0"/>
        </w:rPr>
        <w:tab/>
        <w:t>Employees</w:t>
      </w:r>
      <w:bookmarkEnd w:id="23"/>
      <w:bookmarkEnd w:id="24"/>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 </w:t>
      </w:r>
    </w:p>
    <w:p>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CBC; and</w:t>
      </w:r>
    </w:p>
    <w:p>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pPr>
        <w:pStyle w:val="Heading5"/>
        <w:rPr>
          <w:snapToGrid w:val="0"/>
        </w:rPr>
      </w:pPr>
      <w:bookmarkStart w:id="25" w:name="_Toc377393106"/>
      <w:bookmarkStart w:id="26" w:name="_Toc434924811"/>
      <w:r>
        <w:rPr>
          <w:rStyle w:val="CharSectno"/>
        </w:rPr>
        <w:t>12</w:t>
      </w:r>
      <w:r>
        <w:rPr>
          <w:snapToGrid w:val="0"/>
        </w:rPr>
        <w:t>.</w:t>
      </w:r>
      <w:r>
        <w:rPr>
          <w:snapToGrid w:val="0"/>
        </w:rPr>
        <w:tab/>
        <w:t>Appointment of new trustee</w:t>
      </w:r>
      <w:bookmarkEnd w:id="25"/>
      <w:bookmarkEnd w:id="26"/>
      <w:r>
        <w:rPr>
          <w:snapToGrid w:val="0"/>
        </w:rPr>
        <w:t xml:space="preserve"> </w:t>
      </w:r>
    </w:p>
    <w:p>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pPr>
        <w:pStyle w:val="Heading5"/>
        <w:rPr>
          <w:snapToGrid w:val="0"/>
        </w:rPr>
      </w:pPr>
      <w:bookmarkStart w:id="27" w:name="_Toc377393107"/>
      <w:bookmarkStart w:id="28" w:name="_Toc434924812"/>
      <w:r>
        <w:rPr>
          <w:rStyle w:val="CharSectno"/>
        </w:rPr>
        <w:t>13</w:t>
      </w:r>
      <w:r>
        <w:rPr>
          <w:snapToGrid w:val="0"/>
        </w:rPr>
        <w:t>.</w:t>
      </w:r>
      <w:r>
        <w:rPr>
          <w:snapToGrid w:val="0"/>
        </w:rPr>
        <w:tab/>
        <w:t>Transfer of certain shares etc.</w:t>
      </w:r>
      <w:bookmarkEnd w:id="27"/>
      <w:bookmarkEnd w:id="28"/>
      <w:r>
        <w:rPr>
          <w:snapToGrid w:val="0"/>
        </w:rPr>
        <w:t xml:space="preserve"> </w:t>
      </w:r>
    </w:p>
    <w:p>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National Nominees Limited by the operation of section 12.</w:t>
      </w:r>
    </w:p>
    <w:p>
      <w:pPr>
        <w:pStyle w:val="Heading5"/>
        <w:rPr>
          <w:snapToGrid w:val="0"/>
        </w:rPr>
      </w:pPr>
      <w:bookmarkStart w:id="29" w:name="_Toc377393108"/>
      <w:bookmarkStart w:id="30" w:name="_Toc434924813"/>
      <w:r>
        <w:rPr>
          <w:rStyle w:val="CharSectno"/>
        </w:rPr>
        <w:t>14</w:t>
      </w:r>
      <w:r>
        <w:rPr>
          <w:snapToGrid w:val="0"/>
        </w:rPr>
        <w:t>.</w:t>
      </w:r>
      <w:r>
        <w:rPr>
          <w:snapToGrid w:val="0"/>
        </w:rPr>
        <w:tab/>
        <w:t>Registration authority to give effect</w:t>
      </w:r>
      <w:bookmarkEnd w:id="29"/>
      <w:bookmarkEnd w:id="30"/>
      <w:r>
        <w:rPr>
          <w:snapToGrid w:val="0"/>
        </w:rPr>
        <w:t xml:space="preserve"> </w:t>
      </w:r>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31" w:name="_Toc377393109"/>
      <w:bookmarkStart w:id="32" w:name="_Toc434924814"/>
      <w:r>
        <w:rPr>
          <w:rStyle w:val="CharSectno"/>
        </w:rPr>
        <w:t>15</w:t>
      </w:r>
      <w:r>
        <w:rPr>
          <w:snapToGrid w:val="0"/>
        </w:rPr>
        <w:t>.</w:t>
      </w:r>
      <w:r>
        <w:rPr>
          <w:snapToGrid w:val="0"/>
        </w:rPr>
        <w:tab/>
        <w:t>Company charges</w:t>
      </w:r>
      <w:bookmarkEnd w:id="31"/>
      <w:bookmarkEnd w:id="32"/>
      <w:r>
        <w:rPr>
          <w:snapToGrid w:val="0"/>
        </w:rPr>
        <w:t xml:space="preserve"> </w:t>
      </w:r>
    </w:p>
    <w:p>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pPr>
        <w:pStyle w:val="Heading5"/>
        <w:rPr>
          <w:snapToGrid w:val="0"/>
        </w:rPr>
      </w:pPr>
      <w:bookmarkStart w:id="33" w:name="_Toc377393110"/>
      <w:bookmarkStart w:id="34" w:name="_Toc434924815"/>
      <w:r>
        <w:rPr>
          <w:rStyle w:val="CharSectno"/>
        </w:rPr>
        <w:t>16</w:t>
      </w:r>
      <w:r>
        <w:rPr>
          <w:snapToGrid w:val="0"/>
        </w:rPr>
        <w:t>.</w:t>
      </w:r>
      <w:r>
        <w:rPr>
          <w:snapToGrid w:val="0"/>
        </w:rPr>
        <w:tab/>
        <w:t>Protection of persons in respect of dealings with certain assets</w:t>
      </w:r>
      <w:bookmarkEnd w:id="33"/>
      <w:bookmarkEnd w:id="34"/>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the continuing bank or CBC (in any capacity whatsoever); or</w:t>
      </w:r>
    </w:p>
    <w:p>
      <w:pPr>
        <w:pStyle w:val="Indenta"/>
        <w:rPr>
          <w:snapToGrid w:val="0"/>
        </w:rPr>
      </w:pPr>
      <w:r>
        <w:rPr>
          <w:snapToGrid w:val="0"/>
        </w:rPr>
        <w:tab/>
        <w:t>(b)</w:t>
      </w:r>
      <w:r>
        <w:rPr>
          <w:snapToGrid w:val="0"/>
        </w:rPr>
        <w:tab/>
        <w:t>with the continuing savings bank or CBC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5" w:name="_Toc377393111"/>
      <w:bookmarkStart w:id="36" w:name="_Toc424552232"/>
      <w:bookmarkStart w:id="37" w:name="_Toc434924816"/>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Banking Company of Sydney Limited (Merger)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7393112"/>
      <w:bookmarkStart w:id="39" w:name="_Toc434924817"/>
      <w:r>
        <w:rPr>
          <w:snapToGrid w:val="0"/>
        </w:rPr>
        <w:t>Compilation table</w:t>
      </w:r>
      <w:bookmarkEnd w:id="38"/>
      <w:bookmarkEnd w:id="3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gridSpan w:val="2"/>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The Commercial Banking Company of Sydney Limited (Merger) Act 1982</w:t>
            </w:r>
          </w:p>
        </w:tc>
        <w:tc>
          <w:tcPr>
            <w:tcW w:w="1133" w:type="dxa"/>
            <w:tcBorders>
              <w:top w:val="single" w:sz="8" w:space="0" w:color="auto"/>
              <w:bottom w:val="nil"/>
            </w:tcBorders>
          </w:tcPr>
          <w:p>
            <w:pPr>
              <w:pStyle w:val="nTable"/>
              <w:spacing w:after="40"/>
            </w:pPr>
            <w:r>
              <w:t>54 of 1982</w:t>
            </w:r>
          </w:p>
        </w:tc>
        <w:tc>
          <w:tcPr>
            <w:tcW w:w="1131" w:type="dxa"/>
            <w:tcBorders>
              <w:top w:val="single" w:sz="8" w:space="0" w:color="auto"/>
              <w:bottom w:val="nil"/>
            </w:tcBorders>
          </w:tcPr>
          <w:p>
            <w:pPr>
              <w:pStyle w:val="nTable"/>
              <w:spacing w:after="40"/>
            </w:pPr>
            <w:r>
              <w:t>27 Aug 1982</w:t>
            </w:r>
          </w:p>
        </w:tc>
        <w:tc>
          <w:tcPr>
            <w:tcW w:w="2556" w:type="dxa"/>
            <w:gridSpan w:val="2"/>
            <w:tcBorders>
              <w:top w:val="single" w:sz="8" w:space="0" w:color="auto"/>
              <w:bottom w:val="nil"/>
            </w:tcBorders>
          </w:tcPr>
          <w:p>
            <w:pPr>
              <w:pStyle w:val="nTable"/>
              <w:spacing w:after="40"/>
            </w:pPr>
            <w:r>
              <w:t xml:space="preserve">1 Jan 1983 (see s. 2 and </w:t>
            </w:r>
            <w:r>
              <w:rPr>
                <w:i/>
              </w:rPr>
              <w:t>Gazette</w:t>
            </w:r>
            <w:r>
              <w:t xml:space="preserve"> 15 Oct 1982 p. 4057)</w:t>
            </w:r>
          </w:p>
        </w:tc>
      </w:tr>
      <w:tr>
        <w:trPr>
          <w:cantSplit/>
        </w:trPr>
        <w:tc>
          <w:tcPr>
            <w:tcW w:w="7082" w:type="dxa"/>
            <w:gridSpan w:val="5"/>
            <w:tcBorders>
              <w:top w:val="nil"/>
              <w:bottom w:val="nil"/>
            </w:tcBorders>
          </w:tcPr>
          <w:p>
            <w:pPr>
              <w:pStyle w:val="nTable"/>
              <w:spacing w:after="40"/>
              <w:rPr>
                <w:b/>
                <w:bCs/>
              </w:rPr>
            </w:pPr>
            <w:r>
              <w:rPr>
                <w:b/>
                <w:bCs/>
                <w:iCs/>
              </w:rPr>
              <w:t xml:space="preserve">Reprint 1:  </w:t>
            </w:r>
            <w:r>
              <w:rPr>
                <w:b/>
                <w:bCs/>
                <w:i/>
              </w:rPr>
              <w:t>The Commercial Banking Company of Sydney Limited (Merger) Act 1982</w:t>
            </w:r>
            <w:r>
              <w:rPr>
                <w:b/>
                <w:bCs/>
                <w:iCs/>
              </w:rPr>
              <w:t xml:space="preserve">  as at 7 Sep 2007</w:t>
            </w:r>
          </w:p>
        </w:tc>
      </w:tr>
      <w:tr>
        <w:tblPrEx>
          <w:tblBorders>
            <w:top w:val="none" w:sz="0" w:space="0" w:color="auto"/>
            <w:bottom w:val="none" w:sz="0" w:space="0" w:color="auto"/>
            <w:insideH w:val="none" w:sz="0" w:space="0" w:color="auto"/>
          </w:tblBorders>
        </w:tblPrEx>
        <w:trPr>
          <w:gridAfter w:val="1"/>
          <w:wAfter w:w="16" w:type="dxa"/>
          <w:cantSplit/>
        </w:trPr>
        <w:tc>
          <w:tcPr>
            <w:tcW w:w="2266"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50</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1" w:name="_Toc434924818"/>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bankers’ books</w:t>
      </w:r>
      <w:r>
        <w:tab/>
        <w:t>10(3)</w:t>
      </w:r>
    </w:p>
    <w:p>
      <w:pPr>
        <w:pStyle w:val="DefinedTerms"/>
      </w:pPr>
      <w:r>
        <w:t>CBC</w:t>
      </w:r>
      <w:r>
        <w:tab/>
        <w:t>3</w:t>
      </w:r>
    </w:p>
    <w:p>
      <w:pPr>
        <w:pStyle w:val="DefinedTerms"/>
      </w:pPr>
      <w:r>
        <w:t>CBC Savings Bank</w:t>
      </w:r>
      <w:r>
        <w:tab/>
        <w:t>3</w:t>
      </w:r>
    </w:p>
    <w:p>
      <w:pPr>
        <w:pStyle w:val="DefinedTerms"/>
      </w:pPr>
      <w:r>
        <w:t>corporation</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prescribed securities</w:t>
      </w:r>
      <w:r>
        <w:tab/>
        <w:t>3</w:t>
      </w:r>
    </w:p>
    <w:p>
      <w:pPr>
        <w:pStyle w:val="DefinedTerms"/>
      </w:pPr>
      <w:r>
        <w:t>property</w:t>
      </w:r>
      <w:r>
        <w:tab/>
        <w:t>3</w:t>
      </w:r>
    </w:p>
    <w:p>
      <w:pPr>
        <w:pStyle w:val="DefinedTerms"/>
      </w:pPr>
      <w:r>
        <w:t>rights</w:t>
      </w:r>
      <w:r>
        <w:tab/>
        <w:t>3</w:t>
      </w:r>
    </w:p>
    <w:p>
      <w:pPr>
        <w:pStyle w:val="DefinedTerms"/>
      </w:pPr>
      <w:r>
        <w:t>security</w:t>
      </w:r>
      <w:r>
        <w:tab/>
        <w:t>3</w:t>
      </w:r>
    </w:p>
    <w:p>
      <w:pPr>
        <w:pStyle w:val="DefinedTerms"/>
      </w:pPr>
      <w:r>
        <w:t>the appointed day</w:t>
      </w:r>
      <w:r>
        <w:tab/>
        <w:t>3</w:t>
      </w:r>
    </w:p>
    <w:p>
      <w:pPr>
        <w:pStyle w:val="DefinedTerms"/>
      </w:pPr>
      <w:r>
        <w:t>the continuing bank</w:t>
      </w:r>
      <w:r>
        <w:tab/>
        <w:t>3</w:t>
      </w:r>
    </w:p>
    <w:p>
      <w:pPr>
        <w:pStyle w:val="DefinedTerms"/>
      </w:pPr>
      <w:r>
        <w:t>the continuing savings bank</w:t>
      </w:r>
      <w:r>
        <w:tab/>
        <w:t>3</w:t>
      </w:r>
    </w:p>
    <w:p>
      <w:pPr>
        <w:pStyle w:val="DefinedTerms"/>
      </w:pPr>
      <w:r>
        <w:t>transferred employee</w:t>
      </w:r>
      <w:r>
        <w:tab/>
        <w:t>3</w:t>
      </w:r>
    </w:p>
    <w:p>
      <w:pPr>
        <w:pStyle w:val="DefinedTerms"/>
      </w:pPr>
      <w:r>
        <w:t>undertaking</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Commercial Banking Company of Sydney Limited (Merger)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Commercial Banking Company of Sydney Limited (Merger)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Commercial Banking Company of Sydney Limited (Merger)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Commercial Banking Company of Sydney Limited (Merger)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0D8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87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E05C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7AF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2034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76A4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96FD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1449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06AC7C"/>
    <w:lvl w:ilvl="0">
      <w:start w:val="1"/>
      <w:numFmt w:val="decimal"/>
      <w:pStyle w:val="ListNumber"/>
      <w:lvlText w:val="%1."/>
      <w:lvlJc w:val="left"/>
      <w:pPr>
        <w:tabs>
          <w:tab w:val="num" w:pos="360"/>
        </w:tabs>
        <w:ind w:left="360" w:hanging="360"/>
      </w:pPr>
    </w:lvl>
  </w:abstractNum>
  <w:abstractNum w:abstractNumId="9">
    <w:nsid w:val="FFFFFF89"/>
    <w:multiLevelType w:val="singleLevel"/>
    <w:tmpl w:val="47CCE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A8A3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05"/>
    <w:docVar w:name="WAFER_20140113145922" w:val="RemoveTocBookmarks,RemoveUnusedBookmarks,RemoveLanguageTags,UsedStyles,ResetPageSize,UpdateArrangement"/>
    <w:docVar w:name="WAFER_20140113145922_GUID" w:val="bf544361-54bf-4d27-a521-49c696cca579"/>
    <w:docVar w:name="WAFER_20140113160913" w:val="RemoveTocBookmarks,RunningHeaders"/>
    <w:docVar w:name="WAFER_20140113160913_GUID" w:val="6c87fe87-6bcd-4051-b5bf-e2bb18b6e7c4"/>
    <w:docVar w:name="WAFER_20140113160943" w:val="RemoveTocBookmarks,RunningHeaders"/>
    <w:docVar w:name="WAFER_20140113160943_GUID" w:val="cc68e531-5f16-4b4a-819d-95ab595fefea"/>
    <w:docVar w:name="WAFER_20140113161000" w:val="RemoveTocBookmarks,RunningHeaders"/>
    <w:docVar w:name="WAFER_20140113161000_GUID" w:val="25b8c8a9-ca98-4999-9e7c-215cd5f04622"/>
    <w:docVar w:name="WAFER_20150713115235" w:val="ResetPageSize,UpdateArrangement,UpdateNTable"/>
    <w:docVar w:name="WAFER_20150713115235_GUID" w:val="92d17895-26eb-4de4-aadf-eb0280b24937"/>
    <w:docVar w:name="WAFER_20151110125421" w:val="UpdateStyles,UsedStyles"/>
    <w:docVar w:name="WAFER_20151110125421_GUID" w:val="9c31db71-d816-49c7-9fff-13847bb0b6a7"/>
    <w:docVar w:name="WAFER_20151201135305" w:val="RemoveTrackChanges"/>
    <w:docVar w:name="WAFER_20151201135305_GUID" w:val="99aa2736-a462-4e3e-bd30-fc5fdf415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5445</Words>
  <Characters>26409</Characters>
  <Application>Microsoft Office Word</Application>
  <DocSecurity>0</DocSecurity>
  <Lines>694</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1982 - 01-c0-07</dc:title>
  <dc:subject/>
  <dc:creator/>
  <cp:keywords/>
  <dc:description/>
  <cp:lastModifiedBy>svcMRProcess</cp:lastModifiedBy>
  <cp:revision>4</cp:revision>
  <cp:lastPrinted>2007-08-14T03:55:00Z</cp:lastPrinted>
  <dcterms:created xsi:type="dcterms:W3CDTF">2019-01-23T08:22:00Z</dcterms:created>
  <dcterms:modified xsi:type="dcterms:W3CDTF">2019-01-23T08:23:00Z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AsAtDate">
    <vt:lpwstr>11 Sep 2010</vt:lpwstr>
  </property>
  <property fmtid="{D5CDD505-2E9C-101B-9397-08002B2CF9AE}" pid="9" name="Suffix">
    <vt:lpwstr>01-c0-07</vt:lpwstr>
  </property>
</Properties>
</file>