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Royal Commissions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Royal Commissions Act 1968</w:t>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_Toc139965790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_Toc139965791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_Toc139965792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_Toc139965793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Power to appoint Commission</w:t>
      </w:r>
      <w:r>
        <w:tab/>
      </w:r>
      <w:r>
        <w:fldChar w:fldCharType="begin"/>
      </w:r>
      <w:r>
        <w:instrText xml:space="preserve"> PAGEREF _Toc139965794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Chairman</w:t>
      </w:r>
      <w:r>
        <w:tab/>
      </w:r>
      <w:r>
        <w:fldChar w:fldCharType="begin"/>
      </w:r>
      <w:r>
        <w:instrText xml:space="preserve"> PAGEREF _Toc139965795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Powers of Commission</w:t>
      </w:r>
      <w:r>
        <w:tab/>
      </w:r>
      <w:r>
        <w:fldChar w:fldCharType="begin"/>
      </w:r>
      <w:r>
        <w:instrText xml:space="preserve"> PAGEREF _Toc139965796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Select Committee appointed as a Royal Commission</w:t>
      </w:r>
      <w:r>
        <w:tab/>
      </w:r>
      <w:r>
        <w:fldChar w:fldCharType="begin"/>
      </w:r>
      <w:r>
        <w:instrText xml:space="preserve"> PAGEREF _Toc139965797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summon witnesses and documents</w:t>
      </w:r>
      <w:r>
        <w:tab/>
      </w:r>
      <w:r>
        <w:fldChar w:fldCharType="begin"/>
      </w:r>
      <w:r>
        <w:instrText xml:space="preserve"> PAGEREF _Toc139965798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Duty of witness to continue in attendance</w:t>
      </w:r>
      <w:r>
        <w:tab/>
      </w:r>
      <w:r>
        <w:fldChar w:fldCharType="begin"/>
      </w:r>
      <w:r>
        <w:instrText xml:space="preserve"> PAGEREF _Toc139965799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Power to examine on oath</w:t>
      </w:r>
      <w:r>
        <w:tab/>
      </w:r>
      <w:r>
        <w:fldChar w:fldCharType="begin"/>
      </w:r>
      <w:r>
        <w:instrText xml:space="preserve"> PAGEREF _Toc139965800 \h </w:instrText>
      </w:r>
      <w:r>
        <w:fldChar w:fldCharType="separate"/>
      </w:r>
      <w:r>
        <w:t>3</w:t>
      </w:r>
      <w:r>
        <w:fldChar w:fldCharType="end"/>
      </w:r>
    </w:p>
    <w:p>
      <w:pPr>
        <w:pStyle w:val="TOC8"/>
        <w:rPr>
          <w:sz w:val="24"/>
          <w:szCs w:val="24"/>
        </w:rPr>
      </w:pPr>
      <w:r>
        <w:rPr>
          <w:szCs w:val="24"/>
        </w:rPr>
        <w:t>12</w:t>
      </w:r>
      <w:r>
        <w:rPr>
          <w:snapToGrid w:val="0"/>
          <w:szCs w:val="24"/>
        </w:rPr>
        <w:t>.</w:t>
      </w:r>
      <w:r>
        <w:rPr>
          <w:snapToGrid w:val="0"/>
          <w:szCs w:val="24"/>
        </w:rPr>
        <w:tab/>
        <w:t>Affirmation in lieu of oath</w:t>
      </w:r>
      <w:r>
        <w:tab/>
      </w:r>
      <w:r>
        <w:fldChar w:fldCharType="begin"/>
      </w:r>
      <w:r>
        <w:instrText xml:space="preserve"> PAGEREF _Toc139965801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Penalty for failing to attend or produce documents</w:t>
      </w:r>
      <w:r>
        <w:tab/>
      </w:r>
      <w:r>
        <w:fldChar w:fldCharType="begin"/>
      </w:r>
      <w:r>
        <w:instrText xml:space="preserve"> PAGEREF _Toc139965802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Penalty for refusing to be sworn or to give evidence</w:t>
      </w:r>
      <w:r>
        <w:tab/>
      </w:r>
      <w:r>
        <w:fldChar w:fldCharType="begin"/>
      </w:r>
      <w:r>
        <w:instrText xml:space="preserve"> PAGEREF _Toc139965803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Arrest of witness failing to appear</w:t>
      </w:r>
      <w:r>
        <w:tab/>
      </w:r>
      <w:r>
        <w:fldChar w:fldCharType="begin"/>
      </w:r>
      <w:r>
        <w:instrText xml:space="preserve"> PAGEREF _Toc139965804 \h </w:instrText>
      </w:r>
      <w:r>
        <w:fldChar w:fldCharType="separate"/>
      </w:r>
      <w:r>
        <w:t>5</w:t>
      </w:r>
      <w:r>
        <w:fldChar w:fldCharType="end"/>
      </w:r>
    </w:p>
    <w:p>
      <w:pPr>
        <w:pStyle w:val="TOC8"/>
        <w:rPr>
          <w:sz w:val="24"/>
          <w:szCs w:val="24"/>
        </w:rPr>
      </w:pPr>
      <w:r>
        <w:rPr>
          <w:szCs w:val="24"/>
        </w:rPr>
        <w:t>17</w:t>
      </w:r>
      <w:r>
        <w:rPr>
          <w:snapToGrid w:val="0"/>
          <w:szCs w:val="24"/>
        </w:rPr>
        <w:t>.</w:t>
      </w:r>
      <w:r>
        <w:rPr>
          <w:snapToGrid w:val="0"/>
          <w:szCs w:val="24"/>
        </w:rPr>
        <w:tab/>
        <w:t>Appeal against apprehension</w:t>
      </w:r>
      <w:r>
        <w:tab/>
      </w:r>
      <w:r>
        <w:fldChar w:fldCharType="begin"/>
      </w:r>
      <w:r>
        <w:instrText xml:space="preserve"> PAGEREF _Toc139965805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Search warrants</w:t>
      </w:r>
      <w:r>
        <w:tab/>
      </w:r>
      <w:r>
        <w:fldChar w:fldCharType="begin"/>
      </w:r>
      <w:r>
        <w:instrText xml:space="preserve"> PAGEREF _Toc139965806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Nondisclosure of secret process — evidence in private</w:t>
      </w:r>
      <w:r>
        <w:tab/>
      </w:r>
      <w:r>
        <w:fldChar w:fldCharType="begin"/>
      </w:r>
      <w:r>
        <w:instrText xml:space="preserve"> PAGEREF _Toc139965807 \h </w:instrText>
      </w:r>
      <w:r>
        <w:fldChar w:fldCharType="separate"/>
      </w:r>
      <w:r>
        <w:t>8</w:t>
      </w:r>
      <w:r>
        <w:fldChar w:fldCharType="end"/>
      </w:r>
    </w:p>
    <w:p>
      <w:pPr>
        <w:pStyle w:val="TOC8"/>
        <w:rPr>
          <w:sz w:val="24"/>
          <w:szCs w:val="24"/>
        </w:rPr>
      </w:pPr>
      <w:r>
        <w:rPr>
          <w:szCs w:val="24"/>
        </w:rPr>
        <w:t>19A</w:t>
      </w:r>
      <w:r>
        <w:rPr>
          <w:snapToGrid w:val="0"/>
          <w:szCs w:val="24"/>
        </w:rPr>
        <w:t>.</w:t>
      </w:r>
      <w:r>
        <w:rPr>
          <w:snapToGrid w:val="0"/>
          <w:szCs w:val="24"/>
        </w:rPr>
        <w:tab/>
        <w:t>General provisions as to private hearings</w:t>
      </w:r>
      <w:r>
        <w:tab/>
      </w:r>
      <w:r>
        <w:fldChar w:fldCharType="begin"/>
      </w:r>
      <w:r>
        <w:instrText xml:space="preserve"> PAGEREF _Toc139965808 \h </w:instrText>
      </w:r>
      <w:r>
        <w:fldChar w:fldCharType="separate"/>
      </w:r>
      <w:r>
        <w:t>9</w:t>
      </w:r>
      <w:r>
        <w:fldChar w:fldCharType="end"/>
      </w:r>
    </w:p>
    <w:p>
      <w:pPr>
        <w:pStyle w:val="TOC8"/>
        <w:rPr>
          <w:sz w:val="24"/>
          <w:szCs w:val="24"/>
        </w:rPr>
      </w:pPr>
      <w:r>
        <w:rPr>
          <w:szCs w:val="24"/>
        </w:rPr>
        <w:t>19B</w:t>
      </w:r>
      <w:r>
        <w:rPr>
          <w:snapToGrid w:val="0"/>
          <w:szCs w:val="24"/>
        </w:rPr>
        <w:t>.</w:t>
      </w:r>
      <w:r>
        <w:rPr>
          <w:snapToGrid w:val="0"/>
          <w:szCs w:val="24"/>
        </w:rPr>
        <w:tab/>
        <w:t>Restriction of publication of documents etc.</w:t>
      </w:r>
      <w:r>
        <w:tab/>
      </w:r>
      <w:r>
        <w:fldChar w:fldCharType="begin"/>
      </w:r>
      <w:r>
        <w:instrText xml:space="preserve"> PAGEREF _Toc139965809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Statements made by witness not admissible in evidence against him</w:t>
      </w:r>
      <w:r>
        <w:tab/>
      </w:r>
      <w:r>
        <w:fldChar w:fldCharType="begin"/>
      </w:r>
      <w:r>
        <w:instrText xml:space="preserve"> PAGEREF _Toc139965810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Power of Commission in relation to documents produced</w:t>
      </w:r>
      <w:r>
        <w:tab/>
      </w:r>
      <w:r>
        <w:fldChar w:fldCharType="begin"/>
      </w:r>
      <w:r>
        <w:instrText xml:space="preserve"> PAGEREF _Toc139965811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Examination of witnesses by counsel, etc.</w:t>
      </w:r>
      <w:r>
        <w:tab/>
      </w:r>
      <w:r>
        <w:fldChar w:fldCharType="begin"/>
      </w:r>
      <w:r>
        <w:instrText xml:space="preserve"> PAGEREF _Toc139965812 \h </w:instrText>
      </w:r>
      <w:r>
        <w:fldChar w:fldCharType="separate"/>
      </w:r>
      <w:r>
        <w:t>10</w:t>
      </w:r>
      <w:r>
        <w:fldChar w:fldCharType="end"/>
      </w:r>
    </w:p>
    <w:p>
      <w:pPr>
        <w:pStyle w:val="TOC8"/>
        <w:rPr>
          <w:sz w:val="24"/>
          <w:szCs w:val="24"/>
        </w:rPr>
      </w:pPr>
      <w:r>
        <w:rPr>
          <w:szCs w:val="24"/>
        </w:rPr>
        <w:lastRenderedPageBreak/>
        <w:t>23</w:t>
      </w:r>
      <w:r>
        <w:rPr>
          <w:snapToGrid w:val="0"/>
          <w:szCs w:val="24"/>
        </w:rPr>
        <w:t>.</w:t>
      </w:r>
      <w:r>
        <w:rPr>
          <w:snapToGrid w:val="0"/>
          <w:szCs w:val="24"/>
        </w:rPr>
        <w:tab/>
        <w:t>Payment of witnesses</w:t>
      </w:r>
      <w:r>
        <w:tab/>
      </w:r>
      <w:r>
        <w:fldChar w:fldCharType="begin"/>
      </w:r>
      <w:r>
        <w:instrText xml:space="preserve"> PAGEREF _Toc139965813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Giving false testimony</w:t>
      </w:r>
      <w:r>
        <w:tab/>
      </w:r>
      <w:r>
        <w:fldChar w:fldCharType="begin"/>
      </w:r>
      <w:r>
        <w:instrText xml:space="preserve"> PAGEREF _Toc139965814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Bribery of witness</w:t>
      </w:r>
      <w:r>
        <w:tab/>
      </w:r>
      <w:r>
        <w:fldChar w:fldCharType="begin"/>
      </w:r>
      <w:r>
        <w:instrText xml:space="preserve"> PAGEREF _Toc139965815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Fraud on witness</w:t>
      </w:r>
      <w:r>
        <w:tab/>
      </w:r>
      <w:r>
        <w:fldChar w:fldCharType="begin"/>
      </w:r>
      <w:r>
        <w:instrText xml:space="preserve"> PAGEREF _Toc139965816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Destroying books or documents</w:t>
      </w:r>
      <w:r>
        <w:tab/>
      </w:r>
      <w:r>
        <w:fldChar w:fldCharType="begin"/>
      </w:r>
      <w:r>
        <w:instrText xml:space="preserve"> PAGEREF _Toc139965817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Preventing witness from attending</w:t>
      </w:r>
      <w:r>
        <w:tab/>
      </w:r>
      <w:r>
        <w:fldChar w:fldCharType="begin"/>
      </w:r>
      <w:r>
        <w:instrText xml:space="preserve"> PAGEREF _Toc139965818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Injury to witness</w:t>
      </w:r>
      <w:r>
        <w:tab/>
      </w:r>
      <w:r>
        <w:fldChar w:fldCharType="begin"/>
      </w:r>
      <w:r>
        <w:instrText xml:space="preserve"> PAGEREF _Toc139965819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Dismissal by employers of witness</w:t>
      </w:r>
      <w:r>
        <w:tab/>
      </w:r>
      <w:r>
        <w:fldChar w:fldCharType="begin"/>
      </w:r>
      <w:r>
        <w:instrText xml:space="preserve"> PAGEREF _Toc139965820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Protection to Commissioners, witnesses, persons appearing</w:t>
      </w:r>
      <w:r>
        <w:tab/>
      </w:r>
      <w:r>
        <w:fldChar w:fldCharType="begin"/>
      </w:r>
      <w:r>
        <w:instrText xml:space="preserve"> PAGEREF _Toc139965821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Proceedings for defamation not to lie</w:t>
      </w:r>
      <w:r>
        <w:tab/>
      </w:r>
      <w:r>
        <w:fldChar w:fldCharType="begin"/>
      </w:r>
      <w:r>
        <w:instrText xml:space="preserve"> PAGEREF _Toc139965822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Privilege, protection or immunity not limited or abridged</w:t>
      </w:r>
      <w:r>
        <w:tab/>
      </w:r>
      <w:r>
        <w:fldChar w:fldCharType="begin"/>
      </w:r>
      <w:r>
        <w:instrText xml:space="preserve"> PAGEREF _Toc139965823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Evidence of appointment to be a Commission</w:t>
      </w:r>
      <w:r>
        <w:tab/>
      </w:r>
      <w:r>
        <w:fldChar w:fldCharType="begin"/>
      </w:r>
      <w:r>
        <w:instrText xml:space="preserve"> PAGEREF _Toc139965824 \h </w:instrText>
      </w:r>
      <w:r>
        <w:fldChar w:fldCharType="separate"/>
      </w:r>
      <w:r>
        <w:t>14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_Toc139965826 \h </w:instrText>
      </w:r>
      <w:r>
        <w:fldChar w:fldCharType="separate"/>
      </w:r>
      <w:r>
        <w:t>15</w:t>
      </w:r>
      <w:r>
        <w:fldChar w:fldCharType="end"/>
      </w:r>
    </w:p>
    <w:p>
      <w:pPr>
        <w:pStyle w:val="TOC8"/>
        <w:rPr>
          <w:sz w:val="24"/>
        </w:rPr>
      </w:pPr>
      <w:r>
        <w:rPr>
          <w:snapToGrid w:val="0"/>
        </w:rPr>
        <w:tab/>
        <w:t>Provisions that have not come into operation</w:t>
      </w:r>
      <w:r>
        <w:tab/>
      </w:r>
      <w:r>
        <w:fldChar w:fldCharType="begin"/>
      </w:r>
      <w:r>
        <w:instrText xml:space="preserve"> PAGEREF _Toc139965827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Royal Commissions Act 1968 </w:t>
      </w:r>
    </w:p>
    <w:p>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2" w:name="_Toc411747454"/>
      <w:bookmarkStart w:id="3" w:name="_Toc523538931"/>
      <w:bookmarkStart w:id="4" w:name="_Toc525025951"/>
      <w:bookmarkStart w:id="5" w:name="_Toc103142992"/>
      <w:bookmarkStart w:id="6" w:name="_Toc13996579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7" w:name="_Toc411747455"/>
      <w:bookmarkStart w:id="8" w:name="_Toc523538932"/>
      <w:bookmarkStart w:id="9" w:name="_Toc525025952"/>
      <w:bookmarkStart w:id="10" w:name="_Toc103142993"/>
      <w:bookmarkStart w:id="11" w:name="_Toc139965791"/>
      <w:r>
        <w:rPr>
          <w:rStyle w:val="CharSectno"/>
        </w:rPr>
        <w:t>2</w:t>
      </w:r>
      <w:r>
        <w:rPr>
          <w:snapToGrid w:val="0"/>
        </w:rPr>
        <w:t>.</w:t>
      </w:r>
      <w:r>
        <w:rPr>
          <w:snapToGrid w:val="0"/>
        </w:rPr>
        <w:tab/>
        <w:t>Repeal</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is repealed.</w:t>
      </w:r>
    </w:p>
    <w:p>
      <w:pPr>
        <w:pStyle w:val="Heading5"/>
        <w:rPr>
          <w:snapToGrid w:val="0"/>
        </w:rPr>
      </w:pPr>
      <w:bookmarkStart w:id="12" w:name="_Toc411747456"/>
      <w:bookmarkStart w:id="13" w:name="_Toc523538933"/>
      <w:bookmarkStart w:id="14" w:name="_Toc525025953"/>
      <w:bookmarkStart w:id="15" w:name="_Toc103142994"/>
      <w:bookmarkStart w:id="16" w:name="_Toc139965792"/>
      <w:r>
        <w:rPr>
          <w:rStyle w:val="CharSectno"/>
        </w:rPr>
        <w:t>3</w:t>
      </w:r>
      <w:r>
        <w:rPr>
          <w:snapToGrid w:val="0"/>
        </w:rPr>
        <w:t>.</w:t>
      </w:r>
      <w:r>
        <w:rPr>
          <w:snapToGrid w:val="0"/>
        </w:rPr>
        <w:tab/>
        <w:t>Application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7" w:name="_Toc411747457"/>
      <w:bookmarkStart w:id="18" w:name="_Toc523538934"/>
      <w:bookmarkStart w:id="19" w:name="_Toc525025954"/>
      <w:bookmarkStart w:id="20" w:name="_Toc103142995"/>
      <w:bookmarkStart w:id="21" w:name="_Toc139965793"/>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t>“</w:t>
      </w:r>
      <w:r>
        <w:rPr>
          <w:rStyle w:val="CharDefText"/>
        </w:rPr>
        <w:t>Chairman</w:t>
      </w:r>
      <w:r>
        <w:rPr>
          <w:b/>
        </w:rPr>
        <w:t>”</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pPr>
        <w:pStyle w:val="Defstart"/>
      </w:pPr>
      <w:r>
        <w:rPr>
          <w:b/>
        </w:rPr>
        <w:tab/>
        <w:t>“</w:t>
      </w:r>
      <w:r>
        <w:rPr>
          <w:rStyle w:val="CharDefText"/>
        </w:rPr>
        <w:t>Commissioner</w:t>
      </w:r>
      <w:r>
        <w:rPr>
          <w:b/>
        </w:rPr>
        <w:t>”</w:t>
      </w:r>
      <w:r>
        <w:t xml:space="preserve"> means a person appointed to be a Commission or to be a member of a Commission;</w:t>
      </w:r>
    </w:p>
    <w:p>
      <w:pPr>
        <w:pStyle w:val="Defstart"/>
      </w:pPr>
      <w:r>
        <w:rPr>
          <w:b/>
        </w:rPr>
        <w:tab/>
        <w:t>“</w:t>
      </w:r>
      <w:r>
        <w:rPr>
          <w:rStyle w:val="CharDefText"/>
        </w:rPr>
        <w:t>documents</w:t>
      </w:r>
      <w:r>
        <w:rPr>
          <w:b/>
        </w:rPr>
        <w:t>”</w:t>
      </w:r>
      <w:r>
        <w:t xml:space="preserve"> includes things that are documents within the meaning of section 79B of the </w:t>
      </w:r>
      <w:r>
        <w:rPr>
          <w:i/>
        </w:rPr>
        <w:t>Evidence Act 1906</w:t>
      </w:r>
      <w:r>
        <w:t>.</w:t>
      </w:r>
    </w:p>
    <w:p>
      <w:pPr>
        <w:pStyle w:val="Footnotesection"/>
      </w:pPr>
      <w:r>
        <w:tab/>
        <w:t xml:space="preserve">[Section 4 amended by No. 72 of 1990 s. 4; No. 3 of 1991 s. 4.] </w:t>
      </w:r>
    </w:p>
    <w:p>
      <w:pPr>
        <w:pStyle w:val="Heading5"/>
        <w:rPr>
          <w:snapToGrid w:val="0"/>
        </w:rPr>
      </w:pPr>
      <w:bookmarkStart w:id="22" w:name="_Toc411747458"/>
      <w:bookmarkStart w:id="23" w:name="_Toc523538935"/>
      <w:bookmarkStart w:id="24" w:name="_Toc525025955"/>
      <w:bookmarkStart w:id="25" w:name="_Toc103142996"/>
      <w:bookmarkStart w:id="26" w:name="_Toc139965794"/>
      <w:r>
        <w:rPr>
          <w:rStyle w:val="CharSectno"/>
        </w:rPr>
        <w:t>5</w:t>
      </w:r>
      <w:r>
        <w:rPr>
          <w:snapToGrid w:val="0"/>
        </w:rPr>
        <w:t>.</w:t>
      </w:r>
      <w:r>
        <w:rPr>
          <w:snapToGrid w:val="0"/>
        </w:rPr>
        <w:tab/>
        <w:t>Power to appoint Commission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27" w:name="_Toc411747459"/>
      <w:bookmarkStart w:id="28" w:name="_Toc523538936"/>
      <w:bookmarkStart w:id="29" w:name="_Toc525025956"/>
      <w:bookmarkStart w:id="30" w:name="_Toc103142997"/>
      <w:bookmarkStart w:id="31" w:name="_Toc139965795"/>
      <w:r>
        <w:rPr>
          <w:rStyle w:val="CharSectno"/>
        </w:rPr>
        <w:t>6</w:t>
      </w:r>
      <w:r>
        <w:rPr>
          <w:snapToGrid w:val="0"/>
        </w:rPr>
        <w:t>.</w:t>
      </w:r>
      <w:r>
        <w:rPr>
          <w:snapToGrid w:val="0"/>
        </w:rPr>
        <w:tab/>
        <w:t>Chairman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32" w:name="_Toc411747460"/>
      <w:bookmarkStart w:id="33" w:name="_Toc523538937"/>
      <w:bookmarkStart w:id="34" w:name="_Toc525025957"/>
      <w:bookmarkStart w:id="35" w:name="_Toc103142998"/>
      <w:bookmarkStart w:id="36" w:name="_Toc139965796"/>
      <w:r>
        <w:rPr>
          <w:rStyle w:val="CharSectno"/>
        </w:rPr>
        <w:t>7</w:t>
      </w:r>
      <w:r>
        <w:rPr>
          <w:snapToGrid w:val="0"/>
        </w:rPr>
        <w:t>.</w:t>
      </w:r>
      <w:r>
        <w:rPr>
          <w:snapToGrid w:val="0"/>
        </w:rPr>
        <w:tab/>
        <w:t>Powers of Commission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37" w:name="_Toc411747461"/>
      <w:bookmarkStart w:id="38" w:name="_Toc523538938"/>
      <w:bookmarkStart w:id="39" w:name="_Toc525025958"/>
      <w:bookmarkStart w:id="40" w:name="_Toc103142999"/>
      <w:bookmarkStart w:id="41" w:name="_Toc139965797"/>
      <w:r>
        <w:rPr>
          <w:rStyle w:val="CharSectno"/>
        </w:rPr>
        <w:t>8</w:t>
      </w:r>
      <w:r>
        <w:rPr>
          <w:snapToGrid w:val="0"/>
        </w:rPr>
        <w:t>.</w:t>
      </w:r>
      <w:r>
        <w:rPr>
          <w:snapToGrid w:val="0"/>
        </w:rPr>
        <w:tab/>
        <w:t>Select Committee appointed as a Royal Commission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rPr>
          <w:snapToGrid w:val="0"/>
        </w:rPr>
      </w:pPr>
      <w:bookmarkStart w:id="42" w:name="_Toc411747462"/>
      <w:bookmarkStart w:id="43" w:name="_Toc523538939"/>
      <w:bookmarkStart w:id="44" w:name="_Toc525025959"/>
      <w:bookmarkStart w:id="45" w:name="_Toc103143000"/>
      <w:bookmarkStart w:id="46" w:name="_Toc139965798"/>
      <w:r>
        <w:rPr>
          <w:rStyle w:val="CharSectno"/>
        </w:rPr>
        <w:t>9</w:t>
      </w:r>
      <w:r>
        <w:rPr>
          <w:snapToGrid w:val="0"/>
        </w:rPr>
        <w:t>.</w:t>
      </w:r>
      <w:r>
        <w:rPr>
          <w:snapToGrid w:val="0"/>
        </w:rPr>
        <w:tab/>
        <w:t>Power to summon witnesses and documents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Commissioner may cause a summons in writing under his hand to be served upon any person requiring him to attend the Commission, at a time and place named in the summons, and then and there to give evidence and to produce any books, documents, or writings in his custody or control which he is required by the summons to produce.</w:t>
      </w:r>
    </w:p>
    <w:p>
      <w:pPr>
        <w:pStyle w:val="Footnotesection"/>
      </w:pPr>
      <w:r>
        <w:tab/>
        <w:t xml:space="preserve">[Section 9 amended by No. 3 of 1991 s. 6.] </w:t>
      </w:r>
    </w:p>
    <w:p>
      <w:pPr>
        <w:pStyle w:val="Heading5"/>
        <w:rPr>
          <w:snapToGrid w:val="0"/>
        </w:rPr>
      </w:pPr>
      <w:bookmarkStart w:id="47" w:name="_Toc411747463"/>
      <w:bookmarkStart w:id="48" w:name="_Toc523538940"/>
      <w:bookmarkStart w:id="49" w:name="_Toc525025960"/>
      <w:bookmarkStart w:id="50" w:name="_Toc103143001"/>
      <w:bookmarkStart w:id="51" w:name="_Toc139965799"/>
      <w:r>
        <w:rPr>
          <w:rStyle w:val="CharSectno"/>
        </w:rPr>
        <w:t>10</w:t>
      </w:r>
      <w:r>
        <w:rPr>
          <w:snapToGrid w:val="0"/>
        </w:rPr>
        <w:t>.</w:t>
      </w:r>
      <w:r>
        <w:rPr>
          <w:snapToGrid w:val="0"/>
        </w:rPr>
        <w:tab/>
        <w:t>Duty of witness to continue in attendance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52" w:name="_Toc411747464"/>
      <w:bookmarkStart w:id="53" w:name="_Toc523538941"/>
      <w:bookmarkStart w:id="54" w:name="_Toc525025961"/>
      <w:bookmarkStart w:id="55" w:name="_Toc103143002"/>
      <w:bookmarkStart w:id="56" w:name="_Toc139965800"/>
      <w:r>
        <w:rPr>
          <w:rStyle w:val="CharSectno"/>
        </w:rPr>
        <w:t>11</w:t>
      </w:r>
      <w:r>
        <w:rPr>
          <w:snapToGrid w:val="0"/>
        </w:rPr>
        <w:t>.</w:t>
      </w:r>
      <w:r>
        <w:rPr>
          <w:snapToGrid w:val="0"/>
        </w:rPr>
        <w:tab/>
        <w:t>Power to examine on oath</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Heading5"/>
        <w:rPr>
          <w:snapToGrid w:val="0"/>
        </w:rPr>
      </w:pPr>
      <w:bookmarkStart w:id="57" w:name="_Toc411747465"/>
      <w:bookmarkStart w:id="58" w:name="_Toc523538942"/>
      <w:bookmarkStart w:id="59" w:name="_Toc525025962"/>
      <w:bookmarkStart w:id="60" w:name="_Toc103143003"/>
      <w:bookmarkStart w:id="61" w:name="_Toc139965801"/>
      <w:r>
        <w:rPr>
          <w:rStyle w:val="CharSectno"/>
        </w:rPr>
        <w:t>12</w:t>
      </w:r>
      <w:r>
        <w:rPr>
          <w:snapToGrid w:val="0"/>
        </w:rPr>
        <w:t>.</w:t>
      </w:r>
      <w:r>
        <w:rPr>
          <w:snapToGrid w:val="0"/>
        </w:rPr>
        <w:tab/>
        <w:t>Affirmation in lieu of oath</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Where a witness to be examined before a Commission conscientiously objects to take an oath, he may make an affirmation that he so objects and that he will state the truth, the whole truth, and nothing but the truth, to all questions that may be asked him.</w:t>
      </w:r>
    </w:p>
    <w:p>
      <w:pPr>
        <w:pStyle w:val="Subsection"/>
        <w:rPr>
          <w:snapToGrid w:val="0"/>
        </w:rPr>
      </w:pPr>
      <w:r>
        <w:rPr>
          <w:snapToGrid w:val="0"/>
        </w:rPr>
        <w:tab/>
        <w:t>(2)</w:t>
      </w:r>
      <w:r>
        <w:rPr>
          <w:snapToGrid w:val="0"/>
        </w:rPr>
        <w:tab/>
        <w:t>An affirmation made pursuant to subsection (1) is of the same force and effect and entails the same liabilities as an oath.</w:t>
      </w:r>
    </w:p>
    <w:p>
      <w:pPr>
        <w:pStyle w:val="Heading5"/>
        <w:rPr>
          <w:snapToGrid w:val="0"/>
        </w:rPr>
      </w:pPr>
      <w:bookmarkStart w:id="62" w:name="_Toc411747466"/>
      <w:bookmarkStart w:id="63" w:name="_Toc523538943"/>
      <w:bookmarkStart w:id="64" w:name="_Toc525025963"/>
      <w:bookmarkStart w:id="65" w:name="_Toc103143004"/>
      <w:bookmarkStart w:id="66" w:name="_Toc139965802"/>
      <w:r>
        <w:rPr>
          <w:rStyle w:val="CharSectno"/>
        </w:rPr>
        <w:t>13</w:t>
      </w:r>
      <w:r>
        <w:rPr>
          <w:snapToGrid w:val="0"/>
        </w:rPr>
        <w:t>.</w:t>
      </w:r>
      <w:r>
        <w:rPr>
          <w:snapToGrid w:val="0"/>
        </w:rPr>
        <w:tab/>
        <w:t>Penalty for failing to attend or produce documents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without reasonable excuse to attend as required by the summons and section 10, or to produce any documents, books, or writings in his custody or control which he was required by the summons to produce,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It is a defence to contempt proceedings pursuant to subsection (1) for failing without reasonable excuse to produce any documents, books, or writings, if the defendant proves that the documents, books, or writings were not relevant to the inquiry.</w:t>
      </w:r>
    </w:p>
    <w:p>
      <w:pPr>
        <w:pStyle w:val="Subsection"/>
        <w:rPr>
          <w:snapToGrid w:val="0"/>
        </w:rPr>
      </w:pPr>
      <w:r>
        <w:rPr>
          <w:snapToGrid w:val="0"/>
        </w:rPr>
        <w:tab/>
        <w:t>(3)</w:t>
      </w:r>
      <w:r>
        <w:rPr>
          <w:snapToGrid w:val="0"/>
        </w:rPr>
        <w:tab/>
        <w:t xml:space="preserve">Subject to subsection (4), in this section </w:t>
      </w:r>
      <w:r>
        <w:rPr>
          <w:b/>
          <w:snapToGrid w:val="0"/>
        </w:rPr>
        <w:t>“</w:t>
      </w:r>
      <w:r>
        <w:rPr>
          <w:rStyle w:val="CharDefText"/>
        </w:rPr>
        <w:t>reasonable excuse</w:t>
      </w:r>
      <w:r>
        <w:rPr>
          <w:b/>
          <w:snapToGrid w:val="0"/>
        </w:rPr>
        <w:t>”</w:t>
      </w:r>
      <w:r>
        <w:rPr>
          <w:snapToGrid w:val="0"/>
        </w:rPr>
        <w:t>, in respect of an act or omission, means such an excuse as would excuse an act or omission of a similar nature by a witness or a person summoned as a witness before the Supreme Court.</w:t>
      </w:r>
    </w:p>
    <w:p>
      <w:pPr>
        <w:pStyle w:val="Subsection"/>
        <w:rPr>
          <w:snapToGrid w:val="0"/>
        </w:rPr>
      </w:pPr>
      <w:r>
        <w:rPr>
          <w:snapToGrid w:val="0"/>
        </w:rPr>
        <w:tab/>
        <w:t>(4)</w:t>
      </w:r>
      <w:r>
        <w:rPr>
          <w:snapToGrid w:val="0"/>
        </w:rPr>
        <w:tab/>
        <w:t>Notwithstanding section 31(2), a person is not excused from producing any documents, books, or writings as required by a summons served pursuant to section 9 on the ground that the production of the documents, books, or writings might incriminate or tend to incriminate the person or render the person liable to a penalty.</w:t>
      </w:r>
    </w:p>
    <w:p>
      <w:pPr>
        <w:pStyle w:val="Footnotesection"/>
      </w:pPr>
      <w:r>
        <w:tab/>
        <w:t xml:space="preserve">[Section 13 amended by No. 72 of 1990 s. 5.] </w:t>
      </w:r>
    </w:p>
    <w:p>
      <w:pPr>
        <w:pStyle w:val="Heading5"/>
        <w:rPr>
          <w:snapToGrid w:val="0"/>
        </w:rPr>
      </w:pPr>
      <w:bookmarkStart w:id="67" w:name="_Toc411747467"/>
      <w:bookmarkStart w:id="68" w:name="_Toc523538944"/>
      <w:bookmarkStart w:id="69" w:name="_Toc525025964"/>
      <w:bookmarkStart w:id="70" w:name="_Toc103143005"/>
      <w:bookmarkStart w:id="71" w:name="_Toc139965803"/>
      <w:r>
        <w:rPr>
          <w:rStyle w:val="CharSectno"/>
        </w:rPr>
        <w:t>14</w:t>
      </w:r>
      <w:r>
        <w:rPr>
          <w:snapToGrid w:val="0"/>
        </w:rPr>
        <w:t>.</w:t>
      </w:r>
      <w:r>
        <w:rPr>
          <w:snapToGrid w:val="0"/>
        </w:rPr>
        <w:tab/>
        <w:t>Penalty for refusing to be sworn or to give evidence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 person who has been served with a summons pursuant to section 9 attends as required by the summons and section 10 but refuses to be sworn or to make an affirmation or refuses to answer any question relevant to the inquiry put to him by a Commissioner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Notwithstanding section 31(2), when any question relevant to the inquiry is put to a person by the Commissioner the person is not entitled to refuse to answer the question on the ground that the answer might incriminate or tend to incriminate the person or render the person liable to a penalty.</w:t>
      </w:r>
    </w:p>
    <w:p>
      <w:pPr>
        <w:pStyle w:val="Footnotesection"/>
      </w:pPr>
      <w:r>
        <w:tab/>
        <w:t xml:space="preserve">[Section 14 amended by No. 72 of 1990 s. 6.] </w:t>
      </w:r>
    </w:p>
    <w:p>
      <w:pPr>
        <w:pStyle w:val="Ednotesection"/>
      </w:pPr>
      <w:r>
        <w:t>[</w:t>
      </w:r>
      <w:r>
        <w:rPr>
          <w:b/>
        </w:rPr>
        <w:t>15.</w:t>
      </w:r>
      <w:r>
        <w:tab/>
        <w:t xml:space="preserve">Repealed by No. 72 of 1990 s. 7.] </w:t>
      </w:r>
    </w:p>
    <w:p>
      <w:pPr>
        <w:pStyle w:val="Heading5"/>
        <w:rPr>
          <w:snapToGrid w:val="0"/>
        </w:rPr>
      </w:pPr>
      <w:bookmarkStart w:id="72" w:name="_Toc411747468"/>
      <w:bookmarkStart w:id="73" w:name="_Toc523538945"/>
      <w:bookmarkStart w:id="74" w:name="_Toc525025965"/>
      <w:bookmarkStart w:id="75" w:name="_Toc103143006"/>
      <w:bookmarkStart w:id="76" w:name="_Toc139965804"/>
      <w:r>
        <w:rPr>
          <w:rStyle w:val="CharSectno"/>
        </w:rPr>
        <w:t>16</w:t>
      </w:r>
      <w:r>
        <w:rPr>
          <w:snapToGrid w:val="0"/>
        </w:rPr>
        <w:t>.</w:t>
      </w:r>
      <w:r>
        <w:rPr>
          <w:snapToGrid w:val="0"/>
        </w:rPr>
        <w:tab/>
        <w:t>Arrest of witness failing to appear</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rPr>
          <w:snapToGrid w:val="0"/>
        </w:rPr>
      </w:pPr>
      <w:r>
        <w:rPr>
          <w:snapToGrid w:val="0"/>
        </w:rPr>
        <w:tab/>
        <w:t>(2)</w:t>
      </w:r>
      <w:r>
        <w:rPr>
          <w:snapToGrid w:val="0"/>
        </w:rPr>
        <w:tab/>
        <w:t>Subject to section 17, a warrant issued pursuant to subsection (1) shall authorise the apprehension of the person and his being brought before the Commission and his detention in custody for that purpose until he is released by order of the Chairman or, on appeal, by order of a Judge or the Court of Appeal, as the case may be.</w:t>
      </w:r>
    </w:p>
    <w:p>
      <w:pPr>
        <w:pStyle w:val="Subsection"/>
        <w:rPr>
          <w:snapToGrid w:val="0"/>
        </w:rPr>
      </w:pPr>
      <w:r>
        <w:rPr>
          <w:snapToGrid w:val="0"/>
        </w:rPr>
        <w:tab/>
        <w:t>(3)</w:t>
      </w:r>
      <w:r>
        <w:rPr>
          <w:snapToGrid w:val="0"/>
        </w:rPr>
        <w:tab/>
        <w:t>A warrant issued pursuant to subsections (1) and (2) may be executed by a member of the Police Force of the State, or by any person to whom it is addressed, and the person executing it has the power to break and enter any place, building or vessel for the purpose of executing it.</w:t>
      </w:r>
    </w:p>
    <w:p>
      <w:pPr>
        <w:pStyle w:val="Subsection"/>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w:t>
      </w:r>
    </w:p>
    <w:p>
      <w:pPr>
        <w:pStyle w:val="Heading5"/>
        <w:rPr>
          <w:snapToGrid w:val="0"/>
        </w:rPr>
      </w:pPr>
      <w:bookmarkStart w:id="77" w:name="_Toc411747469"/>
      <w:bookmarkStart w:id="78" w:name="_Toc523538946"/>
      <w:bookmarkStart w:id="79" w:name="_Toc525025966"/>
      <w:bookmarkStart w:id="80" w:name="_Toc103143007"/>
      <w:bookmarkStart w:id="81" w:name="_Toc139965805"/>
      <w:r>
        <w:rPr>
          <w:rStyle w:val="CharSectno"/>
        </w:rPr>
        <w:t>17</w:t>
      </w:r>
      <w:r>
        <w:rPr>
          <w:snapToGrid w:val="0"/>
        </w:rPr>
        <w:t>.</w:t>
      </w:r>
      <w:r>
        <w:rPr>
          <w:snapToGrid w:val="0"/>
        </w:rPr>
        <w:tab/>
        <w:t>Appeal against apprehension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respect of an apprehension pursuant to section 16, an appeal lies to a Judge or, where one of the Commissioners or the sole Commissioner is a Judge, to the Court of Appeal of the Supreme Court.</w:t>
      </w:r>
    </w:p>
    <w:p>
      <w:pPr>
        <w:pStyle w:val="Footnotesection"/>
      </w:pPr>
      <w:r>
        <w:tab/>
        <w:t>[Section 17 amended by No. 45 of 2004 s. 37.]</w:t>
      </w:r>
    </w:p>
    <w:p>
      <w:pPr>
        <w:pStyle w:val="Heading5"/>
        <w:rPr>
          <w:snapToGrid w:val="0"/>
        </w:rPr>
      </w:pPr>
      <w:bookmarkStart w:id="82" w:name="_Toc411747470"/>
      <w:bookmarkStart w:id="83" w:name="_Toc523538947"/>
      <w:bookmarkStart w:id="84" w:name="_Toc525025967"/>
      <w:bookmarkStart w:id="85" w:name="_Toc103143008"/>
      <w:bookmarkStart w:id="86" w:name="_Toc139965806"/>
      <w:r>
        <w:rPr>
          <w:rStyle w:val="CharSectno"/>
        </w:rPr>
        <w:t>18</w:t>
      </w:r>
      <w:r>
        <w:rPr>
          <w:snapToGrid w:val="0"/>
        </w:rPr>
        <w:t>.</w:t>
      </w:r>
      <w:r>
        <w:rPr>
          <w:snapToGrid w:val="0"/>
        </w:rPr>
        <w:tab/>
        <w:t>Search warrants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Subsection"/>
        <w:keepNext/>
        <w:rPr>
          <w:snapToGrid w:val="0"/>
        </w:rPr>
      </w:pPr>
      <w:r>
        <w:rPr>
          <w:snapToGrid w:val="0"/>
        </w:rPr>
        <w:tab/>
        <w:t>(7)</w:t>
      </w:r>
      <w:r>
        <w:rPr>
          <w:snapToGrid w:val="0"/>
        </w:rPr>
        <w:tab/>
        <w:t>A person shall not without reasonable excuse — </w:t>
      </w:r>
    </w:p>
    <w:p>
      <w:pPr>
        <w:pStyle w:val="Indenta"/>
        <w:rPr>
          <w:snapToGrid w:val="0"/>
        </w:rPr>
      </w:pPr>
      <w:r>
        <w:rPr>
          <w:snapToGrid w:val="0"/>
        </w:rPr>
        <w:tab/>
        <w:t>(a)</w:t>
      </w:r>
      <w:r>
        <w:rPr>
          <w:snapToGrid w:val="0"/>
        </w:rPr>
        <w:tab/>
        <w:t>prevent or attempt to prevent an authorised person from exercising any power conferred by or under this section;</w:t>
      </w:r>
    </w:p>
    <w:p>
      <w:pPr>
        <w:pStyle w:val="Indenta"/>
        <w:rPr>
          <w:snapToGrid w:val="0"/>
        </w:rPr>
      </w:pPr>
      <w:r>
        <w:rPr>
          <w:snapToGrid w:val="0"/>
        </w:rPr>
        <w:tab/>
        <w:t>(b)</w:t>
      </w:r>
      <w:r>
        <w:rPr>
          <w:snapToGrid w:val="0"/>
        </w:rPr>
        <w:tab/>
        <w:t>hinder or obstruct an authorised person in the exercise of any such power; or</w:t>
      </w:r>
    </w:p>
    <w:p>
      <w:pPr>
        <w:pStyle w:val="Indenta"/>
        <w:rPr>
          <w:snapToGrid w:val="0"/>
        </w:rPr>
      </w:pPr>
      <w:r>
        <w:rPr>
          <w:snapToGrid w:val="0"/>
        </w:rPr>
        <w:tab/>
        <w:t>(c)</w:t>
      </w:r>
      <w:r>
        <w:rPr>
          <w:snapToGrid w:val="0"/>
        </w:rPr>
        <w:tab/>
        <w:t>fail to comply with a direction or request of an authorised person under subsection (2)(b) or (4)(d).</w:t>
      </w:r>
    </w:p>
    <w:p>
      <w:pPr>
        <w:pStyle w:val="Subsection"/>
        <w:rPr>
          <w:snapToGrid w:val="0"/>
        </w:rPr>
      </w:pPr>
      <w:r>
        <w:rPr>
          <w:snapToGrid w:val="0"/>
        </w:rPr>
        <w:tab/>
        <w:t>(8)</w:t>
      </w:r>
      <w:r>
        <w:rPr>
          <w:snapToGrid w:val="0"/>
        </w:rPr>
        <w:tab/>
        <w:t>A person shall not furnish to an authorised person acting under a warrant information that is false in a material particular.</w:t>
      </w:r>
    </w:p>
    <w:p>
      <w:pPr>
        <w:pStyle w:val="Subsection"/>
        <w:rPr>
          <w:snapToGrid w:val="0"/>
        </w:rPr>
      </w:pPr>
      <w:r>
        <w:rPr>
          <w:snapToGrid w:val="0"/>
        </w:rPr>
        <w:tab/>
        <w:t>(9)</w:t>
      </w:r>
      <w:r>
        <w:rPr>
          <w:snapToGrid w:val="0"/>
        </w:rPr>
        <w:tab/>
        <w:t>A person is not excused from producing any relevant material under subsection (4)(d) on the ground that it contains information that might incriminate or tend to incriminate him or render him liable to a penalty.</w:t>
      </w:r>
    </w:p>
    <w:p>
      <w:pPr>
        <w:pStyle w:val="Subsection"/>
        <w:rPr>
          <w:snapToGrid w:val="0"/>
        </w:rPr>
      </w:pPr>
      <w:r>
        <w:rPr>
          <w:snapToGrid w:val="0"/>
        </w:rPr>
        <w:tab/>
        <w:t>(10)</w:t>
      </w:r>
      <w:r>
        <w:rPr>
          <w:snapToGrid w:val="0"/>
        </w:rPr>
        <w:tab/>
        <w:t>A person who, without reasonable excuse — </w:t>
      </w:r>
    </w:p>
    <w:p>
      <w:pPr>
        <w:pStyle w:val="Indenta"/>
        <w:rPr>
          <w:snapToGrid w:val="0"/>
        </w:rPr>
      </w:pPr>
      <w:r>
        <w:rPr>
          <w:snapToGrid w:val="0"/>
        </w:rPr>
        <w:tab/>
        <w:t>(a)</w:t>
      </w:r>
      <w:r>
        <w:rPr>
          <w:snapToGrid w:val="0"/>
        </w:rPr>
        <w:tab/>
        <w:t>fails to comply with a condition imposed on the person under subsection (6)(b); or</w:t>
      </w:r>
    </w:p>
    <w:p>
      <w:pPr>
        <w:pStyle w:val="Indenta"/>
        <w:rPr>
          <w:snapToGrid w:val="0"/>
        </w:rPr>
      </w:pPr>
      <w:r>
        <w:rPr>
          <w:snapToGrid w:val="0"/>
        </w:rPr>
        <w:tab/>
        <w:t>(b)</w:t>
      </w:r>
      <w:r>
        <w:rPr>
          <w:snapToGrid w:val="0"/>
        </w:rPr>
        <w:tab/>
        <w:t xml:space="preserve">contravenes or fails to comply with subsection (7) or (8), </w:t>
      </w:r>
    </w:p>
    <w:p>
      <w:pPr>
        <w:pStyle w:val="Subsection"/>
        <w:rPr>
          <w:snapToGrid w:val="0"/>
        </w:rPr>
      </w:pPr>
      <w:r>
        <w:rPr>
          <w:snapToGrid w:val="0"/>
        </w:rPr>
        <w:tab/>
      </w:r>
      <w:r>
        <w:rPr>
          <w:snapToGrid w:val="0"/>
        </w:rPr>
        <w:tab/>
        <w:t>may be dealt with on the motion of the Attorney General as if he were in contempt of the Supreme Court and the Supreme Court has jurisdiction accordingly.</w:t>
      </w:r>
    </w:p>
    <w:p>
      <w:pPr>
        <w:pStyle w:val="Subsection"/>
        <w:rPr>
          <w:snapToGrid w:val="0"/>
        </w:rPr>
      </w:pPr>
      <w:r>
        <w:rPr>
          <w:snapToGrid w:val="0"/>
        </w:rPr>
        <w:tab/>
        <w:t>(11)</w:t>
      </w:r>
      <w:r>
        <w:rPr>
          <w:snapToGrid w:val="0"/>
        </w:rPr>
        <w:tab/>
        <w:t>In this section — </w:t>
      </w:r>
    </w:p>
    <w:p>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pPr>
        <w:pStyle w:val="Footnotesection"/>
      </w:pPr>
      <w:r>
        <w:tab/>
        <w:t xml:space="preserve">[Section 18 inserted by No. 3 of 1991 s. 8.] </w:t>
      </w:r>
    </w:p>
    <w:p>
      <w:pPr>
        <w:pStyle w:val="Heading5"/>
        <w:rPr>
          <w:snapToGrid w:val="0"/>
        </w:rPr>
      </w:pPr>
      <w:bookmarkStart w:id="87" w:name="_Toc411747471"/>
      <w:bookmarkStart w:id="88" w:name="_Toc523538948"/>
      <w:bookmarkStart w:id="89" w:name="_Toc525025968"/>
      <w:bookmarkStart w:id="90" w:name="_Toc103143009"/>
      <w:bookmarkStart w:id="91" w:name="_Toc139965807"/>
      <w:r>
        <w:rPr>
          <w:rStyle w:val="CharSectno"/>
        </w:rPr>
        <w:t>19</w:t>
      </w:r>
      <w:r>
        <w:rPr>
          <w:snapToGrid w:val="0"/>
        </w:rPr>
        <w:t>.</w:t>
      </w:r>
      <w:r>
        <w:rPr>
          <w:snapToGrid w:val="0"/>
        </w:rPr>
        <w:tab/>
        <w:t>Nondisclosure of secret process — evidence in private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and (4)</w:t>
      </w:r>
      <w:r>
        <w:tab/>
        <w:t>repealed]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92" w:name="_Toc411747472"/>
      <w:bookmarkStart w:id="93" w:name="_Toc523538949"/>
      <w:bookmarkStart w:id="94" w:name="_Toc525025969"/>
      <w:bookmarkStart w:id="95" w:name="_Toc103143010"/>
      <w:bookmarkStart w:id="96" w:name="_Toc139965808"/>
      <w:r>
        <w:rPr>
          <w:rStyle w:val="CharSectno"/>
        </w:rPr>
        <w:t>19A</w:t>
      </w:r>
      <w:r>
        <w:rPr>
          <w:snapToGrid w:val="0"/>
        </w:rPr>
        <w:t>.</w:t>
      </w:r>
      <w:r>
        <w:rPr>
          <w:snapToGrid w:val="0"/>
        </w:rPr>
        <w:tab/>
        <w:t>General provisions as to private hearings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rPr>
          <w:snapToGrid w:val="0"/>
        </w:rPr>
      </w:pPr>
      <w:bookmarkStart w:id="97" w:name="_Toc411747473"/>
      <w:bookmarkStart w:id="98" w:name="_Toc523538950"/>
      <w:bookmarkStart w:id="99" w:name="_Toc525025970"/>
      <w:bookmarkStart w:id="100" w:name="_Toc103143011"/>
      <w:bookmarkStart w:id="101" w:name="_Toc139965809"/>
      <w:r>
        <w:rPr>
          <w:rStyle w:val="CharSectno"/>
        </w:rPr>
        <w:t>19B</w:t>
      </w:r>
      <w:r>
        <w:rPr>
          <w:snapToGrid w:val="0"/>
        </w:rPr>
        <w:t>.</w:t>
      </w:r>
      <w:r>
        <w:rPr>
          <w:snapToGrid w:val="0"/>
        </w:rPr>
        <w:tab/>
        <w:t>Restriction of publication of documents etc.</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Commission may direct that any evidence given before it, or the contents of any documents, books or writings produced at the inquiry shall not be published.</w:t>
      </w:r>
    </w:p>
    <w:p>
      <w:pPr>
        <w:pStyle w:val="Subsection"/>
        <w:rPr>
          <w:snapToGrid w:val="0"/>
        </w:rPr>
      </w:pPr>
      <w:r>
        <w:rPr>
          <w:snapToGrid w:val="0"/>
        </w:rPr>
        <w:tab/>
        <w:t>(2)</w:t>
      </w:r>
      <w:r>
        <w:rPr>
          <w:snapToGrid w:val="0"/>
        </w:rPr>
        <w:tab/>
        <w:t>A person who, without permission of the Governor, makes any publication in contravention of any direction under subsection (1) may be dealt with on the motion of the Attorney General as if he were in contempt of the Supreme Court and the Supreme Court has jurisdiction accordingly.</w:t>
      </w:r>
    </w:p>
    <w:p>
      <w:pPr>
        <w:pStyle w:val="Footnotesection"/>
      </w:pPr>
      <w:r>
        <w:tab/>
        <w:t xml:space="preserve">[Section 19B inserted by No. 72 of 1990 s. 11.] </w:t>
      </w:r>
    </w:p>
    <w:p>
      <w:pPr>
        <w:pStyle w:val="Heading5"/>
        <w:rPr>
          <w:snapToGrid w:val="0"/>
        </w:rPr>
      </w:pPr>
      <w:bookmarkStart w:id="102" w:name="_Toc411747474"/>
      <w:bookmarkStart w:id="103" w:name="_Toc523538951"/>
      <w:bookmarkStart w:id="104" w:name="_Toc525025971"/>
      <w:bookmarkStart w:id="105" w:name="_Toc103143012"/>
      <w:bookmarkStart w:id="106" w:name="_Toc139965810"/>
      <w:r>
        <w:rPr>
          <w:rStyle w:val="CharSectno"/>
        </w:rPr>
        <w:t>20</w:t>
      </w:r>
      <w:r>
        <w:rPr>
          <w:snapToGrid w:val="0"/>
        </w:rPr>
        <w:t>.</w:t>
      </w:r>
      <w:r>
        <w:rPr>
          <w:snapToGrid w:val="0"/>
        </w:rPr>
        <w:tab/>
        <w:t>Statements made by witness not admissible in evidence against him</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107" w:name="_Toc411747475"/>
      <w:bookmarkStart w:id="108" w:name="_Toc523538952"/>
      <w:bookmarkStart w:id="109" w:name="_Toc525025972"/>
      <w:bookmarkStart w:id="110" w:name="_Toc103143013"/>
      <w:bookmarkStart w:id="111" w:name="_Toc139965811"/>
      <w:r>
        <w:rPr>
          <w:rStyle w:val="CharSectno"/>
        </w:rPr>
        <w:t>21</w:t>
      </w:r>
      <w:r>
        <w:rPr>
          <w:snapToGrid w:val="0"/>
        </w:rPr>
        <w:t>.</w:t>
      </w:r>
      <w:r>
        <w:rPr>
          <w:snapToGrid w:val="0"/>
        </w:rPr>
        <w:tab/>
        <w:t>Power of Commission in relation to documents produced</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112" w:name="_Toc411747476"/>
      <w:bookmarkStart w:id="113" w:name="_Toc523538953"/>
      <w:bookmarkStart w:id="114" w:name="_Toc525025973"/>
      <w:bookmarkStart w:id="115" w:name="_Toc103143014"/>
      <w:bookmarkStart w:id="116" w:name="_Toc139965812"/>
      <w:r>
        <w:rPr>
          <w:rStyle w:val="CharSectno"/>
        </w:rPr>
        <w:t>22</w:t>
      </w:r>
      <w:r>
        <w:rPr>
          <w:snapToGrid w:val="0"/>
        </w:rPr>
        <w:t>.</w:t>
      </w:r>
      <w:r>
        <w:rPr>
          <w:snapToGrid w:val="0"/>
        </w:rPr>
        <w:tab/>
        <w:t>Examination of witnesses by counsel, etc.</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117" w:name="_Toc411747477"/>
      <w:bookmarkStart w:id="118" w:name="_Toc523538954"/>
      <w:bookmarkStart w:id="119" w:name="_Toc525025974"/>
      <w:bookmarkStart w:id="120" w:name="_Toc103143015"/>
      <w:bookmarkStart w:id="121" w:name="_Toc139965813"/>
      <w:r>
        <w:rPr>
          <w:rStyle w:val="CharSectno"/>
        </w:rPr>
        <w:t>23</w:t>
      </w:r>
      <w:r>
        <w:rPr>
          <w:snapToGrid w:val="0"/>
        </w:rPr>
        <w:t>.</w:t>
      </w:r>
      <w:r>
        <w:rPr>
          <w:snapToGrid w:val="0"/>
        </w:rPr>
        <w:tab/>
        <w:t>Payment of witnesses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Fund is, to the necessary extent, appropriated accordingly.</w:t>
      </w:r>
    </w:p>
    <w:p>
      <w:pPr>
        <w:pStyle w:val="Footnotesection"/>
      </w:pPr>
      <w:r>
        <w:tab/>
        <w:t xml:space="preserve">[Section 23 amended by No. 98 of 1985 s. 3; No. 6 of 1993 s. 11.] </w:t>
      </w:r>
    </w:p>
    <w:p>
      <w:pPr>
        <w:pStyle w:val="Heading5"/>
        <w:rPr>
          <w:snapToGrid w:val="0"/>
        </w:rPr>
      </w:pPr>
      <w:bookmarkStart w:id="122" w:name="_Toc411747478"/>
      <w:bookmarkStart w:id="123" w:name="_Toc523538955"/>
      <w:bookmarkStart w:id="124" w:name="_Toc525025975"/>
      <w:bookmarkStart w:id="125" w:name="_Toc103143016"/>
      <w:bookmarkStart w:id="126" w:name="_Toc139965814"/>
      <w:r>
        <w:rPr>
          <w:rStyle w:val="CharSectno"/>
        </w:rPr>
        <w:t>24</w:t>
      </w:r>
      <w:r>
        <w:rPr>
          <w:snapToGrid w:val="0"/>
        </w:rPr>
        <w:t>.</w:t>
      </w:r>
      <w:r>
        <w:rPr>
          <w:snapToGrid w:val="0"/>
        </w:rPr>
        <w:tab/>
        <w:t>Giving false testimony</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witness before a Commission who knowingly gives false testimony touching any matter, material in the inquiry being made by the Commission, is guilty of a misdemeanour.</w:t>
      </w:r>
    </w:p>
    <w:p>
      <w:pPr>
        <w:pStyle w:val="Penstart"/>
        <w:rPr>
          <w:snapToGrid w:val="0"/>
        </w:rPr>
      </w:pPr>
      <w:r>
        <w:rPr>
          <w:snapToGrid w:val="0"/>
        </w:rPr>
        <w:tab/>
        <w:t>Penalty: Imprisonment for 5 years.</w:t>
      </w:r>
    </w:p>
    <w:p>
      <w:pPr>
        <w:pStyle w:val="Heading5"/>
        <w:rPr>
          <w:snapToGrid w:val="0"/>
        </w:rPr>
      </w:pPr>
      <w:bookmarkStart w:id="127" w:name="_Toc411747479"/>
      <w:bookmarkStart w:id="128" w:name="_Toc523538956"/>
      <w:bookmarkStart w:id="129" w:name="_Toc525025976"/>
      <w:bookmarkStart w:id="130" w:name="_Toc103143017"/>
      <w:bookmarkStart w:id="131" w:name="_Toc139965815"/>
      <w:r>
        <w:rPr>
          <w:rStyle w:val="CharSectno"/>
        </w:rPr>
        <w:t>25</w:t>
      </w:r>
      <w:r>
        <w:rPr>
          <w:snapToGrid w:val="0"/>
        </w:rPr>
        <w:t>.</w:t>
      </w:r>
      <w:r>
        <w:rPr>
          <w:snapToGrid w:val="0"/>
        </w:rPr>
        <w:tab/>
        <w:t>Bribery of witness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is guilty of a misdemeanour.</w:t>
      </w:r>
    </w:p>
    <w:p>
      <w:pPr>
        <w:pStyle w:val="Penstart"/>
        <w:rPr>
          <w:snapToGrid w:val="0"/>
        </w:rPr>
      </w:pPr>
      <w:r>
        <w:rPr>
          <w:snapToGrid w:val="0"/>
        </w:rPr>
        <w:tab/>
        <w:t>Penalty: Imprisonment for 5 years.</w:t>
      </w:r>
    </w:p>
    <w:p>
      <w:pPr>
        <w:pStyle w:val="Heading5"/>
        <w:rPr>
          <w:snapToGrid w:val="0"/>
        </w:rPr>
      </w:pPr>
      <w:bookmarkStart w:id="132" w:name="_Toc411747480"/>
      <w:bookmarkStart w:id="133" w:name="_Toc523538957"/>
      <w:bookmarkStart w:id="134" w:name="_Toc525025977"/>
      <w:bookmarkStart w:id="135" w:name="_Toc103143018"/>
      <w:bookmarkStart w:id="136" w:name="_Toc139965816"/>
      <w:r>
        <w:rPr>
          <w:rStyle w:val="CharSectno"/>
        </w:rPr>
        <w:t>26</w:t>
      </w:r>
      <w:r>
        <w:rPr>
          <w:snapToGrid w:val="0"/>
        </w:rPr>
        <w:t>.</w:t>
      </w:r>
      <w:r>
        <w:rPr>
          <w:snapToGrid w:val="0"/>
        </w:rPr>
        <w:tab/>
        <w:t>Fraud on witness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 misdemeanour.</w:t>
      </w:r>
    </w:p>
    <w:p>
      <w:pPr>
        <w:pStyle w:val="Penstart"/>
        <w:rPr>
          <w:snapToGrid w:val="0"/>
        </w:rPr>
      </w:pPr>
      <w:r>
        <w:rPr>
          <w:snapToGrid w:val="0"/>
        </w:rPr>
        <w:tab/>
        <w:t>Penalty: Imprisonment for 2 years.</w:t>
      </w:r>
    </w:p>
    <w:p>
      <w:pPr>
        <w:pStyle w:val="Heading5"/>
        <w:rPr>
          <w:snapToGrid w:val="0"/>
        </w:rPr>
      </w:pPr>
      <w:bookmarkStart w:id="137" w:name="_Toc411747481"/>
      <w:bookmarkStart w:id="138" w:name="_Toc523538958"/>
      <w:bookmarkStart w:id="139" w:name="_Toc525025978"/>
      <w:bookmarkStart w:id="140" w:name="_Toc103143019"/>
      <w:bookmarkStart w:id="141" w:name="_Toc139965817"/>
      <w:r>
        <w:rPr>
          <w:rStyle w:val="CharSectno"/>
        </w:rPr>
        <w:t>27</w:t>
      </w:r>
      <w:r>
        <w:rPr>
          <w:snapToGrid w:val="0"/>
        </w:rPr>
        <w:t>.</w:t>
      </w:r>
      <w:r>
        <w:rPr>
          <w:snapToGrid w:val="0"/>
        </w:rPr>
        <w:tab/>
        <w:t>Destroying books or documents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 misdemeanour.</w:t>
      </w:r>
    </w:p>
    <w:p>
      <w:pPr>
        <w:pStyle w:val="Penstart"/>
        <w:rPr>
          <w:snapToGrid w:val="0"/>
        </w:rPr>
      </w:pPr>
      <w:r>
        <w:rPr>
          <w:snapToGrid w:val="0"/>
        </w:rPr>
        <w:tab/>
        <w:t>Penalty: Imprisonment for 2 years.</w:t>
      </w:r>
    </w:p>
    <w:p>
      <w:pPr>
        <w:pStyle w:val="Heading5"/>
        <w:rPr>
          <w:snapToGrid w:val="0"/>
        </w:rPr>
      </w:pPr>
      <w:bookmarkStart w:id="142" w:name="_Toc411747482"/>
      <w:bookmarkStart w:id="143" w:name="_Toc523538959"/>
      <w:bookmarkStart w:id="144" w:name="_Toc525025979"/>
      <w:bookmarkStart w:id="145" w:name="_Toc103143020"/>
      <w:bookmarkStart w:id="146" w:name="_Toc139965818"/>
      <w:r>
        <w:rPr>
          <w:rStyle w:val="CharSectno"/>
        </w:rPr>
        <w:t>28</w:t>
      </w:r>
      <w:r>
        <w:rPr>
          <w:snapToGrid w:val="0"/>
        </w:rPr>
        <w:t>.</w:t>
      </w:r>
      <w:r>
        <w:rPr>
          <w:snapToGrid w:val="0"/>
        </w:rPr>
        <w:tab/>
        <w:t>Preventing witness from attending</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 misdemeanour.</w:t>
      </w:r>
    </w:p>
    <w:p>
      <w:pPr>
        <w:pStyle w:val="Penstart"/>
        <w:rPr>
          <w:snapToGrid w:val="0"/>
        </w:rPr>
      </w:pPr>
      <w:r>
        <w:rPr>
          <w:snapToGrid w:val="0"/>
        </w:rPr>
        <w:tab/>
        <w:t>Penalty: Imprisonment for one year.</w:t>
      </w:r>
    </w:p>
    <w:p>
      <w:pPr>
        <w:pStyle w:val="Heading5"/>
        <w:rPr>
          <w:snapToGrid w:val="0"/>
        </w:rPr>
      </w:pPr>
      <w:bookmarkStart w:id="147" w:name="_Toc411747483"/>
      <w:bookmarkStart w:id="148" w:name="_Toc523538960"/>
      <w:bookmarkStart w:id="149" w:name="_Toc525025980"/>
      <w:bookmarkStart w:id="150" w:name="_Toc103143021"/>
      <w:bookmarkStart w:id="151" w:name="_Toc139965819"/>
      <w:r>
        <w:rPr>
          <w:rStyle w:val="CharSectno"/>
        </w:rPr>
        <w:t>29</w:t>
      </w:r>
      <w:r>
        <w:rPr>
          <w:snapToGrid w:val="0"/>
        </w:rPr>
        <w:t>.</w:t>
      </w:r>
      <w:r>
        <w:rPr>
          <w:snapToGrid w:val="0"/>
        </w:rPr>
        <w:tab/>
        <w:t>Injury to witness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 misdemeanour.</w:t>
      </w:r>
    </w:p>
    <w:p>
      <w:pPr>
        <w:pStyle w:val="Penstart"/>
        <w:rPr>
          <w:snapToGrid w:val="0"/>
        </w:rPr>
      </w:pPr>
      <w:r>
        <w:rPr>
          <w:snapToGrid w:val="0"/>
        </w:rPr>
        <w:tab/>
        <w:t>Penalty: $1000, or imprisonment for one year.</w:t>
      </w:r>
    </w:p>
    <w:p>
      <w:pPr>
        <w:pStyle w:val="Heading5"/>
        <w:rPr>
          <w:snapToGrid w:val="0"/>
        </w:rPr>
      </w:pPr>
      <w:bookmarkStart w:id="152" w:name="_Toc411747484"/>
      <w:bookmarkStart w:id="153" w:name="_Toc523538961"/>
      <w:bookmarkStart w:id="154" w:name="_Toc525025981"/>
      <w:bookmarkStart w:id="155" w:name="_Toc103143022"/>
      <w:bookmarkStart w:id="156" w:name="_Toc139965820"/>
      <w:r>
        <w:rPr>
          <w:rStyle w:val="CharSectno"/>
        </w:rPr>
        <w:t>30</w:t>
      </w:r>
      <w:r>
        <w:rPr>
          <w:snapToGrid w:val="0"/>
        </w:rPr>
        <w:t>.</w:t>
      </w:r>
      <w:r>
        <w:rPr>
          <w:snapToGrid w:val="0"/>
        </w:rPr>
        <w:tab/>
        <w:t>Dismissal by employers of witness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 misdemeanour.</w:t>
      </w:r>
    </w:p>
    <w:p>
      <w:pPr>
        <w:pStyle w:val="Penstart"/>
        <w:rPr>
          <w:snapToGrid w:val="0"/>
        </w:rPr>
      </w:pPr>
      <w:r>
        <w:rPr>
          <w:snapToGrid w:val="0"/>
        </w:rPr>
        <w:tab/>
        <w:t>Penalty: $1000, or imprisonment for one year.</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Heading5"/>
        <w:rPr>
          <w:snapToGrid w:val="0"/>
        </w:rPr>
      </w:pPr>
      <w:bookmarkStart w:id="157" w:name="_Toc411747485"/>
      <w:bookmarkStart w:id="158" w:name="_Toc523538962"/>
      <w:bookmarkStart w:id="159" w:name="_Toc525025982"/>
      <w:bookmarkStart w:id="160" w:name="_Toc103143023"/>
      <w:bookmarkStart w:id="161" w:name="_Toc139965821"/>
      <w:r>
        <w:rPr>
          <w:rStyle w:val="CharSectno"/>
        </w:rPr>
        <w:t>31</w:t>
      </w:r>
      <w:r>
        <w:rPr>
          <w:snapToGrid w:val="0"/>
        </w:rPr>
        <w:t>.</w:t>
      </w:r>
      <w:r>
        <w:rPr>
          <w:snapToGrid w:val="0"/>
        </w:rPr>
        <w:tab/>
        <w:t>Protection to Commissioners, witnesses, persons appearing</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162" w:name="_Toc411747486"/>
      <w:bookmarkStart w:id="163" w:name="_Toc523538963"/>
      <w:bookmarkStart w:id="164" w:name="_Toc525025983"/>
      <w:bookmarkStart w:id="165" w:name="_Toc103143024"/>
      <w:bookmarkStart w:id="166" w:name="_Toc139965822"/>
      <w:r>
        <w:rPr>
          <w:rStyle w:val="CharSectno"/>
        </w:rPr>
        <w:t>32</w:t>
      </w:r>
      <w:r>
        <w:rPr>
          <w:snapToGrid w:val="0"/>
        </w:rPr>
        <w:t>.</w:t>
      </w:r>
      <w:r>
        <w:rPr>
          <w:snapToGrid w:val="0"/>
        </w:rPr>
        <w:tab/>
        <w:t>Proceedings for defamation not to lie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 action or proceeding, civil or criminal, lies against the Crown in right of the State against a Minister, or against a person employed or engaged by the Crown in right of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w:t>
      </w:r>
    </w:p>
    <w:p>
      <w:pPr>
        <w:pStyle w:val="Heading5"/>
        <w:rPr>
          <w:snapToGrid w:val="0"/>
        </w:rPr>
      </w:pPr>
      <w:bookmarkStart w:id="167" w:name="_Toc411747487"/>
      <w:bookmarkStart w:id="168" w:name="_Toc523538964"/>
      <w:bookmarkStart w:id="169" w:name="_Toc525025984"/>
      <w:bookmarkStart w:id="170" w:name="_Toc103143025"/>
      <w:bookmarkStart w:id="171" w:name="_Toc139965823"/>
      <w:r>
        <w:rPr>
          <w:rStyle w:val="CharSectno"/>
        </w:rPr>
        <w:t>33</w:t>
      </w:r>
      <w:r>
        <w:rPr>
          <w:snapToGrid w:val="0"/>
        </w:rPr>
        <w:t>.</w:t>
      </w:r>
      <w:r>
        <w:rPr>
          <w:snapToGrid w:val="0"/>
        </w:rPr>
        <w:tab/>
        <w:t>Privilege, protection or immunity not limited or abridged</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Repealed by No. 84 of 2004 s. 78.] </w:t>
      </w:r>
    </w:p>
    <w:p>
      <w:pPr>
        <w:pStyle w:val="Ednotesection"/>
        <w:ind w:left="0" w:firstLine="0"/>
      </w:pPr>
      <w:r>
        <w:t>[</w:t>
      </w:r>
      <w:r>
        <w:rPr>
          <w:b/>
        </w:rPr>
        <w:t>35, 36, 37.</w:t>
      </w:r>
      <w:r>
        <w:tab/>
        <w:t xml:space="preserve">Repealed by No. 92 of 1994 s. 41.] </w:t>
      </w:r>
    </w:p>
    <w:p>
      <w:pPr>
        <w:pStyle w:val="Heading5"/>
        <w:rPr>
          <w:snapToGrid w:val="0"/>
        </w:rPr>
      </w:pPr>
      <w:bookmarkStart w:id="172" w:name="_Toc411747489"/>
      <w:bookmarkStart w:id="173" w:name="_Toc523538966"/>
      <w:bookmarkStart w:id="174" w:name="_Toc525025986"/>
      <w:bookmarkStart w:id="175" w:name="_Toc103143026"/>
      <w:bookmarkStart w:id="176" w:name="_Toc139965824"/>
      <w:r>
        <w:rPr>
          <w:rStyle w:val="CharSectno"/>
        </w:rPr>
        <w:t>38</w:t>
      </w:r>
      <w:r>
        <w:rPr>
          <w:snapToGrid w:val="0"/>
        </w:rPr>
        <w:t>.</w:t>
      </w:r>
      <w:r>
        <w:rPr>
          <w:snapToGrid w:val="0"/>
        </w:rPr>
        <w:tab/>
        <w:t>Evidence of appointment to be a Commission</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7" w:name="_Toc88556468"/>
      <w:bookmarkStart w:id="178" w:name="_Toc88561356"/>
      <w:bookmarkStart w:id="179" w:name="_Toc95020501"/>
      <w:bookmarkStart w:id="180" w:name="_Toc95020540"/>
      <w:bookmarkStart w:id="181" w:name="_Toc95117223"/>
      <w:bookmarkStart w:id="182" w:name="_Toc96935879"/>
      <w:bookmarkStart w:id="183" w:name="_Toc103143027"/>
      <w:bookmarkStart w:id="184" w:name="_Toc139952700"/>
      <w:bookmarkStart w:id="185" w:name="_Toc139953069"/>
      <w:bookmarkStart w:id="186" w:name="_Toc139965825"/>
      <w:r>
        <w:t>Notes</w:t>
      </w:r>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snapToGrid w:val="0"/>
        </w:rPr>
        <w:t>Royal Commissions Act 1968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7" w:name="_Toc525025987"/>
      <w:bookmarkStart w:id="188" w:name="_Toc103143028"/>
      <w:bookmarkStart w:id="189" w:name="_Toc139965826"/>
      <w:r>
        <w:rPr>
          <w:snapToGrid w:val="0"/>
        </w:rP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before="120"/>
              <w:ind w:right="113"/>
              <w:rPr>
                <w:sz w:val="19"/>
              </w:rPr>
            </w:pPr>
            <w:r>
              <w:rPr>
                <w:i/>
                <w:sz w:val="19"/>
              </w:rPr>
              <w:t>Royal Commissions Act 1968</w:t>
            </w:r>
          </w:p>
        </w:tc>
        <w:tc>
          <w:tcPr>
            <w:tcW w:w="1134" w:type="dxa"/>
            <w:tcBorders>
              <w:top w:val="single" w:sz="8" w:space="0" w:color="auto"/>
            </w:tcBorders>
          </w:tcPr>
          <w:p>
            <w:pPr>
              <w:pStyle w:val="nTable"/>
              <w:spacing w:before="120"/>
              <w:rPr>
                <w:sz w:val="19"/>
              </w:rPr>
            </w:pPr>
            <w:r>
              <w:rPr>
                <w:sz w:val="19"/>
              </w:rPr>
              <w:t>65 of 1968</w:t>
            </w:r>
          </w:p>
        </w:tc>
        <w:tc>
          <w:tcPr>
            <w:tcW w:w="1134" w:type="dxa"/>
            <w:tcBorders>
              <w:top w:val="single" w:sz="8" w:space="0" w:color="auto"/>
            </w:tcBorders>
          </w:tcPr>
          <w:p>
            <w:pPr>
              <w:pStyle w:val="nTable"/>
              <w:spacing w:before="120"/>
              <w:rPr>
                <w:sz w:val="19"/>
              </w:rPr>
            </w:pPr>
            <w:r>
              <w:rPr>
                <w:sz w:val="19"/>
              </w:rPr>
              <w:t>18 Nov 1968</w:t>
            </w:r>
          </w:p>
        </w:tc>
        <w:tc>
          <w:tcPr>
            <w:tcW w:w="2552" w:type="dxa"/>
            <w:tcBorders>
              <w:top w:val="single" w:sz="8" w:space="0" w:color="auto"/>
            </w:tcBorders>
          </w:tcPr>
          <w:p>
            <w:pPr>
              <w:pStyle w:val="nTable"/>
              <w:spacing w:before="120"/>
              <w:rPr>
                <w:sz w:val="19"/>
              </w:rPr>
            </w:pPr>
            <w:r>
              <w:rPr>
                <w:sz w:val="19"/>
              </w:rPr>
              <w:t>18 Nov 1968</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Royal Commissions Amendment Act 1990</w:t>
            </w:r>
          </w:p>
        </w:tc>
        <w:tc>
          <w:tcPr>
            <w:tcW w:w="1134" w:type="dxa"/>
          </w:tcPr>
          <w:p>
            <w:pPr>
              <w:pStyle w:val="nTable"/>
              <w:spacing w:before="120"/>
              <w:rPr>
                <w:sz w:val="19"/>
              </w:rPr>
            </w:pPr>
            <w:r>
              <w:rPr>
                <w:sz w:val="19"/>
              </w:rPr>
              <w:t>72 of 1990</w:t>
            </w:r>
          </w:p>
        </w:tc>
        <w:tc>
          <w:tcPr>
            <w:tcW w:w="1134" w:type="dxa"/>
          </w:tcPr>
          <w:p>
            <w:pPr>
              <w:pStyle w:val="nTable"/>
              <w:spacing w:before="120"/>
              <w:rPr>
                <w:sz w:val="19"/>
              </w:rPr>
            </w:pPr>
            <w:r>
              <w:rPr>
                <w:sz w:val="19"/>
              </w:rPr>
              <w:t>20 Dec 1990</w:t>
            </w:r>
          </w:p>
        </w:tc>
        <w:tc>
          <w:tcPr>
            <w:tcW w:w="2552" w:type="dxa"/>
          </w:tcPr>
          <w:p>
            <w:pPr>
              <w:pStyle w:val="nTable"/>
              <w:spacing w:before="120"/>
              <w:rPr>
                <w:sz w:val="19"/>
              </w:rPr>
            </w:pPr>
            <w:r>
              <w:rPr>
                <w:sz w:val="19"/>
              </w:rPr>
              <w:t>20 Dec 1990 (see s. 2)</w:t>
            </w:r>
          </w:p>
        </w:tc>
      </w:tr>
      <w:tr>
        <w:trPr>
          <w:gridAfter w:val="1"/>
          <w:wAfter w:w="28" w:type="dxa"/>
          <w:cantSplit/>
        </w:trPr>
        <w:tc>
          <w:tcPr>
            <w:tcW w:w="2268" w:type="dxa"/>
          </w:tcPr>
          <w:p>
            <w:pPr>
              <w:pStyle w:val="nTable"/>
              <w:spacing w:before="120"/>
              <w:ind w:right="113"/>
              <w:rPr>
                <w:sz w:val="19"/>
              </w:rPr>
            </w:pPr>
            <w:r>
              <w:rPr>
                <w:i/>
                <w:sz w:val="19"/>
              </w:rPr>
              <w:t>Royal Commissions Amendment Act 1991</w:t>
            </w:r>
          </w:p>
        </w:tc>
        <w:tc>
          <w:tcPr>
            <w:tcW w:w="1134" w:type="dxa"/>
          </w:tcPr>
          <w:p>
            <w:pPr>
              <w:pStyle w:val="nTable"/>
              <w:spacing w:before="120"/>
              <w:rPr>
                <w:sz w:val="19"/>
              </w:rPr>
            </w:pPr>
            <w:r>
              <w:rPr>
                <w:sz w:val="19"/>
              </w:rPr>
              <w:t>3 of 1991</w:t>
            </w:r>
          </w:p>
        </w:tc>
        <w:tc>
          <w:tcPr>
            <w:tcW w:w="1134" w:type="dxa"/>
          </w:tcPr>
          <w:p>
            <w:pPr>
              <w:pStyle w:val="nTable"/>
              <w:spacing w:before="120"/>
              <w:rPr>
                <w:sz w:val="19"/>
              </w:rPr>
            </w:pPr>
            <w:r>
              <w:rPr>
                <w:sz w:val="19"/>
              </w:rPr>
              <w:t>23 May 1991</w:t>
            </w:r>
          </w:p>
        </w:tc>
        <w:tc>
          <w:tcPr>
            <w:tcW w:w="2552" w:type="dxa"/>
          </w:tcPr>
          <w:p>
            <w:pPr>
              <w:pStyle w:val="nTable"/>
              <w:spacing w:before="120"/>
              <w:rPr>
                <w:sz w:val="19"/>
              </w:rPr>
            </w:pPr>
            <w:r>
              <w:rPr>
                <w:sz w:val="19"/>
              </w:rPr>
              <w:t>Deemed operative 8 Jan 1991 (see s. 2)</w:t>
            </w:r>
          </w:p>
        </w:tc>
      </w:tr>
      <w:tr>
        <w:trPr>
          <w:gridAfter w:val="1"/>
          <w:wAfter w:w="28" w:type="dxa"/>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gridAfter w:val="1"/>
          <w:wAfter w:w="28" w:type="dxa"/>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41</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2"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 xml:space="preserve">Statutes (Repeals and Minor Amendments) Act 1997 </w:t>
            </w:r>
            <w:r>
              <w:rPr>
                <w:sz w:val="19"/>
              </w:rPr>
              <w:t>s. 108</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gridAfter w:val="1"/>
          <w:wAfter w:w="28" w:type="dxa"/>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 w:name="_Toc534778309"/>
      <w:bookmarkStart w:id="191" w:name="_Toc7405063"/>
      <w:bookmarkStart w:id="192" w:name="_Toc139965827"/>
      <w:r>
        <w:rPr>
          <w:snapToGrid w:val="0"/>
        </w:rPr>
        <w:t>Provisions that have not come into operation</w:t>
      </w:r>
      <w:bookmarkEnd w:id="190"/>
      <w:bookmarkEnd w:id="191"/>
      <w:bookmarkEnd w:id="1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vertAlign w:val="superscript"/>
                <w:lang w:val="en-US"/>
              </w:rPr>
            </w:pPr>
            <w:r>
              <w:rPr>
                <w:i/>
                <w:iCs/>
                <w:snapToGrid w:val="0"/>
                <w:sz w:val="19"/>
                <w:lang w:val="en-US"/>
              </w:rPr>
              <w:t>Royal Commissions (Powers) Amendment Act 2006</w:t>
            </w:r>
            <w:r>
              <w:rPr>
                <w:snapToGrid w:val="0"/>
                <w:sz w:val="19"/>
                <w:lang w:val="en-US"/>
              </w:rPr>
              <w:t xml:space="preserve"> Pt. 2 </w:t>
            </w:r>
            <w:r>
              <w:rPr>
                <w:snapToGrid w:val="0"/>
                <w:sz w:val="19"/>
                <w:vertAlign w:val="superscript"/>
                <w:lang w:val="en-US"/>
              </w:rPr>
              <w:t>2</w:t>
            </w:r>
          </w:p>
        </w:tc>
        <w:tc>
          <w:tcPr>
            <w:tcW w:w="1118" w:type="dxa"/>
          </w:tcPr>
          <w:p>
            <w:pPr>
              <w:pStyle w:val="nTable"/>
              <w:rPr>
                <w:snapToGrid w:val="0"/>
                <w:sz w:val="19"/>
                <w:lang w:val="en-US"/>
              </w:rPr>
            </w:pPr>
            <w:r>
              <w:rPr>
                <w:snapToGrid w:val="0"/>
                <w:sz w:val="19"/>
                <w:lang w:val="en-US"/>
              </w:rPr>
              <w:t>30 of 2006</w:t>
            </w:r>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 xml:space="preserve">Royal Commissions (Powers) Amendment Act 2006 </w:t>
      </w:r>
      <w:r>
        <w:rPr>
          <w:snapToGrid w:val="0"/>
          <w:sz w:val="19"/>
          <w:lang w:val="en-US"/>
        </w:rPr>
        <w:t xml:space="preserve">Pt. 2 </w:t>
      </w:r>
      <w:r>
        <w:rPr>
          <w:snapToGrid w:val="0"/>
        </w:rPr>
        <w:t>had not come into operation.  It reads as follows:</w:t>
      </w:r>
    </w:p>
    <w:p>
      <w:pPr>
        <w:pStyle w:val="MiscOpen"/>
        <w:rPr>
          <w:snapToGrid w:val="0"/>
        </w:rPr>
      </w:pPr>
      <w:r>
        <w:rPr>
          <w:snapToGrid w:val="0"/>
        </w:rPr>
        <w:t>“</w:t>
      </w:r>
    </w:p>
    <w:p>
      <w:pPr>
        <w:pStyle w:val="nzHeading2"/>
      </w:pPr>
      <w:bookmarkStart w:id="193" w:name="_Toc69105541"/>
      <w:bookmarkStart w:id="194" w:name="_Toc69119410"/>
      <w:bookmarkStart w:id="195" w:name="_Toc69125998"/>
      <w:bookmarkStart w:id="196" w:name="_Toc69201602"/>
      <w:bookmarkStart w:id="197" w:name="_Toc69203770"/>
      <w:bookmarkStart w:id="198" w:name="_Toc69810807"/>
      <w:bookmarkStart w:id="199" w:name="_Toc69881465"/>
      <w:bookmarkStart w:id="200" w:name="_Toc69890956"/>
      <w:bookmarkStart w:id="201" w:name="_Toc69893957"/>
      <w:bookmarkStart w:id="202" w:name="_Toc69894080"/>
      <w:bookmarkStart w:id="203" w:name="_Toc69894811"/>
      <w:bookmarkStart w:id="204" w:name="_Toc73186712"/>
      <w:bookmarkStart w:id="205" w:name="_Toc73264743"/>
      <w:bookmarkStart w:id="206" w:name="_Toc73272081"/>
      <w:bookmarkStart w:id="207" w:name="_Toc73289004"/>
      <w:bookmarkStart w:id="208" w:name="_Toc73326048"/>
      <w:bookmarkStart w:id="209" w:name="_Toc73326088"/>
      <w:bookmarkStart w:id="210" w:name="_Toc73328708"/>
      <w:bookmarkStart w:id="211" w:name="_Toc73329520"/>
      <w:bookmarkStart w:id="212" w:name="_Toc73331997"/>
      <w:bookmarkStart w:id="213" w:name="_Toc73332308"/>
      <w:bookmarkStart w:id="214" w:name="_Toc73333400"/>
      <w:bookmarkStart w:id="215" w:name="_Toc73333432"/>
      <w:bookmarkStart w:id="216" w:name="_Toc73335858"/>
      <w:bookmarkStart w:id="217" w:name="_Toc73444696"/>
      <w:bookmarkStart w:id="218" w:name="_Toc73444723"/>
      <w:bookmarkStart w:id="219" w:name="_Toc73776578"/>
      <w:bookmarkStart w:id="220" w:name="_Toc73783345"/>
      <w:bookmarkStart w:id="221" w:name="_Toc73784684"/>
      <w:bookmarkStart w:id="222" w:name="_Toc74045448"/>
      <w:bookmarkStart w:id="223" w:name="_Toc74116592"/>
      <w:bookmarkStart w:id="224" w:name="_Toc74127629"/>
      <w:bookmarkStart w:id="225" w:name="_Toc74127995"/>
      <w:bookmarkStart w:id="226" w:name="_Toc74448014"/>
      <w:bookmarkStart w:id="227" w:name="_Toc74448204"/>
      <w:bookmarkStart w:id="228" w:name="_Toc74715212"/>
      <w:bookmarkStart w:id="229" w:name="_Toc74716060"/>
      <w:bookmarkStart w:id="230" w:name="_Toc74718338"/>
      <w:bookmarkStart w:id="231" w:name="_Toc74728636"/>
      <w:bookmarkStart w:id="232" w:name="_Toc74728668"/>
      <w:bookmarkStart w:id="233" w:name="_Toc74728698"/>
      <w:bookmarkStart w:id="234" w:name="_Toc74728728"/>
      <w:bookmarkStart w:id="235" w:name="_Toc75148479"/>
      <w:bookmarkStart w:id="236" w:name="_Toc75151263"/>
      <w:bookmarkStart w:id="237" w:name="_Toc75158181"/>
      <w:bookmarkStart w:id="238" w:name="_Toc75920454"/>
      <w:bookmarkStart w:id="239" w:name="_Toc76267287"/>
      <w:bookmarkStart w:id="240" w:name="_Toc98906530"/>
      <w:bookmarkStart w:id="241" w:name="_Toc98918147"/>
      <w:bookmarkStart w:id="242" w:name="_Toc98918178"/>
      <w:bookmarkStart w:id="243" w:name="_Toc98918233"/>
      <w:bookmarkStart w:id="244" w:name="_Toc99177640"/>
      <w:bookmarkStart w:id="245" w:name="_Toc99269539"/>
      <w:bookmarkStart w:id="246" w:name="_Toc99419956"/>
      <w:bookmarkStart w:id="247" w:name="_Toc139342717"/>
      <w:bookmarkStart w:id="248" w:name="_Toc139342792"/>
      <w:bookmarkStart w:id="249" w:name="_Toc139791032"/>
      <w:r>
        <w:rPr>
          <w:rStyle w:val="CharPartNo"/>
        </w:rPr>
        <w:t>Part 2</w:t>
      </w:r>
      <w:r>
        <w:rPr>
          <w:rStyle w:val="CharDivNo"/>
        </w:rPr>
        <w:t> </w:t>
      </w:r>
      <w:r>
        <w:t>—</w:t>
      </w:r>
      <w:r>
        <w:rPr>
          <w:rStyle w:val="CharDivText"/>
        </w:rPr>
        <w:t> </w:t>
      </w:r>
      <w:r>
        <w:rPr>
          <w:rStyle w:val="CharPartText"/>
        </w:rPr>
        <w:t xml:space="preserve">Amendments to </w:t>
      </w:r>
      <w:r>
        <w:rPr>
          <w:rStyle w:val="CharPartText"/>
          <w:i/>
        </w:rPr>
        <w:t>Royal Commissions Act 1968</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zHeading5"/>
        <w:rPr>
          <w:snapToGrid w:val="0"/>
        </w:rPr>
      </w:pPr>
      <w:bookmarkStart w:id="250" w:name="_Toc81192821"/>
      <w:bookmarkStart w:id="251" w:name="_Toc139342793"/>
      <w:bookmarkStart w:id="252" w:name="_Toc139791033"/>
      <w:r>
        <w:rPr>
          <w:rStyle w:val="CharSectno"/>
        </w:rPr>
        <w:t>3</w:t>
      </w:r>
      <w:r>
        <w:rPr>
          <w:snapToGrid w:val="0"/>
        </w:rPr>
        <w:t>.</w:t>
      </w:r>
      <w:r>
        <w:rPr>
          <w:snapToGrid w:val="0"/>
        </w:rPr>
        <w:tab/>
        <w:t>The Act amended</w:t>
      </w:r>
      <w:bookmarkEnd w:id="250"/>
      <w:bookmarkEnd w:id="251"/>
      <w:bookmarkEnd w:id="252"/>
    </w:p>
    <w:p>
      <w:pPr>
        <w:pStyle w:val="nzSubsection"/>
      </w:pPr>
      <w:r>
        <w:tab/>
      </w:r>
      <w:r>
        <w:tab/>
        <w:t xml:space="preserve">The amendments in this Part are to the </w:t>
      </w:r>
      <w:r>
        <w:rPr>
          <w:i/>
        </w:rPr>
        <w:t>Royal Commissions Act 1968</w:t>
      </w:r>
      <w:r>
        <w:t>.</w:t>
      </w:r>
    </w:p>
    <w:p>
      <w:pPr>
        <w:pStyle w:val="nzHeading5"/>
      </w:pPr>
      <w:bookmarkStart w:id="253" w:name="_Toc81192822"/>
      <w:bookmarkStart w:id="254" w:name="_Toc139342794"/>
      <w:bookmarkStart w:id="255" w:name="_Toc139791034"/>
      <w:r>
        <w:rPr>
          <w:rStyle w:val="CharSectno"/>
        </w:rPr>
        <w:t>4</w:t>
      </w:r>
      <w:r>
        <w:t>.</w:t>
      </w:r>
      <w:r>
        <w:tab/>
        <w:t>Section 4 amended</w:t>
      </w:r>
      <w:bookmarkEnd w:id="253"/>
      <w:bookmarkEnd w:id="254"/>
      <w:bookmarkEnd w:id="255"/>
    </w:p>
    <w:p>
      <w:pPr>
        <w:pStyle w:val="nzSubsection"/>
      </w:pPr>
      <w:r>
        <w:tab/>
      </w:r>
      <w:r>
        <w:tab/>
        <w:t>Section 4 is amended as follows:</w:t>
      </w:r>
    </w:p>
    <w:p>
      <w:pPr>
        <w:pStyle w:val="nzIndenta"/>
      </w:pPr>
      <w:r>
        <w:tab/>
        <w:t>(a)</w:t>
      </w:r>
      <w:r>
        <w:tab/>
        <w:t xml:space="preserve">in the definition of “documents” by deleting “1906.” and inserting instead — </w:t>
      </w:r>
    </w:p>
    <w:p>
      <w:pPr>
        <w:pStyle w:val="nzIndenta"/>
      </w:pPr>
      <w:r>
        <w:tab/>
      </w:r>
      <w:r>
        <w:tab/>
        <w:t xml:space="preserve">“    </w:t>
      </w:r>
      <w:r>
        <w:rPr>
          <w:i/>
        </w:rPr>
        <w:t>1906</w:t>
      </w:r>
      <w:r>
        <w:t>;    ”;</w:t>
      </w:r>
    </w:p>
    <w:p>
      <w:pPr>
        <w:pStyle w:val="nzIndenta"/>
      </w:pPr>
      <w:r>
        <w:tab/>
        <w:t>(b)</w:t>
      </w:r>
      <w:r>
        <w:tab/>
        <w:t xml:space="preserve">after the definition of “documents” by inserting — </w:t>
      </w:r>
    </w:p>
    <w:p>
      <w:pPr>
        <w:pStyle w:val="MiscOpen"/>
        <w:spacing w:before="60"/>
        <w:ind w:left="879"/>
      </w:pPr>
      <w:r>
        <w:t xml:space="preserve">“    </w:t>
      </w:r>
    </w:p>
    <w:p>
      <w:pPr>
        <w:pStyle w:val="nzDefstart"/>
      </w:pPr>
      <w:r>
        <w:rPr>
          <w:b/>
        </w:rPr>
        <w:tab/>
        <w:t>“</w:t>
      </w:r>
      <w:r>
        <w:rPr>
          <w:rStyle w:val="CharDefText"/>
        </w:rPr>
        <w:t>officer of the Commission</w:t>
      </w:r>
      <w:r>
        <w:rPr>
          <w:b/>
        </w:rPr>
        <w:t>”</w:t>
      </w:r>
      <w:r>
        <w:t xml:space="preserve">, in relation to a Commission, means — </w:t>
      </w:r>
    </w:p>
    <w:p>
      <w:pPr>
        <w:pStyle w:val="nzDefpara"/>
      </w:pPr>
      <w:r>
        <w:tab/>
        <w:t>(a)</w:t>
      </w:r>
      <w:r>
        <w:tab/>
        <w:t>a person appointed by the Attorney General to assist the Commission; or</w:t>
      </w:r>
    </w:p>
    <w:p>
      <w:pPr>
        <w:pStyle w:val="nzDefpara"/>
      </w:pPr>
      <w:r>
        <w:tab/>
        <w:t>(b)</w:t>
      </w:r>
      <w:r>
        <w:tab/>
        <w:t>any other person appointed, employed, seconded or engaged to assist the Commission.</w:t>
      </w:r>
    </w:p>
    <w:p>
      <w:pPr>
        <w:pStyle w:val="MiscClose"/>
      </w:pPr>
      <w:r>
        <w:t xml:space="preserve">    ”.</w:t>
      </w:r>
    </w:p>
    <w:p>
      <w:pPr>
        <w:pStyle w:val="nzHeading5"/>
      </w:pPr>
      <w:bookmarkStart w:id="256" w:name="_Toc81192823"/>
      <w:bookmarkStart w:id="257" w:name="_Toc139342795"/>
      <w:bookmarkStart w:id="258" w:name="_Toc139791035"/>
      <w:r>
        <w:rPr>
          <w:rStyle w:val="CharSectno"/>
        </w:rPr>
        <w:t>5</w:t>
      </w:r>
      <w:r>
        <w:t>.</w:t>
      </w:r>
      <w:r>
        <w:tab/>
        <w:t>Sections 8A and 8B inserted</w:t>
      </w:r>
      <w:bookmarkEnd w:id="256"/>
      <w:bookmarkEnd w:id="257"/>
      <w:bookmarkEnd w:id="258"/>
    </w:p>
    <w:p>
      <w:pPr>
        <w:pStyle w:val="nzSubsection"/>
      </w:pPr>
      <w:r>
        <w:tab/>
      </w:r>
      <w:r>
        <w:tab/>
        <w:t xml:space="preserve">After section 8 the following sections are inserted — </w:t>
      </w:r>
    </w:p>
    <w:p>
      <w:pPr>
        <w:pStyle w:val="MiscOpen"/>
        <w:spacing w:before="60"/>
      </w:pPr>
      <w:bookmarkStart w:id="259" w:name="_Toc61663941"/>
      <w:bookmarkStart w:id="260" w:name="_Toc62378054"/>
      <w:r>
        <w:t xml:space="preserve">“    </w:t>
      </w:r>
    </w:p>
    <w:p>
      <w:pPr>
        <w:pStyle w:val="nzHeading5"/>
      </w:pPr>
      <w:r>
        <w:t>8A.</w:t>
      </w:r>
      <w:r>
        <w:tab/>
        <w:t>Power to obtain information</w:t>
      </w:r>
      <w:bookmarkEnd w:id="259"/>
      <w:r>
        <w:t xml:space="preserve"> from public authority or officer</w:t>
      </w:r>
      <w:bookmarkEnd w:id="260"/>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p>
    <w:p>
      <w:pPr>
        <w:pStyle w:val="nzSubsection"/>
      </w:pPr>
      <w:r>
        <w:tab/>
        <w:t>(2)</w:t>
      </w:r>
      <w:r>
        <w:tab/>
        <w:t>A Commission may, for the purposes of the inquiry, serve written notice on a public authority or public officer, requiring the authority or officer to produce a statement of information.</w:t>
      </w:r>
    </w:p>
    <w:p>
      <w:pPr>
        <w:pStyle w:val="nzSubsection"/>
      </w:pPr>
      <w:r>
        <w:tab/>
        <w:t>(3)</w:t>
      </w:r>
      <w:r>
        <w:tab/>
        <w:t xml:space="preserve">A notice under this section must — </w:t>
      </w:r>
    </w:p>
    <w:p>
      <w:pPr>
        <w:pStyle w:val="nzIndenta"/>
      </w:pPr>
      <w:r>
        <w:tab/>
        <w:t>(a)</w:t>
      </w:r>
      <w:r>
        <w:tab/>
        <w:t>specify or describe the information required;</w:t>
      </w:r>
    </w:p>
    <w:p>
      <w:pPr>
        <w:pStyle w:val="nzIndenta"/>
      </w:pPr>
      <w:r>
        <w:tab/>
        <w:t>(b)</w:t>
      </w:r>
      <w:r>
        <w:tab/>
        <w:t>fix a time and day by which the statement of information must be produced; and</w:t>
      </w:r>
    </w:p>
    <w:p>
      <w:pPr>
        <w:pStyle w:val="nzIndenta"/>
      </w:pPr>
      <w:r>
        <w:tab/>
        <w:t>(c)</w:t>
      </w:r>
      <w:r>
        <w:tab/>
        <w:t>specify the person (being the Commission or an officer of the Commission) to whom the production is to be made.</w:t>
      </w:r>
    </w:p>
    <w:p>
      <w:pPr>
        <w:pStyle w:val="nzSubsection"/>
      </w:pPr>
      <w:r>
        <w:tab/>
        <w:t>(4)</w:t>
      </w:r>
      <w:r>
        <w:tab/>
        <w:t xml:space="preserve">The notice — </w:t>
      </w:r>
    </w:p>
    <w:p>
      <w:pPr>
        <w:pStyle w:val="nzIndenta"/>
      </w:pPr>
      <w:r>
        <w:tab/>
        <w:t>(a)</w:t>
      </w:r>
      <w:r>
        <w:tab/>
        <w:t>may provide that the requirement may be satisfied by some other person acting on behalf of the public authority or public officer; and</w:t>
      </w:r>
    </w:p>
    <w:p>
      <w:pPr>
        <w:pStyle w:val="nzIndenta"/>
      </w:pPr>
      <w:r>
        <w:tab/>
        <w:t>(b)</w:t>
      </w:r>
      <w:r>
        <w:tab/>
        <w:t>may specify the person or class of persons who may so act.</w:t>
      </w:r>
    </w:p>
    <w:p>
      <w:pPr>
        <w:pStyle w:val="nzSubsection"/>
      </w:pPr>
      <w:r>
        <w:tab/>
        <w:t>(5)</w:t>
      </w:r>
      <w:r>
        <w:tab/>
        <w:t xml:space="preserve">The powers conferred by this section may be exercised despite — </w:t>
      </w:r>
    </w:p>
    <w:p>
      <w:pPr>
        <w:pStyle w:val="nzIndenta"/>
      </w:pPr>
      <w:r>
        <w:tab/>
        <w:t>(a)</w:t>
      </w:r>
      <w:r>
        <w:tab/>
        <w:t>any rule of law which, in proceedings in a court, might justify an objection to the production of a statement of information on grounds of public interest;</w:t>
      </w:r>
    </w:p>
    <w:p>
      <w:pPr>
        <w:pStyle w:val="nzIndenta"/>
      </w:pPr>
      <w:r>
        <w:tab/>
        <w:t>(b)</w:t>
      </w:r>
      <w:r>
        <w:tab/>
        <w:t>any privilege of a public authority or public officer in that capacity which the authority or officer could have claimed in a court of law; or</w:t>
      </w:r>
    </w:p>
    <w:p>
      <w:pPr>
        <w:pStyle w:val="nzIndenta"/>
      </w:pPr>
      <w:r>
        <w:tab/>
        <w:t>(c)</w:t>
      </w:r>
      <w:r>
        <w:tab/>
        <w:t>any duty of secrecy or other restriction on disclosure applying to a public authority or public officer.</w:t>
      </w:r>
    </w:p>
    <w:p>
      <w:pPr>
        <w:pStyle w:val="nzSubsection"/>
      </w:pPr>
      <w:r>
        <w:tab/>
        <w:t>(6)</w:t>
      </w:r>
      <w:r>
        <w:tab/>
        <w:t xml:space="preserve">Subsection (5) does not limit or otherwise affect the operation of the </w:t>
      </w:r>
      <w:r>
        <w:rPr>
          <w:i/>
        </w:rPr>
        <w:t>Parliamentary Privileges Act 1891</w:t>
      </w:r>
      <w:r>
        <w:t>.</w:t>
      </w:r>
    </w:p>
    <w:p>
      <w:pPr>
        <w:pStyle w:val="nz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nzIndenta"/>
      </w:pPr>
      <w:r>
        <w:tab/>
        <w:t>(a)</w:t>
      </w:r>
      <w:r>
        <w:tab/>
        <w:t>contempt proceedings; or</w:t>
      </w:r>
    </w:p>
    <w:p>
      <w:pPr>
        <w:pStyle w:val="nzIndenta"/>
      </w:pPr>
      <w:r>
        <w:tab/>
        <w:t>(b)</w:t>
      </w:r>
      <w:r>
        <w:tab/>
        <w:t>proceedings for an offence against this Act.</w:t>
      </w:r>
    </w:p>
    <w:p>
      <w:pPr>
        <w:pStyle w:val="nz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nzHeading5"/>
      </w:pPr>
      <w:bookmarkStart w:id="261" w:name="_Toc61663942"/>
      <w:bookmarkStart w:id="262" w:name="_Toc62378055"/>
      <w:r>
        <w:t>8B.</w:t>
      </w:r>
      <w:r>
        <w:tab/>
      </w:r>
      <w:bookmarkStart w:id="263" w:name="_Toc42689199"/>
      <w:r>
        <w:t>Power to obtain documents and other things</w:t>
      </w:r>
      <w:bookmarkEnd w:id="261"/>
      <w:bookmarkEnd w:id="262"/>
      <w:bookmarkEnd w:id="263"/>
    </w:p>
    <w:p>
      <w:pPr>
        <w:pStyle w:val="nzSubsection"/>
      </w:pPr>
      <w:r>
        <w:tab/>
        <w:t>(1)</w:t>
      </w:r>
      <w:r>
        <w:tab/>
        <w:t xml:space="preserve">A </w:t>
      </w:r>
      <w:r>
        <w:rPr>
          <w:snapToGrid w:val="0"/>
        </w:rPr>
        <w:t>Commission</w:t>
      </w:r>
      <w:r>
        <w:t xml:space="preserve"> may, for the purposes of the inquiry, serve written notice on a person requiring the person — </w:t>
      </w:r>
    </w:p>
    <w:p>
      <w:pPr>
        <w:pStyle w:val="nzIndenta"/>
      </w:pPr>
      <w:r>
        <w:tab/>
        <w:t>(a)</w:t>
      </w:r>
      <w:r>
        <w:tab/>
        <w:t>to attend, at a time and place specified in the notice, before the Commission or an officer of the Commission as specified in the notice; and</w:t>
      </w:r>
    </w:p>
    <w:p>
      <w:pPr>
        <w:pStyle w:val="nzIndenta"/>
      </w:pPr>
      <w:r>
        <w:tab/>
        <w:t>(b)</w:t>
      </w:r>
      <w:r>
        <w:tab/>
        <w:t>to produce at that time and place to the person so specified documents, books, writings or things specified in the notice.</w:t>
      </w:r>
    </w:p>
    <w:p>
      <w:pPr>
        <w:pStyle w:val="nzSubsection"/>
      </w:pPr>
      <w:r>
        <w:tab/>
        <w:t>(2)</w:t>
      </w:r>
      <w:r>
        <w:tab/>
        <w:t xml:space="preserve">The notice — </w:t>
      </w:r>
    </w:p>
    <w:p>
      <w:pPr>
        <w:pStyle w:val="nzIndenta"/>
      </w:pPr>
      <w:r>
        <w:tab/>
        <w:t>(a)</w:t>
      </w:r>
      <w:r>
        <w:tab/>
        <w:t>may provide that the requirement may be satisfied by some other person acting on behalf of the person on whom it was imposed; and</w:t>
      </w:r>
    </w:p>
    <w:p>
      <w:pPr>
        <w:pStyle w:val="nzIndenta"/>
      </w:pPr>
      <w:r>
        <w:tab/>
        <w:t>(b)</w:t>
      </w:r>
      <w:r>
        <w:tab/>
        <w:t>may specify the person or class of persons who may so act.</w:t>
      </w:r>
    </w:p>
    <w:p>
      <w:pPr>
        <w:pStyle w:val="MiscClose"/>
      </w:pPr>
      <w:r>
        <w:t xml:space="preserve">    ”.</w:t>
      </w:r>
    </w:p>
    <w:p>
      <w:pPr>
        <w:pStyle w:val="nzHeading5"/>
      </w:pPr>
      <w:bookmarkStart w:id="264" w:name="_Toc81192824"/>
      <w:bookmarkStart w:id="265" w:name="_Toc139342796"/>
      <w:bookmarkStart w:id="266" w:name="_Toc139791036"/>
      <w:r>
        <w:rPr>
          <w:rStyle w:val="CharSectno"/>
        </w:rPr>
        <w:t>6</w:t>
      </w:r>
      <w:r>
        <w:t>.</w:t>
      </w:r>
      <w:r>
        <w:tab/>
        <w:t>Section 9 amended</w:t>
      </w:r>
      <w:bookmarkEnd w:id="264"/>
      <w:bookmarkEnd w:id="265"/>
      <w:bookmarkEnd w:id="266"/>
    </w:p>
    <w:p>
      <w:pPr>
        <w:pStyle w:val="nzSubsection"/>
      </w:pPr>
      <w:r>
        <w:tab/>
      </w:r>
      <w:r>
        <w:tab/>
        <w:t xml:space="preserve">Section 9 is amended by deleting “or writings” and inserting instead — </w:t>
      </w:r>
    </w:p>
    <w:p>
      <w:pPr>
        <w:pStyle w:val="nzSubsection"/>
      </w:pPr>
      <w:r>
        <w:tab/>
      </w:r>
      <w:r>
        <w:tab/>
        <w:t>“    writings or things    ”.</w:t>
      </w:r>
    </w:p>
    <w:p>
      <w:pPr>
        <w:pStyle w:val="nzHeading5"/>
      </w:pPr>
      <w:bookmarkStart w:id="267" w:name="_Toc81192825"/>
      <w:bookmarkStart w:id="268" w:name="_Toc139342797"/>
      <w:bookmarkStart w:id="269" w:name="_Toc139791037"/>
      <w:r>
        <w:rPr>
          <w:rStyle w:val="CharSectno"/>
        </w:rPr>
        <w:t>7</w:t>
      </w:r>
      <w:r>
        <w:t>.</w:t>
      </w:r>
      <w:r>
        <w:tab/>
        <w:t>Section 12 repealed</w:t>
      </w:r>
      <w:bookmarkEnd w:id="267"/>
      <w:bookmarkEnd w:id="268"/>
      <w:bookmarkEnd w:id="269"/>
    </w:p>
    <w:p>
      <w:pPr>
        <w:pStyle w:val="nzSubsection"/>
      </w:pPr>
      <w:r>
        <w:tab/>
      </w:r>
      <w:r>
        <w:tab/>
        <w:t>Section 12 is repealed.</w:t>
      </w:r>
    </w:p>
    <w:p>
      <w:pPr>
        <w:pStyle w:val="nzHeading5"/>
      </w:pPr>
      <w:bookmarkStart w:id="270" w:name="_Toc81192826"/>
      <w:bookmarkStart w:id="271" w:name="_Toc139342798"/>
      <w:bookmarkStart w:id="272" w:name="_Toc139791038"/>
      <w:r>
        <w:rPr>
          <w:rStyle w:val="CharSectno"/>
        </w:rPr>
        <w:t>8</w:t>
      </w:r>
      <w:r>
        <w:t>.</w:t>
      </w:r>
      <w:r>
        <w:tab/>
        <w:t>Sections 13 and 14 replaced by sections 12A to 15E</w:t>
      </w:r>
      <w:bookmarkEnd w:id="270"/>
      <w:bookmarkEnd w:id="271"/>
      <w:bookmarkEnd w:id="272"/>
    </w:p>
    <w:p>
      <w:pPr>
        <w:pStyle w:val="nzSubsection"/>
      </w:pPr>
      <w:r>
        <w:tab/>
      </w:r>
      <w:r>
        <w:tab/>
        <w:t xml:space="preserve">Sections 13 and 14 are repealed and the following sections are inserted instead — </w:t>
      </w:r>
    </w:p>
    <w:p>
      <w:pPr>
        <w:pStyle w:val="MiscOpen"/>
      </w:pPr>
      <w:bookmarkStart w:id="273" w:name="_Toc61664018"/>
      <w:bookmarkStart w:id="274" w:name="_Toc62378120"/>
      <w:r>
        <w:t xml:space="preserve">“    </w:t>
      </w:r>
    </w:p>
    <w:p>
      <w:pPr>
        <w:pStyle w:val="nzHeading5"/>
      </w:pPr>
      <w:bookmarkStart w:id="275" w:name="_Toc61664017"/>
      <w:bookmarkStart w:id="276" w:name="_Toc62378119"/>
      <w:r>
        <w:t>12A.</w:t>
      </w:r>
      <w:r>
        <w:tab/>
      </w:r>
      <w:bookmarkEnd w:id="275"/>
      <w:bookmarkEnd w:id="276"/>
      <w:r>
        <w:t>Contempt: failing to produce statement of information</w:t>
      </w:r>
    </w:p>
    <w:p>
      <w:pPr>
        <w:pStyle w:val="nzSubsection"/>
      </w:pPr>
      <w:r>
        <w:tab/>
      </w:r>
      <w:r>
        <w:tab/>
        <w:t xml:space="preserve">A person who — </w:t>
      </w:r>
    </w:p>
    <w:p>
      <w:pPr>
        <w:pStyle w:val="nzIndenta"/>
      </w:pPr>
      <w:r>
        <w:tab/>
        <w:t>(a)</w:t>
      </w:r>
      <w:r>
        <w:tab/>
        <w:t>fails, without reasonable excuse, to comply with a notice served on the person under section 8A; or</w:t>
      </w:r>
    </w:p>
    <w:p>
      <w:pPr>
        <w:pStyle w:val="nzIndenta"/>
      </w:pPr>
      <w:r>
        <w:tab/>
        <w:t>(b)</w:t>
      </w:r>
      <w:r>
        <w:tab/>
        <w:t>in purported compliance with a notice served on the person or some other person under section 8A, furnishes information knowing it to be false or misleading in a material particular,</w:t>
      </w:r>
    </w:p>
    <w:p>
      <w:pPr>
        <w:pStyle w:val="nzSubsection"/>
      </w:pPr>
      <w:r>
        <w:tab/>
      </w:r>
      <w:r>
        <w:tab/>
        <w:t>is in contempt of the Commission.</w:t>
      </w:r>
    </w:p>
    <w:p>
      <w:pPr>
        <w:pStyle w:val="nzHeading5"/>
      </w:pPr>
      <w:r>
        <w:t>13.</w:t>
      </w:r>
      <w:r>
        <w:tab/>
        <w:t>Contempt: failing to attend or produce documents</w:t>
      </w:r>
    </w:p>
    <w:bookmarkEnd w:id="273"/>
    <w:bookmarkEnd w:id="274"/>
    <w:p>
      <w:pPr>
        <w:pStyle w:val="nzSubsection"/>
      </w:pPr>
      <w:r>
        <w:tab/>
        <w:t>(1)</w:t>
      </w:r>
      <w:r>
        <w:tab/>
        <w:t xml:space="preserve">A person who fails, without reasonable excuse, to — </w:t>
      </w:r>
    </w:p>
    <w:p>
      <w:pPr>
        <w:pStyle w:val="nzIndenta"/>
      </w:pPr>
      <w:r>
        <w:tab/>
        <w:t>(a)</w:t>
      </w:r>
      <w:r>
        <w:tab/>
        <w:t>attend before a Commission or an officer of a Commission as required by a notice under section 8B; or</w:t>
      </w:r>
    </w:p>
    <w:p>
      <w:pPr>
        <w:pStyle w:val="nzIndenta"/>
      </w:pPr>
      <w:r>
        <w:tab/>
        <w:t>(b)</w:t>
      </w:r>
      <w:r>
        <w:tab/>
        <w:t>produce any documents, books, writings or things to a Commission or an officer of a Commission as required by a notice under section 8B,</w:t>
      </w:r>
    </w:p>
    <w:p>
      <w:pPr>
        <w:pStyle w:val="nzSubsection"/>
      </w:pPr>
      <w:r>
        <w:tab/>
      </w:r>
      <w:r>
        <w:tab/>
        <w:t>is in contempt of the Commission.</w:t>
      </w:r>
    </w:p>
    <w:p>
      <w:pPr>
        <w:pStyle w:val="nzSubsection"/>
      </w:pPr>
      <w:r>
        <w:tab/>
        <w:t>(2)</w:t>
      </w:r>
      <w:r>
        <w:tab/>
        <w:t xml:space="preserve">A person who fails, without reasonable excuse, to — </w:t>
      </w:r>
    </w:p>
    <w:p>
      <w:pPr>
        <w:pStyle w:val="nzIndenta"/>
      </w:pPr>
      <w:bookmarkStart w:id="277" w:name="_Hlt528379089"/>
      <w:r>
        <w:tab/>
        <w:t>(a)</w:t>
      </w:r>
      <w:r>
        <w:tab/>
        <w:t>attend before a Commission as required by a summons under section 9 and by section </w:t>
      </w:r>
      <w:bookmarkEnd w:id="277"/>
      <w:r>
        <w:t>10; or</w:t>
      </w:r>
    </w:p>
    <w:p>
      <w:pPr>
        <w:pStyle w:val="nzIndenta"/>
      </w:pPr>
      <w:r>
        <w:tab/>
        <w:t>(b)</w:t>
      </w:r>
      <w:r>
        <w:tab/>
        <w:t>produce any documents, books, writings or things to a Commission as required by a summons under section 9,</w:t>
      </w:r>
    </w:p>
    <w:p>
      <w:pPr>
        <w:pStyle w:val="nzSubsection"/>
      </w:pPr>
      <w:r>
        <w:tab/>
      </w:r>
      <w:r>
        <w:tab/>
        <w:t>is in contempt of the Commission.</w:t>
      </w:r>
    </w:p>
    <w:p>
      <w:pPr>
        <w:pStyle w:val="nzSubsection"/>
      </w:pPr>
      <w:bookmarkStart w:id="278" w:name="_Toc61664019"/>
      <w:bookmarkStart w:id="279" w:name="_Toc62378121"/>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nzSubsection"/>
      </w:pPr>
      <w:r>
        <w:tab/>
        <w:t>(4)</w:t>
      </w:r>
      <w:r>
        <w:tab/>
        <w:t xml:space="preserve">In this section  — </w:t>
      </w:r>
    </w:p>
    <w:p>
      <w:pPr>
        <w:pStyle w:val="nzDefstart"/>
      </w:pPr>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nzDefpara"/>
      </w:pPr>
      <w:r>
        <w:tab/>
        <w:t>(a)</w:t>
      </w:r>
      <w:r>
        <w:tab/>
        <w:t>might incriminate or tend to incriminate the person or render the person liable to a penalty; or</w:t>
      </w:r>
    </w:p>
    <w:p>
      <w:pPr>
        <w:pStyle w:val="nzDefpara"/>
      </w:pPr>
      <w:r>
        <w:tab/>
        <w:t>(b)</w:t>
      </w:r>
      <w:r>
        <w:tab/>
        <w:t>would be in breach of an obligation of the person not to disclose information, or not to disclose the existence or contents of a document, whether the obligation arose under an enactment or otherwise.</w:t>
      </w:r>
    </w:p>
    <w:p>
      <w:pPr>
        <w:pStyle w:val="nzHeading5"/>
      </w:pPr>
      <w:r>
        <w:t>14.</w:t>
      </w:r>
      <w:r>
        <w:tab/>
        <w:t>Contempt: failing to be sworn or to give evidence when summoned</w:t>
      </w:r>
    </w:p>
    <w:bookmarkEnd w:id="278"/>
    <w:bookmarkEnd w:id="279"/>
    <w:p>
      <w:pPr>
        <w:pStyle w:val="nzSubsection"/>
      </w:pPr>
      <w:r>
        <w:tab/>
        <w:t>(1)</w:t>
      </w:r>
      <w:r>
        <w:tab/>
        <w:t xml:space="preserve">A person served with a summons under section 9 requiring the person to attend a Commission and give evidence who — </w:t>
      </w:r>
    </w:p>
    <w:p>
      <w:pPr>
        <w:pStyle w:val="nzIndenta"/>
      </w:pPr>
      <w:r>
        <w:tab/>
        <w:t>(a)</w:t>
      </w:r>
      <w:r>
        <w:tab/>
        <w:t>refuses to be sworn or make an affirmation; or</w:t>
      </w:r>
    </w:p>
    <w:p>
      <w:pPr>
        <w:pStyle w:val="nzIndenta"/>
      </w:pPr>
      <w:r>
        <w:tab/>
        <w:t>(b)</w:t>
      </w:r>
      <w:r>
        <w:tab/>
        <w:t>fails to answer any question relevant to the investigation that the Commission requires the person to answer,</w:t>
      </w:r>
    </w:p>
    <w:p>
      <w:pPr>
        <w:pStyle w:val="nzSubsection"/>
      </w:pPr>
      <w:r>
        <w:tab/>
      </w:r>
      <w:r>
        <w:tab/>
        <w:t>is in contempt of the Commission.</w:t>
      </w:r>
    </w:p>
    <w:p>
      <w:pPr>
        <w:pStyle w:val="nz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nzHeading5"/>
      </w:pPr>
      <w:bookmarkStart w:id="280" w:name="_Toc61664020"/>
      <w:bookmarkStart w:id="281" w:name="_Toc62378122"/>
      <w:r>
        <w:t>15.</w:t>
      </w:r>
      <w:r>
        <w:tab/>
        <w:t>Contempt: hindering execution of search warrants</w:t>
      </w:r>
    </w:p>
    <w:bookmarkEnd w:id="280"/>
    <w:bookmarkEnd w:id="281"/>
    <w:p>
      <w:pPr>
        <w:pStyle w:val="nzSubsection"/>
      </w:pPr>
      <w:r>
        <w:tab/>
        <w:t>(1)</w:t>
      </w:r>
      <w:r>
        <w:tab/>
        <w:t>This section applies to a Commission to which section 18 applies.</w:t>
      </w:r>
    </w:p>
    <w:p>
      <w:pPr>
        <w:pStyle w:val="nzSubsection"/>
      </w:pPr>
      <w:r>
        <w:tab/>
        <w:t>(2)</w:t>
      </w:r>
      <w:r>
        <w:tab/>
        <w:t xml:space="preserve">In this section — </w:t>
      </w:r>
    </w:p>
    <w:p>
      <w:pPr>
        <w:pStyle w:val="nzDefstart"/>
      </w:pPr>
      <w:r>
        <w:rPr>
          <w:b/>
        </w:rPr>
        <w:tab/>
        <w:t>“</w:t>
      </w:r>
      <w:r>
        <w:rPr>
          <w:rStyle w:val="CharDefText"/>
        </w:rPr>
        <w:t>authorised person</w:t>
      </w:r>
      <w:r>
        <w:rPr>
          <w:b/>
        </w:rPr>
        <w:t>”</w:t>
      </w:r>
      <w:r>
        <w:t xml:space="preserve"> has the meaning given to that term in section 18(11).</w:t>
      </w:r>
    </w:p>
    <w:p>
      <w:pPr>
        <w:pStyle w:val="nzSubsection"/>
      </w:pPr>
      <w:r>
        <w:tab/>
        <w:t>(3)</w:t>
      </w:r>
      <w:r>
        <w:tab/>
        <w:t xml:space="preserve">A person who, without reasonable excuse — </w:t>
      </w:r>
    </w:p>
    <w:p>
      <w:pPr>
        <w:pStyle w:val="nzIndenta"/>
      </w:pPr>
      <w:r>
        <w:tab/>
        <w:t>(a)</w:t>
      </w:r>
      <w:r>
        <w:tab/>
        <w:t>prevents or attempts to prevent an authorised person from exercising a power conferred by or under section 18;</w:t>
      </w:r>
    </w:p>
    <w:p>
      <w:pPr>
        <w:pStyle w:val="nzIndenta"/>
      </w:pPr>
      <w:r>
        <w:tab/>
        <w:t>(b)</w:t>
      </w:r>
      <w:r>
        <w:tab/>
        <w:t>hinders or obstructs an authorised person in the exercise of a power conferred by or under section 18;</w:t>
      </w:r>
    </w:p>
    <w:p>
      <w:pPr>
        <w:pStyle w:val="nzIndenta"/>
      </w:pPr>
      <w:r>
        <w:tab/>
        <w:t>(c)</w:t>
      </w:r>
      <w:r>
        <w:tab/>
        <w:t>fails to comply with a direction or request of an authorised person under section 18(2)(b) or (4)(d); or</w:t>
      </w:r>
    </w:p>
    <w:p>
      <w:pPr>
        <w:pStyle w:val="nzIndenta"/>
      </w:pPr>
      <w:r>
        <w:tab/>
        <w:t>(d)</w:t>
      </w:r>
      <w:r>
        <w:tab/>
        <w:t>fails to comply with a condition imposed on the person under section 18(6)(b),</w:t>
      </w:r>
    </w:p>
    <w:p>
      <w:pPr>
        <w:pStyle w:val="nzSubsection"/>
      </w:pPr>
      <w:r>
        <w:tab/>
      </w:r>
      <w:r>
        <w:tab/>
        <w:t>is in contempt of the Commission.</w:t>
      </w:r>
    </w:p>
    <w:p>
      <w:pPr>
        <w:pStyle w:val="nz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nzSubsection"/>
      </w:pPr>
      <w:r>
        <w:tab/>
        <w:t>(5)</w:t>
      </w:r>
      <w:r>
        <w:tab/>
        <w:t>A person who furnishes to an authorised person acting under a warrant issued under section 18 information that is false in a material particular is in contempt of the Commission.</w:t>
      </w:r>
    </w:p>
    <w:p>
      <w:pPr>
        <w:pStyle w:val="nzHeading5"/>
      </w:pPr>
      <w:bookmarkStart w:id="282" w:name="_Toc61664021"/>
      <w:bookmarkStart w:id="283" w:name="_Toc62378123"/>
      <w:r>
        <w:t>15A.</w:t>
      </w:r>
      <w:r>
        <w:tab/>
        <w:t>Other contempts</w:t>
      </w:r>
    </w:p>
    <w:bookmarkEnd w:id="282"/>
    <w:bookmarkEnd w:id="283"/>
    <w:p>
      <w:pPr>
        <w:pStyle w:val="nzSubsection"/>
      </w:pPr>
      <w:r>
        <w:tab/>
        <w:t>(1)</w:t>
      </w:r>
      <w:r>
        <w:tab/>
        <w:t xml:space="preserve">A person who — </w:t>
      </w:r>
    </w:p>
    <w:p>
      <w:pPr>
        <w:pStyle w:val="nzIndenta"/>
      </w:pPr>
      <w:r>
        <w:tab/>
        <w:t>(a)</w:t>
      </w:r>
      <w:r>
        <w:tab/>
        <w:t xml:space="preserve">threatens or insults — </w:t>
      </w:r>
    </w:p>
    <w:p>
      <w:pPr>
        <w:pStyle w:val="nzIndenti"/>
      </w:pPr>
      <w:r>
        <w:tab/>
        <w:t>(i)</w:t>
      </w:r>
      <w:r>
        <w:tab/>
        <w:t>a Commission;</w:t>
      </w:r>
    </w:p>
    <w:p>
      <w:pPr>
        <w:pStyle w:val="nzIndenti"/>
      </w:pPr>
      <w:r>
        <w:tab/>
        <w:t>(ii)</w:t>
      </w:r>
      <w:r>
        <w:tab/>
      </w:r>
      <w:r>
        <w:rPr>
          <w:snapToGrid w:val="0"/>
        </w:rPr>
        <w:t xml:space="preserve">a person appointed by the Attorney General to assist </w:t>
      </w:r>
      <w:r>
        <w:t xml:space="preserve">a Commission; </w:t>
      </w:r>
    </w:p>
    <w:p>
      <w:pPr>
        <w:pStyle w:val="nzIndenti"/>
      </w:pPr>
      <w:r>
        <w:tab/>
        <w:t>(iii)</w:t>
      </w:r>
      <w:r>
        <w:tab/>
        <w:t>any witness summoned to attend or appearing before a Commission; or</w:t>
      </w:r>
    </w:p>
    <w:p>
      <w:pPr>
        <w:pStyle w:val="nzIndenti"/>
      </w:pPr>
      <w:r>
        <w:tab/>
        <w:t>(iv)</w:t>
      </w:r>
      <w:r>
        <w:tab/>
      </w:r>
      <w:r>
        <w:rPr>
          <w:snapToGrid w:val="0"/>
        </w:rPr>
        <w:t>a person authorised by a Commission to appear before it for the purpose of representing any person</w:t>
      </w:r>
      <w:r>
        <w:t xml:space="preserve">; </w:t>
      </w:r>
    </w:p>
    <w:p>
      <w:pPr>
        <w:pStyle w:val="nzIndenta"/>
      </w:pPr>
      <w:r>
        <w:tab/>
        <w:t>(b)</w:t>
      </w:r>
      <w:r>
        <w:tab/>
        <w:t>interrupts the proceedings of a Commission without reasonable excuse;</w:t>
      </w:r>
    </w:p>
    <w:p>
      <w:pPr>
        <w:pStyle w:val="nzIndenta"/>
      </w:pPr>
      <w:r>
        <w:tab/>
        <w:t>(c)</w:t>
      </w:r>
      <w:r>
        <w:tab/>
        <w:t>creates or continues or joins in creating or continuing, a disturbance in or near a place where a Commission is conducting an inquiry; or</w:t>
      </w:r>
    </w:p>
    <w:p>
      <w:pPr>
        <w:pStyle w:val="nzIndenta"/>
      </w:pPr>
      <w:r>
        <w:tab/>
        <w:t>(d)</w:t>
      </w:r>
      <w:r>
        <w:tab/>
        <w:t>does anything else at an inquiry conducted by the Commission or otherwise that would be contempt of court if the Commission were a Judge acting judicially,</w:t>
      </w:r>
    </w:p>
    <w:p>
      <w:pPr>
        <w:pStyle w:val="nzSubsection"/>
      </w:pPr>
      <w:r>
        <w:tab/>
      </w:r>
      <w:r>
        <w:tab/>
        <w:t>is in contempt of the Commission.</w:t>
      </w:r>
    </w:p>
    <w:p>
      <w:pPr>
        <w:pStyle w:val="nzSubsection"/>
      </w:pPr>
      <w:r>
        <w:tab/>
        <w:t>(2)</w:t>
      </w:r>
      <w:r>
        <w:tab/>
        <w:t>A Commission may order that a person who under subsection (1) is in contempt of the Commission at an inquiry be excluded from the place where the inquiry is being conducted.</w:t>
      </w:r>
    </w:p>
    <w:p>
      <w:pPr>
        <w:pStyle w:val="nzSubsection"/>
      </w:pPr>
      <w:r>
        <w:tab/>
        <w:t>(3)</w:t>
      </w:r>
      <w:r>
        <w:tab/>
        <w:t>An officer of the Commission, acting under the Commission’s order, may exclude the person from the place and may use necessary and reasonable help and force to do so.</w:t>
      </w:r>
    </w:p>
    <w:p>
      <w:pPr>
        <w:pStyle w:val="nzHeading5"/>
      </w:pPr>
      <w:bookmarkStart w:id="284" w:name="_Toc61664022"/>
      <w:bookmarkStart w:id="285" w:name="_Toc62378124"/>
      <w:r>
        <w:t>15B.</w:t>
      </w:r>
      <w:r>
        <w:tab/>
        <w:t>Punishment of contempt of Commission</w:t>
      </w:r>
    </w:p>
    <w:bookmarkEnd w:id="284"/>
    <w:bookmarkEnd w:id="285"/>
    <w:p>
      <w:pPr>
        <w:pStyle w:val="nzSubsection"/>
      </w:pPr>
      <w:r>
        <w:tab/>
        <w:t>(1)</w:t>
      </w:r>
      <w:r>
        <w:tab/>
        <w:t xml:space="preserve">In this section and sections 15C to 15E — </w:t>
      </w:r>
    </w:p>
    <w:p>
      <w:pPr>
        <w:pStyle w:val="nzDefstart"/>
      </w:pPr>
      <w:r>
        <w:rPr>
          <w:b/>
        </w:rPr>
        <w:tab/>
        <w:t>“</w:t>
      </w:r>
      <w:r>
        <w:rPr>
          <w:rStyle w:val="CharDefText"/>
        </w:rPr>
        <w:t>defendant</w:t>
      </w:r>
      <w:r>
        <w:rPr>
          <w:b/>
        </w:rPr>
        <w:t>”</w:t>
      </w:r>
      <w:r>
        <w:t xml:space="preserve"> means a person alleged to be in contempt of a Commission.</w:t>
      </w:r>
    </w:p>
    <w:p>
      <w:pPr>
        <w:pStyle w:val="nz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nzSubsection"/>
      </w:pPr>
      <w:r>
        <w:tab/>
        <w:t>(3)</w:t>
      </w:r>
      <w:r>
        <w:tab/>
        <w:t xml:space="preserve">Unless the defendant has been — </w:t>
      </w:r>
    </w:p>
    <w:p>
      <w:pPr>
        <w:pStyle w:val="nzIndenta"/>
      </w:pPr>
      <w:r>
        <w:tab/>
        <w:t>(a)</w:t>
      </w:r>
      <w:r>
        <w:tab/>
        <w:t>required under section 15C to show cause why the defendant should not be dealt with under section 15B for contempt of the Commission; or</w:t>
      </w:r>
    </w:p>
    <w:p>
      <w:pPr>
        <w:pStyle w:val="nzIndenta"/>
      </w:pPr>
      <w:r>
        <w:tab/>
        <w:t>(b)</w:t>
      </w:r>
      <w:r>
        <w:tab/>
        <w:t>apprehended under a warrant under section 15C(4),</w:t>
      </w:r>
    </w:p>
    <w:p>
      <w:pPr>
        <w:pStyle w:val="nzSubsection"/>
      </w:pPr>
      <w:r>
        <w:tab/>
      </w:r>
      <w:r>
        <w:tab/>
        <w:t>the Commission is to give the defendant a written statement setting out the details of the alleged contempt.</w:t>
      </w:r>
    </w:p>
    <w:p>
      <w:pPr>
        <w:pStyle w:val="nzSubsection"/>
      </w:pPr>
      <w:r>
        <w:tab/>
        <w:t>(4)</w:t>
      </w:r>
      <w:r>
        <w:tab/>
        <w:t>A certificate presented under subsection (2) is prima facie evidence of the matters certified in it.</w:t>
      </w:r>
    </w:p>
    <w:p>
      <w:pPr>
        <w:pStyle w:val="nzSubsection"/>
      </w:pPr>
      <w:r>
        <w:tab/>
        <w:t>(5)</w:t>
      </w:r>
      <w:r>
        <w:tab/>
        <w:t>Where a certificate is presented under subsection (2), the Supreme Court has jurisdiction as if the alleged contempt were a contempt of that Court.</w:t>
      </w:r>
    </w:p>
    <w:p>
      <w:pPr>
        <w:pStyle w:val="nzSubsection"/>
      </w:pPr>
      <w:r>
        <w:tab/>
        <w:t>(6)</w:t>
      </w:r>
      <w:r>
        <w:tab/>
        <w:t>A Commissioner cannot be compelled to attend before the Supreme Court to give evidence in proceedings for an alleged contempt of a Commission.</w:t>
      </w:r>
    </w:p>
    <w:p>
      <w:pPr>
        <w:pStyle w:val="nzSubsection"/>
      </w:pPr>
      <w:r>
        <w:tab/>
        <w:t>(7)</w:t>
      </w:r>
      <w:r>
        <w:tab/>
        <w:t>A record or transcript of the proceedings of a Commission is admissible in evidence in proceedings for an alleged contempt of the Commission.</w:t>
      </w:r>
    </w:p>
    <w:p>
      <w:pPr>
        <w:pStyle w:val="nz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nz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nzHeading5"/>
      </w:pPr>
      <w:r>
        <w:t>15C.</w:t>
      </w:r>
      <w:r>
        <w:tab/>
        <w:t>General provisions regarding contempt</w:t>
      </w:r>
    </w:p>
    <w:p>
      <w:pPr>
        <w:pStyle w:val="nz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nz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nzSubsection"/>
      </w:pPr>
      <w:r>
        <w:tab/>
        <w:t>(3)</w:t>
      </w:r>
      <w:r>
        <w:tab/>
        <w:t xml:space="preserve">If a contempt of a Commission is committed in the face or hearing of the Commission, no summons need be served on the defendant, but the defendant may be — </w:t>
      </w:r>
    </w:p>
    <w:p>
      <w:pPr>
        <w:pStyle w:val="nzIndenta"/>
      </w:pPr>
      <w:r>
        <w:tab/>
        <w:t>(a)</w:t>
      </w:r>
      <w:r>
        <w:tab/>
        <w:t>taken into custody in a prison or elsewhere then and there by a member of the Police Force or a person authorised for the purpose by the Commission; and</w:t>
      </w:r>
    </w:p>
    <w:p>
      <w:pPr>
        <w:pStyle w:val="nzIndenta"/>
      </w:pPr>
      <w:r>
        <w:tab/>
        <w:t>(b)</w:t>
      </w:r>
      <w:r>
        <w:tab/>
        <w:t>called on to show cause why the defendant should not be dealt with under section 15B for the contempt.</w:t>
      </w:r>
    </w:p>
    <w:p>
      <w:pPr>
        <w:pStyle w:val="nz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nzSubsection"/>
      </w:pPr>
      <w:r>
        <w:tab/>
        <w:t>(5)</w:t>
      </w:r>
      <w:r>
        <w:tab/>
        <w:t>A warrant under subsection (4) authorises the apprehension of the defendant and the defendant being brought before the Supreme Court and detained in custody in a prison or elsewhere for that purpose.</w:t>
      </w:r>
    </w:p>
    <w:p>
      <w:pPr>
        <w:pStyle w:val="nzSubsection"/>
      </w:pPr>
      <w:r>
        <w:tab/>
        <w:t>(6)</w:t>
      </w:r>
      <w:r>
        <w:tab/>
        <w:t>The warrant is to be accompanied by either the instrument by which the Commission certifies the contempt to the Supreme Court or a written statement setting out the details of the alleged contempt.</w:t>
      </w:r>
    </w:p>
    <w:p>
      <w:pPr>
        <w:pStyle w:val="nzSubsection"/>
      </w:pPr>
      <w:r>
        <w:tab/>
        <w:t>(7)</w:t>
      </w:r>
      <w:r>
        <w:tab/>
        <w:t>The Commission may revoke the warrant at any time before the defendant is brought before the Supreme Court.</w:t>
      </w:r>
    </w:p>
    <w:p>
      <w:pPr>
        <w:pStyle w:val="nz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nzHeading5"/>
      </w:pPr>
      <w:r>
        <w:t>15D.</w:t>
      </w:r>
      <w:r>
        <w:tab/>
        <w:t>Conditional release of defendant</w:t>
      </w:r>
    </w:p>
    <w:p>
      <w:pPr>
        <w:pStyle w:val="nzSubsection"/>
      </w:pPr>
      <w:r>
        <w:tab/>
        <w:t>(1)</w:t>
      </w:r>
      <w:r>
        <w:tab/>
        <w:t>At any time before a defendant detained under section 15C is brought before the Supreme Court the Commission may by order release the defendant on condition that the defendant appear before the Supreme Court.</w:t>
      </w:r>
    </w:p>
    <w:p>
      <w:pPr>
        <w:pStyle w:val="nzSubsection"/>
      </w:pPr>
      <w:r>
        <w:tab/>
        <w:t>(2)</w:t>
      </w:r>
      <w:r>
        <w:tab/>
        <w:t xml:space="preserve">The release of a defendant under subsection (1) may (but need not) be made subject to — </w:t>
      </w:r>
    </w:p>
    <w:p>
      <w:pPr>
        <w:pStyle w:val="nz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nzIndenta"/>
      </w:pPr>
      <w:r>
        <w:tab/>
        <w:t>(b)</w:t>
      </w:r>
      <w:r>
        <w:tab/>
        <w:t>any other condition that the Commission thinks appropriate.</w:t>
      </w:r>
    </w:p>
    <w:p>
      <w:pPr>
        <w:pStyle w:val="nzSubsection"/>
      </w:pPr>
      <w:r>
        <w:tab/>
        <w:t>(3)</w:t>
      </w:r>
      <w:r>
        <w:tab/>
        <w:t>The Commission may by order amend, revoke or add to the conditions to which the release of a defendant under subsection (1) is subject.</w:t>
      </w:r>
    </w:p>
    <w:p>
      <w:pPr>
        <w:pStyle w:val="nzSubsection"/>
      </w:pPr>
      <w:r>
        <w:tab/>
        <w:t>(4)</w:t>
      </w:r>
      <w:r>
        <w:tab/>
        <w:t>A defendant who without reasonable excuse fails to comply with a condition to which the release of the defendant under subsection (1) is subject is guilty of an offence.</w:t>
      </w:r>
    </w:p>
    <w:p>
      <w:pPr>
        <w:pStyle w:val="nzPenstart"/>
      </w:pPr>
      <w:r>
        <w:tab/>
        <w:t>Penalty: Imprisonment for 2 years and a fine of $24 000.</w:t>
      </w:r>
    </w:p>
    <w:p>
      <w:pPr>
        <w:pStyle w:val="nzHeading5"/>
      </w:pPr>
      <w:r>
        <w:t>15E.</w:t>
      </w:r>
      <w:r>
        <w:tab/>
      </w:r>
      <w:bookmarkStart w:id="286" w:name="_Toc42689268"/>
      <w:r>
        <w:t>Conduct that is both a contempt and an offence</w:t>
      </w:r>
      <w:bookmarkEnd w:id="286"/>
    </w:p>
    <w:p>
      <w:pPr>
        <w:pStyle w:val="nzSubsection"/>
      </w:pPr>
      <w:r>
        <w:tab/>
        <w:t>(1)</w:t>
      </w:r>
      <w:r>
        <w:tab/>
        <w:t>An act or omission may be punished as a contempt of a Commission even though it could be punished as an offence.</w:t>
      </w:r>
    </w:p>
    <w:p>
      <w:pPr>
        <w:pStyle w:val="nzSubsection"/>
      </w:pPr>
      <w:r>
        <w:tab/>
        <w:t>(2)</w:t>
      </w:r>
      <w:r>
        <w:tab/>
        <w:t>An act or omission may be punished as an offence even though it could be punished as a contempt of a Commission.</w:t>
      </w:r>
    </w:p>
    <w:p>
      <w:pPr>
        <w:pStyle w:val="nzSubsection"/>
      </w:pPr>
      <w:r>
        <w:tab/>
        <w:t>(3)</w:t>
      </w:r>
      <w:r>
        <w:tab/>
        <w:t>If an act or omission constitutes both an offence and a contempt of a Commission the defendant is not liable to be punished twice.</w:t>
      </w:r>
    </w:p>
    <w:p>
      <w:pPr>
        <w:pStyle w:val="MiscClose"/>
      </w:pPr>
      <w:r>
        <w:t xml:space="preserve">    ”.</w:t>
      </w:r>
    </w:p>
    <w:p>
      <w:pPr>
        <w:pStyle w:val="nzHeading5"/>
      </w:pPr>
      <w:bookmarkStart w:id="287" w:name="_Toc81192827"/>
      <w:bookmarkStart w:id="288" w:name="_Toc139342799"/>
      <w:bookmarkStart w:id="289" w:name="_Toc139791039"/>
      <w:r>
        <w:rPr>
          <w:rStyle w:val="CharSectno"/>
        </w:rPr>
        <w:t>9</w:t>
      </w:r>
      <w:r>
        <w:t>.</w:t>
      </w:r>
      <w:r>
        <w:tab/>
        <w:t>Section 16 amended</w:t>
      </w:r>
      <w:bookmarkEnd w:id="287"/>
      <w:bookmarkEnd w:id="288"/>
      <w:bookmarkEnd w:id="289"/>
    </w:p>
    <w:p>
      <w:pPr>
        <w:pStyle w:val="nzSubsection"/>
      </w:pPr>
      <w:r>
        <w:tab/>
        <w:t>(1)</w:t>
      </w:r>
      <w:r>
        <w:tab/>
        <w:t xml:space="preserve">Section 16(2) is repealed and the following subsections are inserted instead — </w:t>
      </w:r>
    </w:p>
    <w:p>
      <w:pPr>
        <w:pStyle w:val="MiscOpen"/>
        <w:ind w:left="600"/>
      </w:pPr>
      <w:r>
        <w:t xml:space="preserve">“    </w:t>
      </w:r>
    </w:p>
    <w:p>
      <w:pPr>
        <w:pStyle w:val="nz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nzIndenta"/>
      </w:pPr>
      <w:r>
        <w:tab/>
        <w:t>(a)</w:t>
      </w:r>
      <w:r>
        <w:tab/>
        <w:t>will not attend before the Commission to give evidence without being compelled to do so; or</w:t>
      </w:r>
    </w:p>
    <w:p>
      <w:pPr>
        <w:pStyle w:val="nzIndenta"/>
      </w:pPr>
      <w:r>
        <w:tab/>
        <w:t>(b)</w:t>
      </w:r>
      <w:r>
        <w:tab/>
        <w:t>is about to or is making preparation to leave the State and the person’s evidence will not be obtained by the Commission if the person departs.</w:t>
      </w:r>
    </w:p>
    <w:p>
      <w:pPr>
        <w:pStyle w:val="nzSubsection"/>
      </w:pPr>
      <w:r>
        <w:tab/>
        <w:t>(2a)</w:t>
      </w:r>
      <w:r>
        <w:tab/>
        <w:t>A warrant may be issued under subsection (2) without or before the issue of a summons to the person whose evidence is desired.</w:t>
      </w:r>
    </w:p>
    <w:p>
      <w:pPr>
        <w:pStyle w:val="nzSubsection"/>
      </w:pPr>
      <w:r>
        <w:tab/>
        <w:t>(2b)</w:t>
      </w:r>
      <w:r>
        <w:tab/>
        <w:t>A warrant may be issued under subsection (2) after the issue of a summons to the person whose evidence is desired, even though the time specified in the summons for the person to attend has not yet passed.</w:t>
      </w:r>
    </w:p>
    <w:p>
      <w:pPr>
        <w:pStyle w:val="nz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MiscClose"/>
      </w:pPr>
      <w:r>
        <w:t xml:space="preserve">    ”.</w:t>
      </w:r>
    </w:p>
    <w:p>
      <w:pPr>
        <w:pStyle w:val="nzSubsection"/>
      </w:pPr>
      <w:r>
        <w:tab/>
        <w:t>(2)</w:t>
      </w:r>
      <w:r>
        <w:tab/>
        <w:t xml:space="preserve">Section 16(3) is amended by deleting “pursuant to subsections (1) and (2)” and inserting instead — </w:t>
      </w:r>
    </w:p>
    <w:p>
      <w:pPr>
        <w:pStyle w:val="nzSubsection"/>
      </w:pPr>
      <w:r>
        <w:tab/>
      </w:r>
      <w:r>
        <w:tab/>
        <w:t>“    under this section    ”.</w:t>
      </w:r>
    </w:p>
    <w:p>
      <w:pPr>
        <w:pStyle w:val="nzHeading5"/>
      </w:pPr>
      <w:bookmarkStart w:id="290" w:name="_Toc81192828"/>
      <w:bookmarkStart w:id="291" w:name="_Toc139342800"/>
      <w:bookmarkStart w:id="292" w:name="_Toc139791040"/>
      <w:r>
        <w:rPr>
          <w:rStyle w:val="CharSectno"/>
        </w:rPr>
        <w:t>10</w:t>
      </w:r>
      <w:r>
        <w:t>.</w:t>
      </w:r>
      <w:r>
        <w:tab/>
        <w:t>Section 17 replaced by sections 16A and 17</w:t>
      </w:r>
      <w:bookmarkEnd w:id="290"/>
      <w:bookmarkEnd w:id="291"/>
      <w:bookmarkEnd w:id="292"/>
    </w:p>
    <w:p>
      <w:pPr>
        <w:pStyle w:val="nzSubsection"/>
      </w:pPr>
      <w:r>
        <w:tab/>
      </w:r>
      <w:r>
        <w:tab/>
        <w:t xml:space="preserve">Section 17 is repealed and the following sections are inserted instead — </w:t>
      </w:r>
    </w:p>
    <w:p>
      <w:pPr>
        <w:pStyle w:val="MiscOpen"/>
      </w:pPr>
      <w:r>
        <w:t xml:space="preserve">“    </w:t>
      </w:r>
    </w:p>
    <w:p>
      <w:pPr>
        <w:pStyle w:val="nzHeading5"/>
      </w:pPr>
      <w:r>
        <w:t>16A.</w:t>
      </w:r>
      <w:r>
        <w:tab/>
        <w:t>Conditional release of a witness</w:t>
      </w:r>
    </w:p>
    <w:p>
      <w:pPr>
        <w:pStyle w:val="nz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nzSubsection"/>
      </w:pPr>
      <w:r>
        <w:tab/>
        <w:t>(2)</w:t>
      </w:r>
      <w:r>
        <w:tab/>
        <w:t xml:space="preserve">The release of a person under subsection (1) may (but need not) be made subject to — </w:t>
      </w:r>
    </w:p>
    <w:p>
      <w:pPr>
        <w:pStyle w:val="nz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nzIndenta"/>
      </w:pPr>
      <w:r>
        <w:tab/>
        <w:t>(b)</w:t>
      </w:r>
      <w:r>
        <w:tab/>
        <w:t>any other condition that the Commission thinks appropriate.</w:t>
      </w:r>
    </w:p>
    <w:p>
      <w:pPr>
        <w:pStyle w:val="nzSubsection"/>
      </w:pPr>
      <w:r>
        <w:tab/>
        <w:t>(3)</w:t>
      </w:r>
      <w:r>
        <w:tab/>
        <w:t>The Commission may by order amend, revoke or add to the conditions to which the release of a person under subsection (1) is subject.</w:t>
      </w:r>
    </w:p>
    <w:p>
      <w:pPr>
        <w:pStyle w:val="nzSubsection"/>
      </w:pPr>
      <w:r>
        <w:tab/>
        <w:t>(4)</w:t>
      </w:r>
      <w:r>
        <w:tab/>
        <w:t>A person who without reasonable excuse fails to comply with a condition to which the release of the person under subsection (1) is subject is guilty of an offence.</w:t>
      </w:r>
    </w:p>
    <w:p>
      <w:pPr>
        <w:pStyle w:val="nzPenstart"/>
      </w:pPr>
      <w:r>
        <w:tab/>
        <w:t>Penalty: Imprisonment for 2 years and a fine of $24 000.</w:t>
      </w:r>
    </w:p>
    <w:p>
      <w:pPr>
        <w:pStyle w:val="nzHeading5"/>
      </w:pPr>
      <w:r>
        <w:t>17.</w:t>
      </w:r>
      <w:r>
        <w:tab/>
        <w:t>Review by Supreme Court</w:t>
      </w:r>
    </w:p>
    <w:p>
      <w:pPr>
        <w:pStyle w:val="nzSubsection"/>
      </w:pPr>
      <w:r>
        <w:tab/>
        <w:t>(1)</w:t>
      </w:r>
      <w:r>
        <w:tab/>
        <w:t>A person who has not been released by the Commission under section 15D or 16A may apply to the Supreme Court for a review of the decision not to release the person.</w:t>
      </w:r>
    </w:p>
    <w:p>
      <w:pPr>
        <w:pStyle w:val="nzSubsection"/>
      </w:pPr>
      <w:r>
        <w:tab/>
        <w:t>(2)</w:t>
      </w:r>
      <w:r>
        <w:tab/>
        <w:t>A person who has been released under section 15D or 16A may apply to the Supreme Court for a review of the terms of a condition to which the release is subject.</w:t>
      </w:r>
    </w:p>
    <w:p>
      <w:pPr>
        <w:pStyle w:val="nzSubsection"/>
      </w:pPr>
      <w:r>
        <w:tab/>
        <w:t>(3)</w:t>
      </w:r>
      <w:r>
        <w:tab/>
        <w:t xml:space="preserve">The Supreme Court may do either or both of the following — </w:t>
      </w:r>
    </w:p>
    <w:p>
      <w:pPr>
        <w:pStyle w:val="nzIndenta"/>
      </w:pPr>
      <w:r>
        <w:tab/>
        <w:t>(a)</w:t>
      </w:r>
      <w:r>
        <w:tab/>
        <w:t>affirm or set aside a decision by the Commission not to release the person or any condition imposed by the Commission to which the release is subject;</w:t>
      </w:r>
    </w:p>
    <w:p>
      <w:pPr>
        <w:pStyle w:val="nzIndenta"/>
      </w:pPr>
      <w:r>
        <w:tab/>
        <w:t>(b)</w:t>
      </w:r>
      <w:r>
        <w:tab/>
        <w:t>make any order that the Commission may make in relation to the detention or release of the person.</w:t>
      </w:r>
    </w:p>
    <w:p>
      <w:pPr>
        <w:pStyle w:val="nzSubsection"/>
      </w:pPr>
      <w:r>
        <w:tab/>
        <w:t>(4)</w:t>
      </w:r>
      <w:r>
        <w:tab/>
        <w:t>The Supreme Court may also exercise its powers under subsection (3) where the Commission has not made a decision within a reasonable time on the release of a person under section 15D or 16A.</w:t>
      </w:r>
    </w:p>
    <w:p>
      <w:pPr>
        <w:pStyle w:val="nzSubsection"/>
      </w:pPr>
      <w:r>
        <w:tab/>
        <w:t>(5)</w:t>
      </w:r>
      <w:r>
        <w:tab/>
        <w:t>An order under subsection (3) is taken to be an order of the Commission.</w:t>
      </w:r>
    </w:p>
    <w:p>
      <w:pPr>
        <w:pStyle w:val="MiscClose"/>
      </w:pPr>
      <w:r>
        <w:t xml:space="preserve">    ”.</w:t>
      </w:r>
    </w:p>
    <w:p>
      <w:pPr>
        <w:pStyle w:val="nzHeading5"/>
      </w:pPr>
      <w:bookmarkStart w:id="293" w:name="_Toc81192829"/>
      <w:bookmarkStart w:id="294" w:name="_Toc139342801"/>
      <w:bookmarkStart w:id="295" w:name="_Toc139791041"/>
      <w:r>
        <w:rPr>
          <w:rStyle w:val="CharSectno"/>
        </w:rPr>
        <w:t>11</w:t>
      </w:r>
      <w:r>
        <w:t>.</w:t>
      </w:r>
      <w:r>
        <w:tab/>
        <w:t>Section 18 amended</w:t>
      </w:r>
      <w:bookmarkEnd w:id="293"/>
      <w:bookmarkEnd w:id="294"/>
      <w:bookmarkEnd w:id="295"/>
    </w:p>
    <w:p>
      <w:pPr>
        <w:pStyle w:val="nzSubsection"/>
      </w:pPr>
      <w:r>
        <w:tab/>
      </w:r>
      <w:r>
        <w:tab/>
        <w:t>Section 18(7) to (10) are repealed.</w:t>
      </w:r>
    </w:p>
    <w:p>
      <w:pPr>
        <w:pStyle w:val="nzHeading5"/>
      </w:pPr>
      <w:bookmarkStart w:id="296" w:name="_Toc81192830"/>
      <w:bookmarkStart w:id="297" w:name="_Toc139342802"/>
      <w:bookmarkStart w:id="298" w:name="_Toc139791042"/>
      <w:r>
        <w:rPr>
          <w:rStyle w:val="CharSectno"/>
        </w:rPr>
        <w:t>12</w:t>
      </w:r>
      <w:r>
        <w:t>.</w:t>
      </w:r>
      <w:r>
        <w:tab/>
        <w:t>Section 19B replaced</w:t>
      </w:r>
      <w:bookmarkEnd w:id="296"/>
      <w:bookmarkEnd w:id="297"/>
      <w:bookmarkEnd w:id="298"/>
      <w:r>
        <w:t xml:space="preserve"> </w:t>
      </w:r>
    </w:p>
    <w:p>
      <w:pPr>
        <w:pStyle w:val="nzSubsection"/>
      </w:pPr>
      <w:r>
        <w:tab/>
      </w:r>
      <w:r>
        <w:tab/>
        <w:t xml:space="preserve">Section 19B is repealed and the following section is inserted instead — </w:t>
      </w:r>
    </w:p>
    <w:p>
      <w:pPr>
        <w:pStyle w:val="MiscOpen"/>
      </w:pPr>
      <w:r>
        <w:t xml:space="preserve">“    </w:t>
      </w:r>
    </w:p>
    <w:p>
      <w:pPr>
        <w:pStyle w:val="nzHeading5"/>
      </w:pPr>
      <w:r>
        <w:t>19B.</w:t>
      </w:r>
      <w:r>
        <w:tab/>
        <w:t>Restrictions on recording and publication of proceedings</w:t>
      </w:r>
    </w:p>
    <w:p>
      <w:pPr>
        <w:pStyle w:val="nzSubsection"/>
      </w:pPr>
      <w:r>
        <w:tab/>
        <w:t>(1)</w:t>
      </w:r>
      <w:r>
        <w:tab/>
        <w:t xml:space="preserve">In this section — </w:t>
      </w:r>
    </w:p>
    <w:p>
      <w:pPr>
        <w:pStyle w:val="nzDefstart"/>
      </w:pPr>
      <w:r>
        <w:rPr>
          <w:b/>
        </w:rPr>
        <w:tab/>
        <w:t>“</w:t>
      </w:r>
      <w:r>
        <w:rPr>
          <w:rStyle w:val="CharDefText"/>
        </w:rPr>
        <w:t>publishes</w:t>
      </w:r>
      <w:r>
        <w:rPr>
          <w:b/>
        </w:rPr>
        <w:t>”</w:t>
      </w:r>
      <w:r>
        <w:t xml:space="preserve"> includes broadcasts;</w:t>
      </w:r>
    </w:p>
    <w:p>
      <w:pPr>
        <w:pStyle w:val="nz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nzSubsection"/>
      </w:pPr>
      <w:r>
        <w:tab/>
        <w:t>(2)</w:t>
      </w:r>
      <w:r>
        <w:tab/>
        <w:t xml:space="preserve">A person who makes a sound recording of proceedings of a Commission is in contempt of the Commission unless the recording is made — </w:t>
      </w:r>
    </w:p>
    <w:p>
      <w:pPr>
        <w:pStyle w:val="nzIndenta"/>
      </w:pPr>
      <w:r>
        <w:tab/>
        <w:t>(a)</w:t>
      </w:r>
      <w:r>
        <w:tab/>
        <w:t>for the purpose of a fair report of the proceedings; or</w:t>
      </w:r>
    </w:p>
    <w:p>
      <w:pPr>
        <w:pStyle w:val="nzIndenta"/>
      </w:pPr>
      <w:r>
        <w:tab/>
        <w:t>(b)</w:t>
      </w:r>
      <w:r>
        <w:tab/>
        <w:t>with the leave of the Commission.</w:t>
      </w:r>
    </w:p>
    <w:p>
      <w:pPr>
        <w:pStyle w:val="nzSubsection"/>
      </w:pPr>
      <w:r>
        <w:tab/>
        <w:t>(3)</w:t>
      </w:r>
      <w:r>
        <w:tab/>
        <w:t>Subsection (2)(a) does not apply if the Commission has directed that a sound recording of the proceedings is not to be made.</w:t>
      </w:r>
    </w:p>
    <w:p>
      <w:pPr>
        <w:pStyle w:val="nzSubsection"/>
      </w:pPr>
      <w:r>
        <w:tab/>
        <w:t>(4)</w:t>
      </w:r>
      <w:r>
        <w:tab/>
        <w:t>A person who photographs or makes a visual recording of proceedings of a Commission without the leave of the Commission is in contempt of the Commission.</w:t>
      </w:r>
    </w:p>
    <w:p>
      <w:pPr>
        <w:pStyle w:val="nzSubsection"/>
      </w:pPr>
      <w:r>
        <w:tab/>
        <w:t>(5)</w:t>
      </w:r>
      <w:r>
        <w:tab/>
        <w:t xml:space="preserve">A person who, without the leave of a Commission, publishes — </w:t>
      </w:r>
    </w:p>
    <w:p>
      <w:pPr>
        <w:pStyle w:val="nzIndenta"/>
      </w:pPr>
      <w:r>
        <w:tab/>
        <w:t>(a)</w:t>
      </w:r>
      <w:r>
        <w:tab/>
        <w:t>a sound recording of proceedings of the Commission made under subsection (2)(a);</w:t>
      </w:r>
    </w:p>
    <w:p>
      <w:pPr>
        <w:pStyle w:val="nzIndenta"/>
      </w:pPr>
      <w:r>
        <w:tab/>
        <w:t>(b)</w:t>
      </w:r>
      <w:r>
        <w:tab/>
        <w:t>a photograph or visual recording of proceedings of the Commission;</w:t>
      </w:r>
    </w:p>
    <w:p>
      <w:pPr>
        <w:pStyle w:val="nzIndenta"/>
      </w:pPr>
      <w:r>
        <w:tab/>
        <w:t>(c)</w:t>
      </w:r>
      <w:r>
        <w:tab/>
        <w:t>a written record or transcript of proceedings of the Commission, or of evidence given before the Commission, which the Commission has directed not to be published; or</w:t>
      </w:r>
    </w:p>
    <w:p>
      <w:pPr>
        <w:pStyle w:val="nzIndenta"/>
      </w:pPr>
      <w:r>
        <w:tab/>
        <w:t>(d)</w:t>
      </w:r>
      <w:r>
        <w:tab/>
        <w:t>any documents, books or writings produced to or obtained by the Commission which the Commission has directed not to be published,</w:t>
      </w:r>
    </w:p>
    <w:p>
      <w:pPr>
        <w:pStyle w:val="nzSubsection"/>
      </w:pPr>
      <w:r>
        <w:tab/>
      </w:r>
      <w:r>
        <w:tab/>
        <w:t>is in contempt of the Commission.</w:t>
      </w:r>
    </w:p>
    <w:p>
      <w:pPr>
        <w:pStyle w:val="nzSubsection"/>
      </w:pPr>
      <w:r>
        <w:tab/>
        <w:t>(6)</w:t>
      </w:r>
      <w:r>
        <w:tab/>
        <w:t>If the appointment of a Commission has ended, the Governor may give the leave referred to in subsection (5) and that subsection applies as if leave had been given by the Commission.</w:t>
      </w:r>
    </w:p>
    <w:p>
      <w:pPr>
        <w:pStyle w:val="nz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MiscClose"/>
      </w:pPr>
      <w:r>
        <w:t xml:space="preserve">    ”.</w:t>
      </w:r>
    </w:p>
    <w:p>
      <w:pPr>
        <w:pStyle w:val="nzHeading5"/>
      </w:pPr>
      <w:bookmarkStart w:id="299" w:name="_Toc81192831"/>
      <w:bookmarkStart w:id="300" w:name="_Toc139342803"/>
      <w:bookmarkStart w:id="301" w:name="_Toc139791043"/>
      <w:r>
        <w:rPr>
          <w:rStyle w:val="CharSectno"/>
        </w:rPr>
        <w:t>13</w:t>
      </w:r>
      <w:r>
        <w:t>.</w:t>
      </w:r>
      <w:r>
        <w:tab/>
        <w:t>Section 32 amended</w:t>
      </w:r>
      <w:bookmarkEnd w:id="299"/>
      <w:bookmarkEnd w:id="300"/>
      <w:bookmarkEnd w:id="301"/>
    </w:p>
    <w:p>
      <w:pPr>
        <w:pStyle w:val="nzSubsection"/>
      </w:pPr>
      <w:r>
        <w:tab/>
      </w:r>
      <w:r>
        <w:tab/>
        <w:t>Section 32 is amended by deleting “Crown in right of the” in both places where it occurs.</w:t>
      </w:r>
    </w:p>
    <w:p>
      <w:pPr>
        <w:pStyle w:val="nzHeading5"/>
      </w:pPr>
      <w:bookmarkStart w:id="302" w:name="_Toc81192832"/>
      <w:bookmarkStart w:id="303" w:name="_Toc139342804"/>
      <w:bookmarkStart w:id="304" w:name="_Toc139791044"/>
      <w:r>
        <w:rPr>
          <w:rStyle w:val="CharSectno"/>
        </w:rPr>
        <w:t>14</w:t>
      </w:r>
      <w:r>
        <w:t>.</w:t>
      </w:r>
      <w:r>
        <w:tab/>
        <w:t>Amendments as to offences and penalties</w:t>
      </w:r>
      <w:bookmarkEnd w:id="302"/>
      <w:bookmarkEnd w:id="303"/>
      <w:bookmarkEnd w:id="304"/>
    </w:p>
    <w:p>
      <w:pPr>
        <w:pStyle w:val="nzSubsection"/>
      </w:pPr>
      <w:r>
        <w:tab/>
      </w:r>
      <w:r>
        <w:tab/>
        <w:t>Sections 24, 25, 26, 27, 28, 29 and 30(1) are amended as follows:</w:t>
      </w:r>
    </w:p>
    <w:p>
      <w:pPr>
        <w:pStyle w:val="nzIndenta"/>
      </w:pPr>
      <w:r>
        <w:tab/>
        <w:t>(a)</w:t>
      </w:r>
      <w:r>
        <w:tab/>
        <w:t xml:space="preserve">by deleting “ misdemeanour.” and inserting instead — </w:t>
      </w:r>
    </w:p>
    <w:p>
      <w:pPr>
        <w:pStyle w:val="nzIndenta"/>
      </w:pPr>
      <w:r>
        <w:tab/>
      </w:r>
      <w:r>
        <w:tab/>
        <w:t>“    crime.    ”;</w:t>
      </w:r>
    </w:p>
    <w:p>
      <w:pPr>
        <w:pStyle w:val="nzIndenta"/>
      </w:pPr>
      <w:r>
        <w:tab/>
        <w:t>(b)</w:t>
      </w:r>
      <w:r>
        <w:tab/>
        <w:t xml:space="preserve">by deleting the penalty and inserting instead — </w:t>
      </w:r>
    </w:p>
    <w:p>
      <w:pPr>
        <w:pStyle w:val="MiscOpen"/>
        <w:ind w:left="880"/>
      </w:pPr>
      <w:r>
        <w:t xml:space="preserve">“    </w:t>
      </w:r>
    </w:p>
    <w:p>
      <w:pPr>
        <w:pStyle w:val="nzPenstart"/>
      </w:pPr>
      <w:r>
        <w:tab/>
        <w:t>Penalty: Imprisonment for 5 years.</w:t>
      </w:r>
    </w:p>
    <w:p>
      <w:pPr>
        <w:pStyle w:val="nzPenstart"/>
      </w:pPr>
      <w:r>
        <w:tab/>
        <w:t>Summary conviction penalty: Imprisonment for 2 years and a fine of $24 000.</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52"/>
    <w:docVar w:name="WAFER_20151209141752" w:val="RemoveTrackChanges"/>
    <w:docVar w:name="WAFER_20151209141752_GUID" w:val="b25366da-7eb4-4f48-bdcb-bed2c7ca3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8264</Words>
  <Characters>39256</Characters>
  <Application>Microsoft Office Word</Application>
  <DocSecurity>0</DocSecurity>
  <Lines>1060</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1968 - 02-c0-03</dc:title>
  <dc:subject/>
  <dc:creator/>
  <cp:keywords/>
  <dc:description/>
  <cp:lastModifiedBy>svcMRProcess</cp:lastModifiedBy>
  <cp:revision>4</cp:revision>
  <cp:lastPrinted>2001-09-14T02:59:00Z</cp:lastPrinted>
  <dcterms:created xsi:type="dcterms:W3CDTF">2015-12-10T22:56:00Z</dcterms:created>
  <dcterms:modified xsi:type="dcterms:W3CDTF">2015-12-10T22:56:00Z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718</vt:i4>
  </property>
  <property fmtid="{D5CDD505-2E9C-101B-9397-08002B2CF9AE}" pid="6" name="AsAtDate">
    <vt:lpwstr>04 Jul 2006</vt:lpwstr>
  </property>
  <property fmtid="{D5CDD505-2E9C-101B-9397-08002B2CF9AE}" pid="7" name="Suffix">
    <vt:lpwstr>02-c0-03</vt:lpwstr>
  </property>
</Properties>
</file>