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Prosthetists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Dental Prosthetists Act 1985</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_Toc274207160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_Toc274207161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_Toc274207162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_Toc274207163 \h </w:instrText>
      </w:r>
      <w:r>
        <w:fldChar w:fldCharType="separate"/>
      </w:r>
      <w:r>
        <w:t>3</w:t>
      </w:r>
      <w:r>
        <w:fldChar w:fldCharType="end"/>
      </w:r>
    </w:p>
    <w:p>
      <w:pPr>
        <w:pStyle w:val="TOC2"/>
        <w:tabs>
          <w:tab w:val="right" w:leader="dot" w:pos="7078"/>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Dental Prosthetists Advisory Committee</w:t>
      </w:r>
      <w:r>
        <w:tab/>
      </w:r>
      <w:r>
        <w:fldChar w:fldCharType="begin"/>
      </w:r>
      <w:r>
        <w:instrText xml:space="preserve"> PAGEREF _Toc274207165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Deputies</w:t>
      </w:r>
      <w:r>
        <w:tab/>
      </w:r>
      <w:r>
        <w:fldChar w:fldCharType="begin"/>
      </w:r>
      <w:r>
        <w:instrText xml:space="preserve"> PAGEREF _Toc274207166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Nominations</w:t>
      </w:r>
      <w:r>
        <w:tab/>
      </w:r>
      <w:r>
        <w:fldChar w:fldCharType="begin"/>
      </w:r>
      <w:r>
        <w:instrText xml:space="preserve"> PAGEREF _Toc274207167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_Toc274207168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Remuneration and allowances</w:t>
      </w:r>
      <w:r>
        <w:tab/>
      </w:r>
      <w:r>
        <w:fldChar w:fldCharType="begin"/>
      </w:r>
      <w:r>
        <w:instrText xml:space="preserve"> PAGEREF _Toc274207169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_Toc274207170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Saving</w:t>
      </w:r>
      <w:r>
        <w:tab/>
      </w:r>
      <w:r>
        <w:fldChar w:fldCharType="begin"/>
      </w:r>
      <w:r>
        <w:instrText xml:space="preserve"> PAGEREF _Toc274207171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Functions and powers</w:t>
      </w:r>
      <w:r>
        <w:tab/>
      </w:r>
      <w:r>
        <w:fldChar w:fldCharType="begin"/>
      </w:r>
      <w:r>
        <w:instrText xml:space="preserve"> PAGEREF _Toc274207172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Subcommittees</w:t>
      </w:r>
      <w:r>
        <w:tab/>
      </w:r>
      <w:r>
        <w:fldChar w:fldCharType="begin"/>
      </w:r>
      <w:r>
        <w:instrText xml:space="preserve"> PAGEREF _Toc274207173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_Toc274207174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Directions and references</w:t>
      </w:r>
      <w:r>
        <w:tab/>
      </w:r>
      <w:r>
        <w:fldChar w:fldCharType="begin"/>
      </w:r>
      <w:r>
        <w:instrText xml:space="preserve"> PAGEREF _Toc274207175 \h </w:instrText>
      </w:r>
      <w:r>
        <w:fldChar w:fldCharType="separate"/>
      </w:r>
      <w:r>
        <w:t>12</w:t>
      </w:r>
      <w:r>
        <w:fldChar w:fldCharType="end"/>
      </w:r>
    </w:p>
    <w:p>
      <w:pPr>
        <w:pStyle w:val="TOC2"/>
        <w:tabs>
          <w:tab w:val="right" w:leader="dot" w:pos="7078"/>
        </w:tabs>
        <w:rPr>
          <w:b w:val="0"/>
          <w:sz w:val="24"/>
          <w:szCs w:val="24"/>
        </w:rPr>
      </w:pPr>
      <w:r>
        <w:rPr>
          <w:szCs w:val="30"/>
        </w:rPr>
        <w:t>Part III — Practice of dental prosthetics</w:t>
      </w:r>
    </w:p>
    <w:p>
      <w:pPr>
        <w:pStyle w:val="TOC8"/>
        <w:rPr>
          <w:sz w:val="24"/>
          <w:szCs w:val="24"/>
        </w:rPr>
      </w:pPr>
      <w:r>
        <w:rPr>
          <w:szCs w:val="24"/>
        </w:rPr>
        <w:t>16</w:t>
      </w:r>
      <w:r>
        <w:rPr>
          <w:snapToGrid w:val="0"/>
          <w:szCs w:val="24"/>
        </w:rPr>
        <w:t>.</w:t>
      </w:r>
      <w:r>
        <w:rPr>
          <w:snapToGrid w:val="0"/>
          <w:szCs w:val="24"/>
        </w:rPr>
        <w:tab/>
        <w:t>Licensed persons may practise dental prosthetics</w:t>
      </w:r>
      <w:r>
        <w:tab/>
      </w:r>
      <w:r>
        <w:fldChar w:fldCharType="begin"/>
      </w:r>
      <w:r>
        <w:instrText xml:space="preserve"> PAGEREF _Toc274207177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Application for licence</w:t>
      </w:r>
      <w:r>
        <w:tab/>
      </w:r>
      <w:r>
        <w:fldChar w:fldCharType="begin"/>
      </w:r>
      <w:r>
        <w:instrText xml:space="preserve"> PAGEREF _Toc274207178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licence</w:t>
      </w:r>
      <w:r>
        <w:tab/>
      </w:r>
      <w:r>
        <w:fldChar w:fldCharType="begin"/>
      </w:r>
      <w:r>
        <w:instrText xml:space="preserve"> PAGEREF _Toc274207179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Effect of licence</w:t>
      </w:r>
      <w:r>
        <w:tab/>
      </w:r>
      <w:r>
        <w:fldChar w:fldCharType="begin"/>
      </w:r>
      <w:r>
        <w:instrText xml:space="preserve"> PAGEREF _Toc274207180 \h </w:instrText>
      </w:r>
      <w:r>
        <w:fldChar w:fldCharType="separate"/>
      </w:r>
      <w:r>
        <w:t>14</w:t>
      </w:r>
      <w:r>
        <w:fldChar w:fldCharType="end"/>
      </w:r>
    </w:p>
    <w:p>
      <w:pPr>
        <w:pStyle w:val="TOC8"/>
        <w:rPr>
          <w:sz w:val="24"/>
          <w:szCs w:val="24"/>
        </w:rPr>
      </w:pPr>
      <w:r>
        <w:rPr>
          <w:szCs w:val="24"/>
        </w:rPr>
        <w:t>19A.</w:t>
      </w:r>
      <w:r>
        <w:rPr>
          <w:szCs w:val="24"/>
        </w:rPr>
        <w:tab/>
        <w:t>Investigator</w:t>
      </w:r>
      <w:r>
        <w:tab/>
      </w:r>
      <w:r>
        <w:fldChar w:fldCharType="begin"/>
      </w:r>
      <w:r>
        <w:instrText xml:space="preserve"> PAGEREF _Toc274207181 \h </w:instrText>
      </w:r>
      <w:r>
        <w:fldChar w:fldCharType="separate"/>
      </w:r>
      <w:r>
        <w:t>14</w:t>
      </w:r>
      <w:r>
        <w:fldChar w:fldCharType="end"/>
      </w:r>
    </w:p>
    <w:p>
      <w:pPr>
        <w:pStyle w:val="TOC8"/>
        <w:rPr>
          <w:sz w:val="24"/>
          <w:szCs w:val="24"/>
        </w:rPr>
      </w:pPr>
      <w:r>
        <w:rPr>
          <w:szCs w:val="24"/>
        </w:rPr>
        <w:lastRenderedPageBreak/>
        <w:t>19B.</w:t>
      </w:r>
      <w:r>
        <w:rPr>
          <w:szCs w:val="24"/>
        </w:rPr>
        <w:tab/>
        <w:t>Report of investigator</w:t>
      </w:r>
      <w:r>
        <w:tab/>
      </w:r>
      <w:r>
        <w:fldChar w:fldCharType="begin"/>
      </w:r>
      <w:r>
        <w:instrText xml:space="preserve"> PAGEREF _Toc274207182 \h </w:instrText>
      </w:r>
      <w:r>
        <w:fldChar w:fldCharType="separate"/>
      </w:r>
      <w:r>
        <w:t>14</w:t>
      </w:r>
      <w:r>
        <w:fldChar w:fldCharType="end"/>
      </w:r>
    </w:p>
    <w:p>
      <w:pPr>
        <w:pStyle w:val="TOC8"/>
        <w:rPr>
          <w:sz w:val="24"/>
          <w:szCs w:val="24"/>
        </w:rPr>
      </w:pPr>
      <w:r>
        <w:rPr>
          <w:szCs w:val="24"/>
        </w:rPr>
        <w:t>19C.</w:t>
      </w:r>
      <w:r>
        <w:rPr>
          <w:szCs w:val="24"/>
        </w:rPr>
        <w:tab/>
        <w:t>Powers of investigator</w:t>
      </w:r>
      <w:r>
        <w:tab/>
      </w:r>
      <w:r>
        <w:fldChar w:fldCharType="begin"/>
      </w:r>
      <w:r>
        <w:instrText xml:space="preserve"> PAGEREF _Toc274207183 \h </w:instrText>
      </w:r>
      <w:r>
        <w:fldChar w:fldCharType="separate"/>
      </w:r>
      <w:r>
        <w:t>15</w:t>
      </w:r>
      <w:r>
        <w:fldChar w:fldCharType="end"/>
      </w:r>
    </w:p>
    <w:p>
      <w:pPr>
        <w:pStyle w:val="TOC8"/>
        <w:rPr>
          <w:sz w:val="24"/>
          <w:szCs w:val="24"/>
        </w:rPr>
      </w:pPr>
      <w:r>
        <w:rPr>
          <w:szCs w:val="24"/>
        </w:rPr>
        <w:t>19D.</w:t>
      </w:r>
      <w:r>
        <w:rPr>
          <w:szCs w:val="24"/>
        </w:rPr>
        <w:tab/>
        <w:t>Warrant to enter premises</w:t>
      </w:r>
      <w:r>
        <w:tab/>
      </w:r>
      <w:r>
        <w:fldChar w:fldCharType="begin"/>
      </w:r>
      <w:r>
        <w:instrText xml:space="preserve"> PAGEREF _Toc274207184 \h </w:instrText>
      </w:r>
      <w:r>
        <w:fldChar w:fldCharType="separate"/>
      </w:r>
      <w:r>
        <w:t>17</w:t>
      </w:r>
      <w:r>
        <w:fldChar w:fldCharType="end"/>
      </w:r>
    </w:p>
    <w:p>
      <w:pPr>
        <w:pStyle w:val="TOC8"/>
        <w:rPr>
          <w:sz w:val="24"/>
          <w:szCs w:val="24"/>
        </w:rPr>
      </w:pPr>
      <w:r>
        <w:rPr>
          <w:szCs w:val="24"/>
        </w:rPr>
        <w:t>19E.</w:t>
      </w:r>
      <w:r>
        <w:rPr>
          <w:szCs w:val="24"/>
        </w:rPr>
        <w:tab/>
        <w:t>Issue of warrant</w:t>
      </w:r>
      <w:r>
        <w:tab/>
      </w:r>
      <w:r>
        <w:fldChar w:fldCharType="begin"/>
      </w:r>
      <w:r>
        <w:instrText xml:space="preserve"> PAGEREF _Toc274207185 \h </w:instrText>
      </w:r>
      <w:r>
        <w:fldChar w:fldCharType="separate"/>
      </w:r>
      <w:r>
        <w:t>18</w:t>
      </w:r>
      <w:r>
        <w:fldChar w:fldCharType="end"/>
      </w:r>
    </w:p>
    <w:p>
      <w:pPr>
        <w:pStyle w:val="TOC8"/>
        <w:rPr>
          <w:sz w:val="24"/>
          <w:szCs w:val="24"/>
        </w:rPr>
      </w:pPr>
      <w:r>
        <w:rPr>
          <w:szCs w:val="24"/>
        </w:rPr>
        <w:t>19F.</w:t>
      </w:r>
      <w:r>
        <w:rPr>
          <w:szCs w:val="24"/>
        </w:rPr>
        <w:tab/>
        <w:t>Execution of warrant</w:t>
      </w:r>
      <w:r>
        <w:tab/>
      </w:r>
      <w:r>
        <w:fldChar w:fldCharType="begin"/>
      </w:r>
      <w:r>
        <w:instrText xml:space="preserve"> PAGEREF _Toc274207186 \h </w:instrText>
      </w:r>
      <w:r>
        <w:fldChar w:fldCharType="separate"/>
      </w:r>
      <w:r>
        <w:t>18</w:t>
      </w:r>
      <w:r>
        <w:fldChar w:fldCharType="end"/>
      </w:r>
    </w:p>
    <w:p>
      <w:pPr>
        <w:pStyle w:val="TOC8"/>
        <w:rPr>
          <w:sz w:val="24"/>
          <w:szCs w:val="24"/>
        </w:rPr>
      </w:pPr>
      <w:r>
        <w:rPr>
          <w:szCs w:val="24"/>
        </w:rPr>
        <w:t>19G.</w:t>
      </w:r>
      <w:r>
        <w:rPr>
          <w:szCs w:val="24"/>
        </w:rPr>
        <w:tab/>
        <w:t>Incriminating information, questions, or documents</w:t>
      </w:r>
      <w:r>
        <w:tab/>
      </w:r>
      <w:r>
        <w:fldChar w:fldCharType="begin"/>
      </w:r>
      <w:r>
        <w:instrText xml:space="preserve"> PAGEREF _Toc274207187 \h </w:instrText>
      </w:r>
      <w:r>
        <w:fldChar w:fldCharType="separate"/>
      </w:r>
      <w:r>
        <w:t>19</w:t>
      </w:r>
      <w:r>
        <w:fldChar w:fldCharType="end"/>
      </w:r>
    </w:p>
    <w:p>
      <w:pPr>
        <w:pStyle w:val="TOC8"/>
        <w:rPr>
          <w:sz w:val="24"/>
          <w:szCs w:val="24"/>
        </w:rPr>
      </w:pPr>
      <w:r>
        <w:rPr>
          <w:szCs w:val="24"/>
        </w:rPr>
        <w:t>19H.</w:t>
      </w:r>
      <w:r>
        <w:rPr>
          <w:szCs w:val="24"/>
        </w:rPr>
        <w:tab/>
        <w:t>Failure to comply with investigation</w:t>
      </w:r>
      <w:r>
        <w:tab/>
      </w:r>
      <w:r>
        <w:fldChar w:fldCharType="begin"/>
      </w:r>
      <w:r>
        <w:instrText xml:space="preserve"> PAGEREF _Toc274207188 \h </w:instrText>
      </w:r>
      <w:r>
        <w:fldChar w:fldCharType="separate"/>
      </w:r>
      <w:r>
        <w:t>19</w:t>
      </w:r>
      <w:r>
        <w:fldChar w:fldCharType="end"/>
      </w:r>
    </w:p>
    <w:p>
      <w:pPr>
        <w:pStyle w:val="TOC8"/>
        <w:rPr>
          <w:sz w:val="24"/>
          <w:szCs w:val="24"/>
        </w:rPr>
      </w:pPr>
      <w:r>
        <w:rPr>
          <w:szCs w:val="24"/>
        </w:rPr>
        <w:t>19I.</w:t>
      </w:r>
      <w:r>
        <w:rPr>
          <w:szCs w:val="24"/>
        </w:rPr>
        <w:tab/>
        <w:t>Obstruction of investigator</w:t>
      </w:r>
      <w:r>
        <w:tab/>
      </w:r>
      <w:r>
        <w:fldChar w:fldCharType="begin"/>
      </w:r>
      <w:r>
        <w:instrText xml:space="preserve"> PAGEREF _Toc274207189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Revocation of licence and cancellation of endorsement</w:t>
      </w:r>
      <w:r>
        <w:tab/>
      </w:r>
      <w:r>
        <w:fldChar w:fldCharType="begin"/>
      </w:r>
      <w:r>
        <w:instrText xml:space="preserve"> PAGEREF _Toc274207190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Suspension of licence or endorsement</w:t>
      </w:r>
      <w:r>
        <w:tab/>
      </w:r>
      <w:r>
        <w:fldChar w:fldCharType="begin"/>
      </w:r>
      <w:r>
        <w:instrText xml:space="preserve"> PAGEREF _Toc274207191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Review</w:t>
      </w:r>
      <w:r>
        <w:tab/>
      </w:r>
      <w:r>
        <w:fldChar w:fldCharType="begin"/>
      </w:r>
      <w:r>
        <w:instrText xml:space="preserve"> PAGEREF _Toc274207192 \h </w:instrText>
      </w:r>
      <w:r>
        <w:fldChar w:fldCharType="separate"/>
      </w:r>
      <w:r>
        <w:t>22</w:t>
      </w:r>
      <w:r>
        <w:fldChar w:fldCharType="end"/>
      </w:r>
    </w:p>
    <w:p>
      <w:pPr>
        <w:pStyle w:val="TOC2"/>
        <w:tabs>
          <w:tab w:val="right" w:leader="dot" w:pos="7078"/>
        </w:tabs>
        <w:rPr>
          <w:b w:val="0"/>
          <w:sz w:val="24"/>
          <w:szCs w:val="24"/>
        </w:rPr>
      </w:pPr>
      <w:r>
        <w:rPr>
          <w:szCs w:val="30"/>
        </w:rPr>
        <w:t>Part IV — General</w:t>
      </w:r>
    </w:p>
    <w:p>
      <w:pPr>
        <w:pStyle w:val="TOC8"/>
        <w:rPr>
          <w:sz w:val="24"/>
          <w:szCs w:val="24"/>
        </w:rPr>
      </w:pPr>
      <w:r>
        <w:rPr>
          <w:szCs w:val="24"/>
        </w:rPr>
        <w:t>23</w:t>
      </w:r>
      <w:r>
        <w:rPr>
          <w:snapToGrid w:val="0"/>
          <w:szCs w:val="24"/>
        </w:rPr>
        <w:t>.</w:t>
      </w:r>
      <w:r>
        <w:rPr>
          <w:snapToGrid w:val="0"/>
          <w:szCs w:val="24"/>
        </w:rPr>
        <w:tab/>
        <w:t>Records to be kept</w:t>
      </w:r>
      <w:r>
        <w:tab/>
      </w:r>
      <w:r>
        <w:fldChar w:fldCharType="begin"/>
      </w:r>
      <w:r>
        <w:instrText xml:space="preserve"> PAGEREF _Toc274207194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Offences as to licensing</w:t>
      </w:r>
      <w:r>
        <w:tab/>
      </w:r>
      <w:r>
        <w:fldChar w:fldCharType="begin"/>
      </w:r>
      <w:r>
        <w:instrText xml:space="preserve"> PAGEREF _Toc274207195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Offences relating to the practice of dental prosthetics</w:t>
      </w:r>
      <w:r>
        <w:tab/>
      </w:r>
      <w:r>
        <w:fldChar w:fldCharType="begin"/>
      </w:r>
      <w:r>
        <w:instrText xml:space="preserve"> PAGEREF _Toc274207196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Notice of business name</w:t>
      </w:r>
      <w:r>
        <w:tab/>
      </w:r>
      <w:r>
        <w:fldChar w:fldCharType="begin"/>
      </w:r>
      <w:r>
        <w:instrText xml:space="preserve"> PAGEREF _Toc274207197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_Toc274207198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Publication</w:t>
      </w:r>
      <w:r>
        <w:tab/>
      </w:r>
      <w:r>
        <w:fldChar w:fldCharType="begin"/>
      </w:r>
      <w:r>
        <w:instrText xml:space="preserve"> PAGEREF _Toc274207199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Return of licences and endorsements upon suspension or revocation</w:t>
      </w:r>
      <w:r>
        <w:tab/>
      </w:r>
      <w:r>
        <w:fldChar w:fldCharType="begin"/>
      </w:r>
      <w:r>
        <w:instrText xml:space="preserve"> PAGEREF _Toc274207200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Indemnity</w:t>
      </w:r>
      <w:r>
        <w:tab/>
      </w:r>
      <w:r>
        <w:fldChar w:fldCharType="begin"/>
      </w:r>
      <w:r>
        <w:instrText xml:space="preserve"> PAGEREF _Toc274207201 \h </w:instrText>
      </w:r>
      <w:r>
        <w:fldChar w:fldCharType="separate"/>
      </w:r>
      <w:r>
        <w:t>28</w:t>
      </w:r>
      <w:r>
        <w:fldChar w:fldCharType="end"/>
      </w:r>
    </w:p>
    <w:p>
      <w:pPr>
        <w:pStyle w:val="TOC8"/>
        <w:rPr>
          <w:sz w:val="24"/>
          <w:szCs w:val="24"/>
        </w:rPr>
      </w:pPr>
      <w:r>
        <w:rPr>
          <w:szCs w:val="24"/>
        </w:rPr>
        <w:t>30A</w:t>
      </w:r>
      <w:r>
        <w:rPr>
          <w:snapToGrid w:val="0"/>
          <w:szCs w:val="24"/>
        </w:rPr>
        <w:t>.</w:t>
      </w:r>
      <w:r>
        <w:rPr>
          <w:snapToGrid w:val="0"/>
          <w:szCs w:val="24"/>
        </w:rPr>
        <w:tab/>
        <w:t>Report</w:t>
      </w:r>
      <w:r>
        <w:tab/>
      </w:r>
      <w:r>
        <w:fldChar w:fldCharType="begin"/>
      </w:r>
      <w:r>
        <w:instrText xml:space="preserve"> PAGEREF _Toc274207202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_Toc274207203 \h </w:instrText>
      </w:r>
      <w:r>
        <w:fldChar w:fldCharType="separate"/>
      </w:r>
      <w:r>
        <w:t>29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_Toc274207205 \h </w:instrText>
      </w:r>
      <w:r>
        <w:fldChar w:fldCharType="separate"/>
      </w:r>
      <w:r>
        <w:t>30</w:t>
      </w:r>
      <w:r>
        <w:fldChar w:fldCharType="end"/>
      </w:r>
    </w:p>
    <w:p>
      <w:pPr>
        <w:pStyle w:val="TOC8"/>
        <w:rPr>
          <w:sz w:val="24"/>
        </w:rPr>
      </w:pPr>
      <w:r>
        <w:tab/>
        <w:t>Provisions that have not come into operation</w:t>
      </w:r>
      <w:r>
        <w:tab/>
      </w:r>
      <w:r>
        <w:fldChar w:fldCharType="begin"/>
      </w:r>
      <w:r>
        <w:instrText xml:space="preserve"> PAGEREF _Toc274207206 \h </w:instrText>
      </w:r>
      <w:r>
        <w:fldChar w:fldCharType="separate"/>
      </w:r>
      <w:r>
        <w:t>31</w:t>
      </w:r>
      <w:r>
        <w:fldChar w:fldCharType="end"/>
      </w:r>
    </w:p>
    <w:p>
      <w:pPr>
        <w:tabs>
          <w:tab w:val="right" w:leader="dot" w:pos="7078"/>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Dental Prosthetists Act 1985 </w:t>
      </w:r>
    </w:p>
    <w:p>
      <w:pPr>
        <w:pStyle w:val="LongTitle"/>
        <w:rPr>
          <w:snapToGrid w:val="0"/>
        </w:rPr>
      </w:pPr>
      <w:r>
        <w:rPr>
          <w:snapToGrid w:val="0"/>
        </w:rPr>
        <w:t xml:space="preserve">An Act relating to the licensing of dental prosthetists and for incidental and other purposes. </w:t>
      </w:r>
    </w:p>
    <w:p>
      <w:pPr>
        <w:pStyle w:val="Heading2"/>
      </w:pPr>
      <w:bookmarkStart w:id="1" w:name="_Toc89162125"/>
      <w:bookmarkStart w:id="2" w:name="_Toc89162525"/>
      <w:bookmarkStart w:id="3" w:name="_Toc92516967"/>
      <w:bookmarkStart w:id="4" w:name="_Toc97010039"/>
      <w:bookmarkStart w:id="5" w:name="_Toc102274111"/>
      <w:bookmarkStart w:id="6" w:name="_Toc102814301"/>
      <w:bookmarkStart w:id="7" w:name="_Toc139363592"/>
      <w:bookmarkStart w:id="8" w:name="_Toc139365527"/>
      <w:bookmarkStart w:id="9" w:name="_Toc139701947"/>
      <w:bookmarkStart w:id="10" w:name="_Toc144098136"/>
      <w:bookmarkStart w:id="11" w:name="_Toc144103044"/>
      <w:bookmarkStart w:id="12" w:name="_Toc148778760"/>
      <w:bookmarkStart w:id="13" w:name="_Toc150161148"/>
      <w:bookmarkStart w:id="14" w:name="_Toc196800256"/>
      <w:bookmarkStart w:id="15" w:name="_Toc241052643"/>
      <w:bookmarkStart w:id="16" w:name="_Toc271196417"/>
      <w:bookmarkStart w:id="17" w:name="_Toc2742071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39550469"/>
      <w:bookmarkStart w:id="19" w:name="_Toc39550555"/>
      <w:bookmarkStart w:id="20" w:name="_Toc102814302"/>
      <w:bookmarkStart w:id="21" w:name="_Toc274207160"/>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22" w:name="_Toc39550470"/>
      <w:bookmarkStart w:id="23" w:name="_Toc39550556"/>
      <w:bookmarkStart w:id="24" w:name="_Toc102814303"/>
      <w:bookmarkStart w:id="25" w:name="_Toc274207161"/>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6" w:name="_Toc39550471"/>
      <w:bookmarkStart w:id="27" w:name="_Toc39550557"/>
      <w:bookmarkStart w:id="28" w:name="_Toc102814304"/>
      <w:bookmarkStart w:id="29" w:name="_Toc274207162"/>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dental prosthetist</w:t>
      </w:r>
      <w:r>
        <w:t xml:space="preserve"> means a person to whom a licence is issued under this Act;</w:t>
      </w:r>
    </w:p>
    <w:p>
      <w:pPr>
        <w:pStyle w:val="Defstart"/>
      </w:pPr>
      <w:r>
        <w:rPr>
          <w:b/>
        </w:rPr>
        <w:tab/>
      </w:r>
      <w:r>
        <w:rPr>
          <w:rStyle w:val="CharDefText"/>
        </w:rPr>
        <w:t>dentist</w:t>
      </w:r>
      <w:r>
        <w:t xml:space="preserve"> has the same meaning as the expression has in the </w:t>
      </w:r>
      <w:r>
        <w:rPr>
          <w:i/>
        </w:rPr>
        <w:t>Dental Act 1939</w:t>
      </w:r>
      <w:r>
        <w:t>;</w:t>
      </w:r>
    </w:p>
    <w:p>
      <w:pPr>
        <w:pStyle w:val="Defstart"/>
      </w:pPr>
      <w:r>
        <w:rPr>
          <w:b/>
        </w:rPr>
        <w:tab/>
      </w:r>
      <w:r>
        <w:rPr>
          <w:rStyle w:val="CharDefText"/>
        </w:rPr>
        <w:t>full artificial denture</w:t>
      </w:r>
      <w:r>
        <w:t xml:space="preserve"> means a removable dental prosthesis that replaces all of the natural dentition of the upper jaw or the lower jaw;</w:t>
      </w:r>
    </w:p>
    <w:p>
      <w:pPr>
        <w:pStyle w:val="Defstart"/>
      </w:pPr>
      <w:r>
        <w:rPr>
          <w:b/>
        </w:rPr>
        <w:tab/>
      </w:r>
      <w:r>
        <w:rPr>
          <w:rStyle w:val="CharDefText"/>
        </w:rPr>
        <w:t>licence</w:t>
      </w:r>
      <w:r>
        <w:t xml:space="preserve"> means a licence under section 18 for the time being in force;</w:t>
      </w:r>
    </w:p>
    <w:p>
      <w:pPr>
        <w:pStyle w:val="Defstart"/>
      </w:pPr>
      <w:r>
        <w:rPr>
          <w:b/>
        </w:rPr>
        <w:tab/>
      </w:r>
      <w:r>
        <w:rPr>
          <w:rStyle w:val="CharDefText"/>
        </w:rPr>
        <w:t>subcommittee</w:t>
      </w:r>
      <w:r>
        <w:t xml:space="preserve"> means a subcommittee constituted under section 13;</w:t>
      </w:r>
    </w:p>
    <w:p>
      <w:pPr>
        <w:pStyle w:val="Defstart"/>
      </w:pPr>
      <w:r>
        <w:rPr>
          <w:b/>
        </w:rPr>
        <w:tab/>
      </w:r>
      <w:r>
        <w:rPr>
          <w:rStyle w:val="CharDefText"/>
        </w:rPr>
        <w:t>the Committee</w:t>
      </w:r>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Footnotesection"/>
      </w:pPr>
      <w:r>
        <w:tab/>
        <w:t>[Section 3 amended by No. 28 of 2006 s. 244.]</w:t>
      </w:r>
    </w:p>
    <w:p>
      <w:pPr>
        <w:pStyle w:val="Heading5"/>
        <w:spacing w:before="240"/>
        <w:rPr>
          <w:snapToGrid w:val="0"/>
        </w:rPr>
      </w:pPr>
      <w:bookmarkStart w:id="30" w:name="_Toc39550472"/>
      <w:bookmarkStart w:id="31" w:name="_Toc39550558"/>
      <w:bookmarkStart w:id="32" w:name="_Toc102814305"/>
      <w:bookmarkStart w:id="33" w:name="_Toc274207163"/>
      <w:r>
        <w:rPr>
          <w:rStyle w:val="CharSectno"/>
        </w:rPr>
        <w:t>4</w:t>
      </w:r>
      <w:r>
        <w:rPr>
          <w:snapToGrid w:val="0"/>
        </w:rPr>
        <w:t>.</w:t>
      </w:r>
      <w:r>
        <w:rPr>
          <w:snapToGrid w:val="0"/>
        </w:rPr>
        <w:tab/>
        <w:t>Application</w:t>
      </w:r>
      <w:bookmarkEnd w:id="30"/>
      <w:bookmarkEnd w:id="31"/>
      <w:bookmarkEnd w:id="32"/>
      <w:bookmarkEnd w:id="33"/>
      <w:r>
        <w:rPr>
          <w:snapToGrid w:val="0"/>
        </w:rPr>
        <w:t xml:space="preserve"> </w:t>
      </w:r>
    </w:p>
    <w:p>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34" w:name="_Toc89162130"/>
      <w:bookmarkStart w:id="35" w:name="_Toc89162530"/>
      <w:bookmarkStart w:id="36" w:name="_Toc92516972"/>
      <w:bookmarkStart w:id="37" w:name="_Toc97010044"/>
      <w:bookmarkStart w:id="38" w:name="_Toc102274116"/>
      <w:bookmarkStart w:id="39" w:name="_Toc102814306"/>
      <w:bookmarkStart w:id="40" w:name="_Toc139363597"/>
      <w:bookmarkStart w:id="41" w:name="_Toc139365532"/>
      <w:bookmarkStart w:id="42" w:name="_Toc139701952"/>
      <w:bookmarkStart w:id="43" w:name="_Toc144098141"/>
      <w:bookmarkStart w:id="44" w:name="_Toc144103049"/>
      <w:bookmarkStart w:id="45" w:name="_Toc148778765"/>
      <w:bookmarkStart w:id="46" w:name="_Toc150161153"/>
      <w:bookmarkStart w:id="47" w:name="_Toc196800261"/>
      <w:bookmarkStart w:id="48" w:name="_Toc241052648"/>
      <w:bookmarkStart w:id="49" w:name="_Toc271196422"/>
      <w:bookmarkStart w:id="50" w:name="_Toc274207164"/>
      <w:r>
        <w:rPr>
          <w:rStyle w:val="CharPartNo"/>
        </w:rPr>
        <w:t>Part 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39550473"/>
      <w:bookmarkStart w:id="52" w:name="_Toc39550559"/>
      <w:bookmarkStart w:id="53" w:name="_Toc102814307"/>
      <w:bookmarkStart w:id="54" w:name="_Toc274207165"/>
      <w:r>
        <w:rPr>
          <w:rStyle w:val="CharSectno"/>
        </w:rPr>
        <w:t>5</w:t>
      </w:r>
      <w:r>
        <w:rPr>
          <w:snapToGrid w:val="0"/>
        </w:rPr>
        <w:t>.</w:t>
      </w:r>
      <w:r>
        <w:rPr>
          <w:snapToGrid w:val="0"/>
        </w:rPr>
        <w:tab/>
        <w:t>Dental Prosthetists Advisory Committee</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12; No. 28 of 2006 s. 245 and 247.]</w:t>
      </w:r>
    </w:p>
    <w:p>
      <w:pPr>
        <w:pStyle w:val="Heading5"/>
        <w:rPr>
          <w:snapToGrid w:val="0"/>
        </w:rPr>
      </w:pPr>
      <w:bookmarkStart w:id="55" w:name="_Toc39550474"/>
      <w:bookmarkStart w:id="56" w:name="_Toc39550560"/>
      <w:bookmarkStart w:id="57" w:name="_Toc102814308"/>
      <w:bookmarkStart w:id="58" w:name="_Toc274207166"/>
      <w:r>
        <w:rPr>
          <w:rStyle w:val="CharSectno"/>
        </w:rPr>
        <w:t>6</w:t>
      </w:r>
      <w:r>
        <w:rPr>
          <w:snapToGrid w:val="0"/>
        </w:rPr>
        <w:t>.</w:t>
      </w:r>
      <w:r>
        <w:rPr>
          <w:snapToGrid w:val="0"/>
        </w:rPr>
        <w:tab/>
        <w:t>Deputies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59" w:name="_Toc39550475"/>
      <w:bookmarkStart w:id="60" w:name="_Toc39550561"/>
      <w:bookmarkStart w:id="61" w:name="_Toc102814309"/>
      <w:bookmarkStart w:id="62" w:name="_Toc274207167"/>
      <w:r>
        <w:rPr>
          <w:rStyle w:val="CharSectno"/>
        </w:rPr>
        <w:t>7</w:t>
      </w:r>
      <w:r>
        <w:rPr>
          <w:snapToGrid w:val="0"/>
        </w:rPr>
        <w:t>.</w:t>
      </w:r>
      <w:r>
        <w:rPr>
          <w:snapToGrid w:val="0"/>
        </w:rPr>
        <w:tab/>
        <w:t>Nominations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63" w:name="_Toc39550476"/>
      <w:bookmarkStart w:id="64" w:name="_Toc39550562"/>
      <w:bookmarkStart w:id="65" w:name="_Toc102814310"/>
      <w:bookmarkStart w:id="66" w:name="_Toc274207168"/>
      <w:r>
        <w:rPr>
          <w:rStyle w:val="CharSectno"/>
        </w:rPr>
        <w:t>8</w:t>
      </w:r>
      <w:r>
        <w:rPr>
          <w:snapToGrid w:val="0"/>
        </w:rPr>
        <w:t>.</w:t>
      </w:r>
      <w:r>
        <w:rPr>
          <w:snapToGrid w:val="0"/>
        </w:rPr>
        <w:tab/>
        <w:t>Tenure of office</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in the opinion of the Minister permanently incapable of performing the duties of his office; or</w:t>
      </w:r>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Footnotesection"/>
      </w:pPr>
      <w:r>
        <w:tab/>
        <w:t>[Section 8 amended by No. 18 of 2009 s. 30.]</w:t>
      </w:r>
    </w:p>
    <w:p>
      <w:pPr>
        <w:pStyle w:val="Heading5"/>
        <w:rPr>
          <w:snapToGrid w:val="0"/>
        </w:rPr>
      </w:pPr>
      <w:bookmarkStart w:id="67" w:name="_Toc39550477"/>
      <w:bookmarkStart w:id="68" w:name="_Toc39550563"/>
      <w:bookmarkStart w:id="69" w:name="_Toc102814311"/>
      <w:bookmarkStart w:id="70" w:name="_Toc274207169"/>
      <w:r>
        <w:rPr>
          <w:rStyle w:val="CharSectno"/>
        </w:rPr>
        <w:t>9</w:t>
      </w:r>
      <w:r>
        <w:rPr>
          <w:snapToGrid w:val="0"/>
        </w:rPr>
        <w:t>.</w:t>
      </w:r>
      <w:r>
        <w:rPr>
          <w:snapToGrid w:val="0"/>
        </w:rPr>
        <w:tab/>
        <w:t>Remuneration and allowances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Heading5"/>
        <w:rPr>
          <w:snapToGrid w:val="0"/>
        </w:rPr>
      </w:pPr>
      <w:bookmarkStart w:id="71" w:name="_Toc39550478"/>
      <w:bookmarkStart w:id="72" w:name="_Toc39550564"/>
      <w:bookmarkStart w:id="73" w:name="_Toc102814312"/>
      <w:bookmarkStart w:id="74" w:name="_Toc274207170"/>
      <w:r>
        <w:rPr>
          <w:rStyle w:val="CharSectno"/>
        </w:rPr>
        <w:t>10</w:t>
      </w:r>
      <w:r>
        <w:rPr>
          <w:snapToGrid w:val="0"/>
        </w:rPr>
        <w:t>.</w:t>
      </w:r>
      <w:r>
        <w:rPr>
          <w:snapToGrid w:val="0"/>
        </w:rPr>
        <w:tab/>
        <w:t>Meetings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75" w:name="_Toc39550479"/>
      <w:bookmarkStart w:id="76" w:name="_Toc39550565"/>
      <w:bookmarkStart w:id="77" w:name="_Toc102814313"/>
      <w:bookmarkStart w:id="78" w:name="_Toc274207171"/>
      <w:r>
        <w:rPr>
          <w:rStyle w:val="CharSectno"/>
        </w:rPr>
        <w:t>11</w:t>
      </w:r>
      <w:r>
        <w:rPr>
          <w:snapToGrid w:val="0"/>
        </w:rPr>
        <w:t>.</w:t>
      </w:r>
      <w:r>
        <w:rPr>
          <w:snapToGrid w:val="0"/>
        </w:rPr>
        <w:tab/>
        <w:t>Saving</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79" w:name="_Toc39550480"/>
      <w:bookmarkStart w:id="80" w:name="_Toc39550566"/>
      <w:bookmarkStart w:id="81" w:name="_Toc102814314"/>
      <w:bookmarkStart w:id="82" w:name="_Toc274207172"/>
      <w:r>
        <w:rPr>
          <w:rStyle w:val="CharSectno"/>
        </w:rPr>
        <w:t>12</w:t>
      </w:r>
      <w:r>
        <w:rPr>
          <w:snapToGrid w:val="0"/>
        </w:rPr>
        <w:t>.</w:t>
      </w:r>
      <w:r>
        <w:rPr>
          <w:snapToGrid w:val="0"/>
        </w:rPr>
        <w:tab/>
        <w:t>Functions and powers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to advise the CEO in relation to applications for the issue of licences and as to other matters concerning licences; and</w:t>
      </w:r>
    </w:p>
    <w:p>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rPr>
          <w:snapToGrid w:val="0"/>
        </w:rPr>
      </w:pPr>
      <w:r>
        <w:rPr>
          <w:snapToGrid w:val="0"/>
        </w:rPr>
        <w:tab/>
        <w:t>(4)</w:t>
      </w:r>
      <w:r>
        <w:rPr>
          <w:snapToGrid w:val="0"/>
        </w:rPr>
        <w:tab/>
        <w:t>The Committee may, by a summons in the prescribed form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 12 amended by No. 55 of 2004 s. 245; No. 28 of 2006 s. 247.]</w:t>
      </w:r>
    </w:p>
    <w:p>
      <w:pPr>
        <w:pStyle w:val="Heading5"/>
        <w:rPr>
          <w:snapToGrid w:val="0"/>
        </w:rPr>
      </w:pPr>
      <w:bookmarkStart w:id="83" w:name="_Toc39550481"/>
      <w:bookmarkStart w:id="84" w:name="_Toc39550567"/>
      <w:bookmarkStart w:id="85" w:name="_Toc102814315"/>
      <w:bookmarkStart w:id="86" w:name="_Toc274207173"/>
      <w:r>
        <w:rPr>
          <w:rStyle w:val="CharSectno"/>
        </w:rPr>
        <w:t>13</w:t>
      </w:r>
      <w:r>
        <w:rPr>
          <w:snapToGrid w:val="0"/>
        </w:rPr>
        <w:t>.</w:t>
      </w:r>
      <w:r>
        <w:rPr>
          <w:snapToGrid w:val="0"/>
        </w:rPr>
        <w:tab/>
        <w:t>Subcommittees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pPr>
        <w:pStyle w:val="Subsection"/>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pPr>
        <w:pStyle w:val="Footnotesection"/>
      </w:pPr>
      <w:r>
        <w:tab/>
        <w:t>[Section 13 amended by No. 28 of 2006 s. 247.]</w:t>
      </w:r>
    </w:p>
    <w:p>
      <w:pPr>
        <w:pStyle w:val="Heading5"/>
        <w:rPr>
          <w:snapToGrid w:val="0"/>
        </w:rPr>
      </w:pPr>
      <w:bookmarkStart w:id="87" w:name="_Toc39550482"/>
      <w:bookmarkStart w:id="88" w:name="_Toc39550568"/>
      <w:bookmarkStart w:id="89" w:name="_Toc102814316"/>
      <w:bookmarkStart w:id="90" w:name="_Toc274207174"/>
      <w:r>
        <w:rPr>
          <w:rStyle w:val="CharSectno"/>
        </w:rPr>
        <w:t>14</w:t>
      </w:r>
      <w:r>
        <w:rPr>
          <w:snapToGrid w:val="0"/>
        </w:rPr>
        <w:t>.</w:t>
      </w:r>
      <w:r>
        <w:rPr>
          <w:snapToGrid w:val="0"/>
        </w:rPr>
        <w:tab/>
        <w:t>Delegation</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pPr>
        <w:pStyle w:val="Footnotesection"/>
      </w:pPr>
      <w:r>
        <w:tab/>
        <w:t>[Section 14 amended by No. 28 of 2006 s. 247.]</w:t>
      </w:r>
    </w:p>
    <w:p>
      <w:pPr>
        <w:pStyle w:val="Heading5"/>
        <w:rPr>
          <w:snapToGrid w:val="0"/>
        </w:rPr>
      </w:pPr>
      <w:bookmarkStart w:id="91" w:name="_Toc39550483"/>
      <w:bookmarkStart w:id="92" w:name="_Toc39550569"/>
      <w:bookmarkStart w:id="93" w:name="_Toc102814317"/>
      <w:bookmarkStart w:id="94" w:name="_Toc274207175"/>
      <w:r>
        <w:rPr>
          <w:rStyle w:val="CharSectno"/>
        </w:rPr>
        <w:t>15</w:t>
      </w:r>
      <w:r>
        <w:rPr>
          <w:snapToGrid w:val="0"/>
        </w:rPr>
        <w:t>.</w:t>
      </w:r>
      <w:r>
        <w:rPr>
          <w:snapToGrid w:val="0"/>
        </w:rPr>
        <w:tab/>
        <w:t>Directions and references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pPr>
        <w:pStyle w:val="Footnotesection"/>
      </w:pPr>
      <w:r>
        <w:tab/>
        <w:t>[Section 15 amended by No. 28 of 2006 s. 247.]</w:t>
      </w:r>
    </w:p>
    <w:p>
      <w:pPr>
        <w:pStyle w:val="Heading2"/>
      </w:pPr>
      <w:bookmarkStart w:id="95" w:name="_Toc89162142"/>
      <w:bookmarkStart w:id="96" w:name="_Toc89162542"/>
      <w:bookmarkStart w:id="97" w:name="_Toc92516984"/>
      <w:bookmarkStart w:id="98" w:name="_Toc97010056"/>
      <w:bookmarkStart w:id="99" w:name="_Toc102274128"/>
      <w:bookmarkStart w:id="100" w:name="_Toc102814318"/>
      <w:bookmarkStart w:id="101" w:name="_Toc139363609"/>
      <w:bookmarkStart w:id="102" w:name="_Toc139365544"/>
      <w:bookmarkStart w:id="103" w:name="_Toc139701964"/>
      <w:bookmarkStart w:id="104" w:name="_Toc144098153"/>
      <w:bookmarkStart w:id="105" w:name="_Toc144103061"/>
      <w:bookmarkStart w:id="106" w:name="_Toc148778777"/>
      <w:bookmarkStart w:id="107" w:name="_Toc150161165"/>
      <w:bookmarkStart w:id="108" w:name="_Toc196800273"/>
      <w:bookmarkStart w:id="109" w:name="_Toc241052660"/>
      <w:bookmarkStart w:id="110" w:name="_Toc271196434"/>
      <w:bookmarkStart w:id="111" w:name="_Toc274207176"/>
      <w:r>
        <w:rPr>
          <w:rStyle w:val="CharPartNo"/>
        </w:rPr>
        <w:t>Part III</w:t>
      </w:r>
      <w:r>
        <w:rPr>
          <w:rStyle w:val="CharDivNo"/>
        </w:rPr>
        <w:t> </w:t>
      </w:r>
      <w:r>
        <w:t>—</w:t>
      </w:r>
      <w:r>
        <w:rPr>
          <w:rStyle w:val="CharDivText"/>
        </w:rPr>
        <w:t> </w:t>
      </w:r>
      <w:r>
        <w:rPr>
          <w:rStyle w:val="CharPartText"/>
        </w:rPr>
        <w:t>Practice of dental prosthetics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39550484"/>
      <w:bookmarkStart w:id="113" w:name="_Toc39550570"/>
      <w:bookmarkStart w:id="114" w:name="_Toc102814319"/>
      <w:bookmarkStart w:id="115" w:name="_Toc274207177"/>
      <w:r>
        <w:rPr>
          <w:rStyle w:val="CharSectno"/>
        </w:rPr>
        <w:t>16</w:t>
      </w:r>
      <w:r>
        <w:rPr>
          <w:snapToGrid w:val="0"/>
        </w:rPr>
        <w:t>.</w:t>
      </w:r>
      <w:r>
        <w:rPr>
          <w:snapToGrid w:val="0"/>
        </w:rPr>
        <w:tab/>
        <w:t>Licensed persons may practise dental prosthetics</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spacing w:before="180"/>
        <w:rPr>
          <w:snapToGrid w:val="0"/>
        </w:rPr>
      </w:pPr>
      <w:bookmarkStart w:id="116" w:name="_Toc39550485"/>
      <w:bookmarkStart w:id="117" w:name="_Toc39550571"/>
      <w:bookmarkStart w:id="118" w:name="_Toc102814320"/>
      <w:bookmarkStart w:id="119" w:name="_Toc274207178"/>
      <w:r>
        <w:rPr>
          <w:rStyle w:val="CharSectno"/>
        </w:rPr>
        <w:t>17</w:t>
      </w:r>
      <w:r>
        <w:rPr>
          <w:snapToGrid w:val="0"/>
        </w:rPr>
        <w:t>.</w:t>
      </w:r>
      <w:r>
        <w:rPr>
          <w:snapToGrid w:val="0"/>
        </w:rPr>
        <w:tab/>
        <w:t>Application for licence</w:t>
      </w:r>
      <w:bookmarkEnd w:id="116"/>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pPr>
        <w:pStyle w:val="Footnotesection"/>
      </w:pPr>
      <w:r>
        <w:tab/>
        <w:t>[Section 17 amended by No. 28 of 2006 s. 247.]</w:t>
      </w:r>
    </w:p>
    <w:p>
      <w:pPr>
        <w:pStyle w:val="Heading5"/>
        <w:spacing w:before="180"/>
        <w:rPr>
          <w:snapToGrid w:val="0"/>
        </w:rPr>
      </w:pPr>
      <w:bookmarkStart w:id="120" w:name="_Toc39550486"/>
      <w:bookmarkStart w:id="121" w:name="_Toc39550572"/>
      <w:bookmarkStart w:id="122" w:name="_Toc102814321"/>
      <w:bookmarkStart w:id="123" w:name="_Toc274207179"/>
      <w:r>
        <w:rPr>
          <w:rStyle w:val="CharSectno"/>
        </w:rPr>
        <w:t>18</w:t>
      </w:r>
      <w:r>
        <w:rPr>
          <w:snapToGrid w:val="0"/>
        </w:rPr>
        <w:t>.</w:t>
      </w:r>
      <w:r>
        <w:rPr>
          <w:snapToGrid w:val="0"/>
        </w:rPr>
        <w:tab/>
        <w:t>Issue of licence</w:t>
      </w:r>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3</w:t>
      </w:r>
      <w:r>
        <w:rPr>
          <w:snapToGrid w:val="0"/>
        </w:rPr>
        <w:t xml:space="preserve"> established under the </w:t>
      </w:r>
      <w:r>
        <w:rPr>
          <w:i/>
          <w:snapToGrid w:val="0"/>
        </w:rPr>
        <w:t>Public Sector Management Act 1994</w:t>
      </w:r>
      <w:r>
        <w:rPr>
          <w:snapToGrid w:val="0"/>
          <w:vertAlign w:val="superscript"/>
        </w:rPr>
        <w:t> 4</w:t>
      </w:r>
      <w:r>
        <w:rPr>
          <w:snapToGrid w:val="0"/>
        </w:rPr>
        <w:t>, and performs to the satisfaction of that person in that assessment.</w:t>
      </w:r>
    </w:p>
    <w:p>
      <w:pPr>
        <w:pStyle w:val="Footnotesection"/>
      </w:pPr>
      <w:r>
        <w:tab/>
        <w:t>[Section 18 amended by No. 28 of 2006 s. 247.]</w:t>
      </w:r>
    </w:p>
    <w:p>
      <w:pPr>
        <w:pStyle w:val="Heading5"/>
        <w:spacing w:before="180"/>
        <w:rPr>
          <w:snapToGrid w:val="0"/>
        </w:rPr>
      </w:pPr>
      <w:bookmarkStart w:id="124" w:name="_Toc39550487"/>
      <w:bookmarkStart w:id="125" w:name="_Toc39550573"/>
      <w:bookmarkStart w:id="126" w:name="_Toc102814322"/>
      <w:bookmarkStart w:id="127" w:name="_Toc274207180"/>
      <w:r>
        <w:rPr>
          <w:rStyle w:val="CharSectno"/>
        </w:rPr>
        <w:t>19</w:t>
      </w:r>
      <w:r>
        <w:rPr>
          <w:snapToGrid w:val="0"/>
        </w:rPr>
        <w:t>.</w:t>
      </w:r>
      <w:r>
        <w:rPr>
          <w:snapToGrid w:val="0"/>
        </w:rPr>
        <w:tab/>
        <w:t>Effect of licence</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spacing w:before="180"/>
      </w:pPr>
      <w:bookmarkStart w:id="128" w:name="_Toc102814323"/>
      <w:bookmarkStart w:id="129" w:name="_Toc274207181"/>
      <w:bookmarkStart w:id="130" w:name="_Toc39550488"/>
      <w:bookmarkStart w:id="131" w:name="_Toc39550574"/>
      <w:r>
        <w:rPr>
          <w:rStyle w:val="CharSectno"/>
        </w:rPr>
        <w:t>19A</w:t>
      </w:r>
      <w:r>
        <w:t>.</w:t>
      </w:r>
      <w:r>
        <w:tab/>
        <w:t>Investigator</w:t>
      </w:r>
      <w:bookmarkEnd w:id="128"/>
      <w:bookmarkEnd w:id="129"/>
    </w:p>
    <w:p>
      <w:pPr>
        <w:pStyle w:val="Subsection"/>
      </w:pPr>
      <w:r>
        <w:tab/>
        <w:t>(1)</w:t>
      </w:r>
      <w:r>
        <w:tab/>
        <w:t xml:space="preserve">The CEO may appoint a person to investigate — </w:t>
      </w:r>
    </w:p>
    <w:p>
      <w:pPr>
        <w:pStyle w:val="Indenta"/>
      </w:pPr>
      <w:r>
        <w:tab/>
        <w:t>(a)</w:t>
      </w:r>
      <w:r>
        <w:tab/>
        <w:t>a complaint in relation to a dental prosthetist; or</w:t>
      </w:r>
    </w:p>
    <w:p>
      <w:pPr>
        <w:pStyle w:val="Indenta"/>
      </w:pPr>
      <w:r>
        <w:tab/>
        <w:t>(b)</w:t>
      </w:r>
      <w:r>
        <w:tab/>
      </w:r>
      <w:r>
        <w:rPr>
          <w:snapToGrid w:val="0"/>
        </w:rPr>
        <w:t xml:space="preserve">any other matter relevant to the </w:t>
      </w:r>
      <w:r>
        <w:t xml:space="preserve">CEO’s </w:t>
      </w:r>
      <w:r>
        <w:rPr>
          <w:snapToGrid w:val="0"/>
        </w:rPr>
        <w:t>functions</w:t>
      </w:r>
      <w:r>
        <w:t>,</w:t>
      </w:r>
    </w:p>
    <w:p>
      <w:pPr>
        <w:pStyle w:val="Subsection"/>
      </w:pPr>
      <w:r>
        <w:tab/>
      </w:r>
      <w:r>
        <w:tab/>
        <w:t>and report to the CEO.</w:t>
      </w:r>
    </w:p>
    <w:p>
      <w:pPr>
        <w:pStyle w:val="Subsection"/>
      </w:pPr>
      <w:r>
        <w:tab/>
        <w:t>(2)</w:t>
      </w:r>
      <w:r>
        <w:tab/>
        <w:t>The CEO is to issue to each investigator the CEO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19A inserted by No. 55 of 2004 s. 246; amended by No. 28 of 2006 s. 246 and 247.]</w:t>
      </w:r>
    </w:p>
    <w:p>
      <w:pPr>
        <w:pStyle w:val="Heading5"/>
        <w:keepNext w:val="0"/>
        <w:spacing w:before="180"/>
      </w:pPr>
      <w:bookmarkStart w:id="132" w:name="_Toc102814324"/>
      <w:bookmarkStart w:id="133" w:name="_Toc274207182"/>
      <w:r>
        <w:rPr>
          <w:rStyle w:val="CharSectno"/>
        </w:rPr>
        <w:t>19B</w:t>
      </w:r>
      <w:r>
        <w:t>.</w:t>
      </w:r>
      <w:r>
        <w:tab/>
        <w:t>Report of investigator</w:t>
      </w:r>
      <w:bookmarkEnd w:id="132"/>
      <w:bookmarkEnd w:id="133"/>
      <w:r>
        <w:t xml:space="preserve"> </w:t>
      </w:r>
    </w:p>
    <w:p>
      <w:pPr>
        <w:pStyle w:val="Subsection"/>
        <w:spacing w:before="120"/>
      </w:pPr>
      <w:r>
        <w:tab/>
        <w:t>(1)</w:t>
      </w:r>
      <w:r>
        <w:tab/>
        <w:t xml:space="preserve">An investigator must — </w:t>
      </w:r>
    </w:p>
    <w:p>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pPr>
        <w:pStyle w:val="Subsection"/>
      </w:pPr>
      <w:r>
        <w:tab/>
        <w:t>(2)</w:t>
      </w:r>
      <w:r>
        <w:tab/>
        <w:t>The investigator must return his certificate of appointment at the time the CEO is provided with a copy of the report.</w:t>
      </w:r>
    </w:p>
    <w:p>
      <w:pPr>
        <w:pStyle w:val="Footnotesection"/>
      </w:pPr>
      <w:r>
        <w:tab/>
        <w:t>[Section 19B inserted by No. 55 of 2004 s. 246; amended by No. 28 of 2006 s. 247.]</w:t>
      </w:r>
    </w:p>
    <w:p>
      <w:pPr>
        <w:pStyle w:val="Heading5"/>
      </w:pPr>
      <w:bookmarkStart w:id="134" w:name="_Toc102814325"/>
      <w:bookmarkStart w:id="135" w:name="_Toc274207183"/>
      <w:r>
        <w:rPr>
          <w:rStyle w:val="CharSectno"/>
        </w:rPr>
        <w:t>19C</w:t>
      </w:r>
      <w:r>
        <w:t>.</w:t>
      </w:r>
      <w:r>
        <w:tab/>
        <w:t>Powers of investigator</w:t>
      </w:r>
      <w:bookmarkEnd w:id="134"/>
      <w:bookmarkEnd w:id="135"/>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keepNext/>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 19C inserted by No. 55 of 2004 s. 246.]</w:t>
      </w:r>
    </w:p>
    <w:p>
      <w:pPr>
        <w:pStyle w:val="Heading5"/>
      </w:pPr>
      <w:bookmarkStart w:id="136" w:name="_Toc102814326"/>
      <w:bookmarkStart w:id="137" w:name="_Toc274207184"/>
      <w:r>
        <w:rPr>
          <w:rStyle w:val="CharSectno"/>
        </w:rPr>
        <w:t>19D</w:t>
      </w:r>
      <w:r>
        <w:t>.</w:t>
      </w:r>
      <w:r>
        <w:tab/>
        <w:t>Warrant to enter premises</w:t>
      </w:r>
      <w:bookmarkEnd w:id="136"/>
      <w:bookmarkEnd w:id="137"/>
      <w:r>
        <w:t xml:space="preserve"> </w:t>
      </w:r>
    </w:p>
    <w:p>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19D inserted by No. 55 of 2004 s. 246; amended by No. 28 of 2006 s. 247.]</w:t>
      </w:r>
    </w:p>
    <w:p>
      <w:pPr>
        <w:pStyle w:val="Heading5"/>
      </w:pPr>
      <w:bookmarkStart w:id="138" w:name="_Toc102814327"/>
      <w:bookmarkStart w:id="139" w:name="_Toc274207185"/>
      <w:r>
        <w:rPr>
          <w:rStyle w:val="CharSectno"/>
        </w:rPr>
        <w:t>19E</w:t>
      </w:r>
      <w:r>
        <w:t>.</w:t>
      </w:r>
      <w:r>
        <w:tab/>
        <w:t>Issue of warrant</w:t>
      </w:r>
      <w:bookmarkEnd w:id="138"/>
      <w:bookmarkEnd w:id="139"/>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19E inserted by No. 55 of 2004 s. 246.]</w:t>
      </w:r>
    </w:p>
    <w:p>
      <w:pPr>
        <w:pStyle w:val="Heading5"/>
      </w:pPr>
      <w:bookmarkStart w:id="140" w:name="_Toc102814328"/>
      <w:bookmarkStart w:id="141" w:name="_Toc274207186"/>
      <w:r>
        <w:rPr>
          <w:rStyle w:val="CharSectno"/>
        </w:rPr>
        <w:t>19F</w:t>
      </w:r>
      <w:r>
        <w:t>.</w:t>
      </w:r>
      <w:r>
        <w:tab/>
        <w:t>Execution of warrant</w:t>
      </w:r>
      <w:bookmarkEnd w:id="140"/>
      <w:bookmarkEnd w:id="141"/>
      <w:r>
        <w:t xml:space="preserve"> </w:t>
      </w:r>
    </w:p>
    <w:p>
      <w:pPr>
        <w:pStyle w:val="Subsection"/>
      </w:pPr>
      <w:r>
        <w:tab/>
        <w:t>(1)</w:t>
      </w:r>
      <w:r>
        <w:tab/>
        <w:t>If asked by the occupier or a person in charge of the premises, the person executing a warrant must produce it for inspection.</w:t>
      </w:r>
    </w:p>
    <w:p>
      <w:pPr>
        <w:pStyle w:val="Subsection"/>
        <w:keepNext/>
        <w:spacing w:before="120"/>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 19F inserted by No. 55 of 2004 s. 246.]</w:t>
      </w:r>
    </w:p>
    <w:p>
      <w:pPr>
        <w:pStyle w:val="Heading5"/>
      </w:pPr>
      <w:bookmarkStart w:id="142" w:name="_Toc102814329"/>
      <w:bookmarkStart w:id="143" w:name="_Toc274207187"/>
      <w:r>
        <w:rPr>
          <w:rStyle w:val="CharSectno"/>
        </w:rPr>
        <w:t>19G</w:t>
      </w:r>
      <w:r>
        <w:t>.</w:t>
      </w:r>
      <w:r>
        <w:tab/>
        <w:t>Incriminating information, questions, or documents</w:t>
      </w:r>
      <w:bookmarkEnd w:id="142"/>
      <w:bookmarkEnd w:id="143"/>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spacing w:before="100"/>
        <w:ind w:left="890" w:hanging="890"/>
      </w:pPr>
      <w:r>
        <w:tab/>
        <w:t>[Section 19G inserted by No. 55 of 2004 s. 246.]</w:t>
      </w:r>
    </w:p>
    <w:p>
      <w:pPr>
        <w:pStyle w:val="Heading5"/>
      </w:pPr>
      <w:bookmarkStart w:id="144" w:name="_Toc102814330"/>
      <w:bookmarkStart w:id="145" w:name="_Toc274207188"/>
      <w:r>
        <w:rPr>
          <w:rStyle w:val="CharSectno"/>
        </w:rPr>
        <w:t>19H</w:t>
      </w:r>
      <w:r>
        <w:t>.</w:t>
      </w:r>
      <w:r>
        <w:tab/>
        <w:t>Failure to comply with investigation</w:t>
      </w:r>
      <w:bookmarkEnd w:id="144"/>
      <w:bookmarkEnd w:id="145"/>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19H inserted by No. 55 of 2004 s. 246.]</w:t>
      </w:r>
    </w:p>
    <w:p>
      <w:pPr>
        <w:pStyle w:val="Heading5"/>
      </w:pPr>
      <w:bookmarkStart w:id="146" w:name="_Toc102814331"/>
      <w:bookmarkStart w:id="147" w:name="_Toc274207189"/>
      <w:r>
        <w:rPr>
          <w:rStyle w:val="CharSectno"/>
        </w:rPr>
        <w:t>19I</w:t>
      </w:r>
      <w:r>
        <w:t>.</w:t>
      </w:r>
      <w:r>
        <w:tab/>
        <w:t>Obstruction of investigator</w:t>
      </w:r>
      <w:bookmarkEnd w:id="146"/>
      <w:bookmarkEnd w:id="147"/>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 19I inserted by No. 55 of 2004 s. 246.]</w:t>
      </w:r>
    </w:p>
    <w:p>
      <w:pPr>
        <w:pStyle w:val="Heading5"/>
        <w:rPr>
          <w:snapToGrid w:val="0"/>
        </w:rPr>
      </w:pPr>
      <w:bookmarkStart w:id="148" w:name="_Toc102814332"/>
      <w:bookmarkStart w:id="149" w:name="_Toc274207190"/>
      <w:r>
        <w:rPr>
          <w:rStyle w:val="CharSectno"/>
        </w:rPr>
        <w:t>20</w:t>
      </w:r>
      <w:r>
        <w:rPr>
          <w:snapToGrid w:val="0"/>
        </w:rPr>
        <w:t>.</w:t>
      </w:r>
      <w:r>
        <w:rPr>
          <w:snapToGrid w:val="0"/>
        </w:rPr>
        <w:tab/>
        <w:t>Revocation of licence and cancellation of endorsement</w:t>
      </w:r>
      <w:bookmarkEnd w:id="130"/>
      <w:bookmarkEnd w:id="131"/>
      <w:bookmarkEnd w:id="148"/>
      <w:bookmarkEnd w:id="149"/>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bookmarkStart w:id="150" w:name="_Toc39550489"/>
      <w:bookmarkStart w:id="151"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pPr>
        <w:pStyle w:val="Footnotesection"/>
      </w:pPr>
      <w:r>
        <w:tab/>
        <w:t>[Section 20 amended by No. 55 of 2004 s. 247; No. 28 of 2006 s. 247.]</w:t>
      </w:r>
    </w:p>
    <w:p>
      <w:pPr>
        <w:pStyle w:val="Heading5"/>
        <w:rPr>
          <w:snapToGrid w:val="0"/>
        </w:rPr>
      </w:pPr>
      <w:bookmarkStart w:id="152" w:name="_Toc102814333"/>
      <w:bookmarkStart w:id="153" w:name="_Toc274207191"/>
      <w:r>
        <w:rPr>
          <w:rStyle w:val="CharSectno"/>
        </w:rPr>
        <w:t>21</w:t>
      </w:r>
      <w:r>
        <w:rPr>
          <w:snapToGrid w:val="0"/>
        </w:rPr>
        <w:t>.</w:t>
      </w:r>
      <w:r>
        <w:rPr>
          <w:snapToGrid w:val="0"/>
        </w:rPr>
        <w:tab/>
        <w:t>Suspension of licence or endorsement</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bookmarkStart w:id="154" w:name="_Toc39550490"/>
      <w:bookmarkStart w:id="155" w:name="_Toc39550576"/>
      <w:r>
        <w:tab/>
        <w:t>[Section 21 amended by No. 55 of 2004 s. 248.]</w:t>
      </w:r>
    </w:p>
    <w:p>
      <w:pPr>
        <w:pStyle w:val="Heading5"/>
        <w:rPr>
          <w:snapToGrid w:val="0"/>
        </w:rPr>
      </w:pPr>
      <w:bookmarkStart w:id="156" w:name="_Toc102814334"/>
      <w:bookmarkStart w:id="157" w:name="_Toc274207192"/>
      <w:bookmarkStart w:id="158" w:name="_Toc89162150"/>
      <w:bookmarkStart w:id="159" w:name="_Toc89162550"/>
      <w:bookmarkEnd w:id="154"/>
      <w:bookmarkEnd w:id="155"/>
      <w:r>
        <w:rPr>
          <w:rStyle w:val="CharSectno"/>
        </w:rPr>
        <w:t>22</w:t>
      </w:r>
      <w:r>
        <w:rPr>
          <w:snapToGrid w:val="0"/>
        </w:rPr>
        <w:t>.</w:t>
      </w:r>
      <w:r>
        <w:rPr>
          <w:snapToGrid w:val="0"/>
        </w:rPr>
        <w:tab/>
        <w:t>Review</w:t>
      </w:r>
      <w:bookmarkEnd w:id="156"/>
      <w:bookmarkEnd w:id="157"/>
    </w:p>
    <w:p>
      <w:pPr>
        <w:pStyle w:val="Subsection"/>
        <w:rPr>
          <w:snapToGrid w:val="0"/>
        </w:rPr>
      </w:pPr>
      <w:r>
        <w:rPr>
          <w:snapToGrid w:val="0"/>
        </w:rPr>
        <w:tab/>
        <w:t>(1)</w:t>
      </w:r>
      <w:r>
        <w:rPr>
          <w:snapToGrid w:val="0"/>
        </w:rPr>
        <w:tab/>
        <w:t xml:space="preserve">Where the </w:t>
      </w:r>
      <w:r>
        <w:t xml:space="preserve">CEO </w:t>
      </w:r>
      <w:r>
        <w:rPr>
          <w:snapToGrid w:val="0"/>
        </w:rPr>
        <w:t>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 22 inserted by No. 55 of 2004 s. 249; amended by No. 28 of 2006 s. 247.]</w:t>
      </w:r>
    </w:p>
    <w:p>
      <w:pPr>
        <w:pStyle w:val="Heading2"/>
      </w:pPr>
      <w:bookmarkStart w:id="160" w:name="_Toc92517001"/>
      <w:bookmarkStart w:id="161" w:name="_Toc97010073"/>
      <w:bookmarkStart w:id="162" w:name="_Toc102274145"/>
      <w:bookmarkStart w:id="163" w:name="_Toc102814335"/>
      <w:bookmarkStart w:id="164" w:name="_Toc139363626"/>
      <w:bookmarkStart w:id="165" w:name="_Toc139365561"/>
      <w:bookmarkStart w:id="166" w:name="_Toc139701981"/>
      <w:bookmarkStart w:id="167" w:name="_Toc144098170"/>
      <w:bookmarkStart w:id="168" w:name="_Toc144103078"/>
      <w:bookmarkStart w:id="169" w:name="_Toc148778794"/>
      <w:bookmarkStart w:id="170" w:name="_Toc150161182"/>
      <w:bookmarkStart w:id="171" w:name="_Toc196800290"/>
      <w:bookmarkStart w:id="172" w:name="_Toc241052677"/>
      <w:bookmarkStart w:id="173" w:name="_Toc271196451"/>
      <w:bookmarkStart w:id="174" w:name="_Toc274207193"/>
      <w:r>
        <w:rPr>
          <w:rStyle w:val="CharPartNo"/>
        </w:rPr>
        <w:t>Part IV</w:t>
      </w:r>
      <w:r>
        <w:rPr>
          <w:rStyle w:val="CharDivNo"/>
        </w:rPr>
        <w:t> </w:t>
      </w:r>
      <w:r>
        <w:t>—</w:t>
      </w:r>
      <w:r>
        <w:rPr>
          <w:rStyle w:val="CharDivText"/>
        </w:rPr>
        <w:t> </w:t>
      </w:r>
      <w:r>
        <w:rPr>
          <w:rStyle w:val="CharPartText"/>
        </w:rPr>
        <w:t>General</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39550491"/>
      <w:bookmarkStart w:id="176" w:name="_Toc39550577"/>
      <w:bookmarkStart w:id="177" w:name="_Toc102814336"/>
      <w:bookmarkStart w:id="178" w:name="_Toc274207194"/>
      <w:r>
        <w:rPr>
          <w:rStyle w:val="CharSectno"/>
        </w:rPr>
        <w:t>23</w:t>
      </w:r>
      <w:r>
        <w:rPr>
          <w:snapToGrid w:val="0"/>
        </w:rPr>
        <w:t>.</w:t>
      </w:r>
      <w:r>
        <w:rPr>
          <w:snapToGrid w:val="0"/>
        </w:rPr>
        <w:tab/>
        <w:t>Records to be kept</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Footnotesection"/>
      </w:pPr>
      <w:r>
        <w:tab/>
        <w:t>[Section 23 amended by No. 28 of 2006 s. 247.]</w:t>
      </w:r>
    </w:p>
    <w:p>
      <w:pPr>
        <w:pStyle w:val="Heading5"/>
        <w:rPr>
          <w:snapToGrid w:val="0"/>
        </w:rPr>
      </w:pPr>
      <w:bookmarkStart w:id="179" w:name="_Toc39550492"/>
      <w:bookmarkStart w:id="180" w:name="_Toc39550578"/>
      <w:bookmarkStart w:id="181" w:name="_Toc102814337"/>
      <w:bookmarkStart w:id="182" w:name="_Toc274207195"/>
      <w:r>
        <w:rPr>
          <w:rStyle w:val="CharSectno"/>
        </w:rPr>
        <w:t>24</w:t>
      </w:r>
      <w:r>
        <w:rPr>
          <w:snapToGrid w:val="0"/>
        </w:rPr>
        <w:t>.</w:t>
      </w:r>
      <w:r>
        <w:rPr>
          <w:snapToGrid w:val="0"/>
        </w:rPr>
        <w:tab/>
        <w:t>Offences as to licensing</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 24 amended by No. 28 of 2006 s. 247.]</w:t>
      </w:r>
    </w:p>
    <w:p>
      <w:pPr>
        <w:pStyle w:val="Heading5"/>
        <w:rPr>
          <w:snapToGrid w:val="0"/>
        </w:rPr>
      </w:pPr>
      <w:bookmarkStart w:id="183" w:name="_Toc39550493"/>
      <w:bookmarkStart w:id="184" w:name="_Toc39550579"/>
      <w:bookmarkStart w:id="185" w:name="_Toc102814338"/>
      <w:bookmarkStart w:id="186" w:name="_Toc274207196"/>
      <w:r>
        <w:rPr>
          <w:rStyle w:val="CharSectno"/>
        </w:rPr>
        <w:t>25</w:t>
      </w:r>
      <w:r>
        <w:rPr>
          <w:snapToGrid w:val="0"/>
        </w:rPr>
        <w:t>.</w:t>
      </w:r>
      <w:r>
        <w:rPr>
          <w:snapToGrid w:val="0"/>
        </w:rPr>
        <w:tab/>
        <w:t>Offences relating to the practice of dental prosthetics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187" w:name="_Toc39550494"/>
      <w:bookmarkStart w:id="188" w:name="_Toc39550580"/>
      <w:bookmarkStart w:id="189" w:name="_Toc102814339"/>
      <w:bookmarkStart w:id="190" w:name="_Toc274207197"/>
      <w:r>
        <w:rPr>
          <w:rStyle w:val="CharSectno"/>
        </w:rPr>
        <w:t>26</w:t>
      </w:r>
      <w:r>
        <w:rPr>
          <w:snapToGrid w:val="0"/>
        </w:rPr>
        <w:t>.</w:t>
      </w:r>
      <w:r>
        <w:rPr>
          <w:snapToGrid w:val="0"/>
        </w:rPr>
        <w:tab/>
        <w:t>Notice of business name</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pPr>
        <w:pStyle w:val="Penstart"/>
        <w:rPr>
          <w:snapToGrid w:val="0"/>
        </w:rPr>
      </w:pPr>
      <w:r>
        <w:rPr>
          <w:snapToGrid w:val="0"/>
        </w:rPr>
        <w:tab/>
        <w:t>Penalty: $100.</w:t>
      </w:r>
    </w:p>
    <w:p>
      <w:pPr>
        <w:pStyle w:val="Footnotesection"/>
      </w:pPr>
      <w:r>
        <w:tab/>
        <w:t>[Section 26 amended by No. 28 of 2006 s. 247.]</w:t>
      </w:r>
    </w:p>
    <w:p>
      <w:pPr>
        <w:pStyle w:val="Heading5"/>
        <w:rPr>
          <w:snapToGrid w:val="0"/>
        </w:rPr>
      </w:pPr>
      <w:bookmarkStart w:id="191" w:name="_Toc39550495"/>
      <w:bookmarkStart w:id="192" w:name="_Toc39550581"/>
      <w:bookmarkStart w:id="193" w:name="_Toc102814340"/>
      <w:bookmarkStart w:id="194" w:name="_Toc274207198"/>
      <w:r>
        <w:rPr>
          <w:rStyle w:val="CharSectno"/>
        </w:rPr>
        <w:t>27</w:t>
      </w:r>
      <w:r>
        <w:rPr>
          <w:snapToGrid w:val="0"/>
        </w:rPr>
        <w:t>.</w:t>
      </w:r>
      <w:r>
        <w:rPr>
          <w:snapToGrid w:val="0"/>
        </w:rPr>
        <w:tab/>
        <w:t>Legal proceedings</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27 amended by No. 59 of 2004 s. 141; No. 84 of 2004 s. 80 and 82; No. 28 of 2006 s. 247.] </w:t>
      </w:r>
    </w:p>
    <w:p>
      <w:pPr>
        <w:pStyle w:val="Heading5"/>
        <w:rPr>
          <w:snapToGrid w:val="0"/>
        </w:rPr>
      </w:pPr>
      <w:bookmarkStart w:id="195" w:name="_Toc39550496"/>
      <w:bookmarkStart w:id="196" w:name="_Toc39550582"/>
      <w:bookmarkStart w:id="197" w:name="_Toc102814341"/>
      <w:bookmarkStart w:id="198" w:name="_Toc274207199"/>
      <w:r>
        <w:rPr>
          <w:rStyle w:val="CharSectno"/>
        </w:rPr>
        <w:t>28</w:t>
      </w:r>
      <w:r>
        <w:rPr>
          <w:snapToGrid w:val="0"/>
        </w:rPr>
        <w:t>.</w:t>
      </w:r>
      <w:r>
        <w:rPr>
          <w:snapToGrid w:val="0"/>
        </w:rPr>
        <w:tab/>
        <w:t>Publication</w:t>
      </w:r>
      <w:bookmarkEnd w:id="195"/>
      <w:bookmarkEnd w:id="196"/>
      <w:bookmarkEnd w:id="197"/>
      <w:bookmarkEnd w:id="198"/>
    </w:p>
    <w:p>
      <w:pPr>
        <w:pStyle w:val="Subsection"/>
        <w:spacing w:before="180"/>
        <w:rPr>
          <w:snapToGrid w:val="0"/>
        </w:rPr>
      </w:pPr>
      <w:r>
        <w:rPr>
          <w:snapToGrid w:val="0"/>
        </w:rPr>
        <w:tab/>
        <w:t>(1)</w:t>
      </w:r>
      <w:r>
        <w:rPr>
          <w:snapToGrid w:val="0"/>
        </w:rPr>
        <w:tab/>
        <w:t>Without limiting the operation of section 30, no action, claim or demand lies against — </w:t>
      </w:r>
    </w:p>
    <w:p>
      <w:pPr>
        <w:pStyle w:val="Indenta"/>
        <w:spacing w:before="90"/>
        <w:rPr>
          <w:snapToGrid w:val="0"/>
        </w:rPr>
      </w:pPr>
      <w:r>
        <w:rPr>
          <w:snapToGrid w:val="0"/>
        </w:rPr>
        <w:tab/>
        <w:t>(a)</w:t>
      </w:r>
      <w:r>
        <w:rPr>
          <w:snapToGrid w:val="0"/>
        </w:rPr>
        <w:tab/>
        <w:t>the proprietor, editor, printer or publisher of any newspaper, journal or periodical; or</w:t>
      </w:r>
    </w:p>
    <w:p>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pPr>
        <w:pStyle w:val="Indenta"/>
        <w:spacing w:before="90"/>
        <w:rPr>
          <w:snapToGrid w:val="0"/>
        </w:rPr>
      </w:pPr>
      <w:r>
        <w:rPr>
          <w:snapToGrid w:val="0"/>
        </w:rPr>
        <w:tab/>
        <w:t>(b)</w:t>
      </w:r>
      <w:r>
        <w:rPr>
          <w:snapToGrid w:val="0"/>
        </w:rPr>
        <w:tab/>
        <w:t>any body that has granted him a qualification that is recorded under section 23;</w:t>
      </w:r>
    </w:p>
    <w:p>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pPr>
        <w:pStyle w:val="Footnotesection"/>
      </w:pPr>
      <w:r>
        <w:tab/>
        <w:t>[Section 28 amended by No. 28 of 2006 s. 247.]</w:t>
      </w:r>
    </w:p>
    <w:p>
      <w:pPr>
        <w:pStyle w:val="Heading5"/>
        <w:rPr>
          <w:snapToGrid w:val="0"/>
        </w:rPr>
      </w:pPr>
      <w:bookmarkStart w:id="199" w:name="_Toc39550497"/>
      <w:bookmarkStart w:id="200" w:name="_Toc39550583"/>
      <w:bookmarkStart w:id="201" w:name="_Toc102814342"/>
      <w:bookmarkStart w:id="202" w:name="_Toc274207200"/>
      <w:r>
        <w:rPr>
          <w:rStyle w:val="CharSectno"/>
        </w:rPr>
        <w:t>29</w:t>
      </w:r>
      <w:r>
        <w:rPr>
          <w:snapToGrid w:val="0"/>
        </w:rPr>
        <w:t>.</w:t>
      </w:r>
      <w:r>
        <w:rPr>
          <w:snapToGrid w:val="0"/>
        </w:rPr>
        <w:tab/>
        <w:t>Return of licences and endorsements upon suspension or revocation</w:t>
      </w:r>
      <w:bookmarkEnd w:id="199"/>
      <w:bookmarkEnd w:id="200"/>
      <w:bookmarkEnd w:id="201"/>
      <w:bookmarkEnd w:id="202"/>
      <w:r>
        <w:rPr>
          <w:snapToGrid w:val="0"/>
        </w:rPr>
        <w:t xml:space="preserve"> </w:t>
      </w:r>
    </w:p>
    <w:p>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pPr>
        <w:pStyle w:val="Footnotesection"/>
      </w:pPr>
      <w:bookmarkStart w:id="203" w:name="_Toc39550498"/>
      <w:bookmarkStart w:id="204" w:name="_Toc39550584"/>
      <w:r>
        <w:tab/>
        <w:t xml:space="preserve">[Section 29 amended by No. 84 of 2004 s. 82; No. 28 of 2006 s. 247.] </w:t>
      </w:r>
    </w:p>
    <w:p>
      <w:pPr>
        <w:pStyle w:val="Heading5"/>
        <w:spacing w:before="180"/>
        <w:rPr>
          <w:snapToGrid w:val="0"/>
        </w:rPr>
      </w:pPr>
      <w:bookmarkStart w:id="205" w:name="_Toc102814343"/>
      <w:bookmarkStart w:id="206" w:name="_Toc274207201"/>
      <w:r>
        <w:rPr>
          <w:rStyle w:val="CharSectno"/>
        </w:rPr>
        <w:t>30</w:t>
      </w:r>
      <w:r>
        <w:rPr>
          <w:snapToGrid w:val="0"/>
        </w:rPr>
        <w:t>.</w:t>
      </w:r>
      <w:r>
        <w:rPr>
          <w:snapToGrid w:val="0"/>
        </w:rPr>
        <w:tab/>
        <w:t>Indemnity</w:t>
      </w:r>
      <w:bookmarkEnd w:id="203"/>
      <w:bookmarkEnd w:id="204"/>
      <w:bookmarkEnd w:id="205"/>
      <w:bookmarkEnd w:id="206"/>
      <w:r>
        <w:rPr>
          <w:snapToGrid w:val="0"/>
        </w:rPr>
        <w:t xml:space="preserve"> </w:t>
      </w:r>
    </w:p>
    <w:p>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Footnotesection"/>
      </w:pPr>
      <w:bookmarkStart w:id="207" w:name="_Toc102814344"/>
      <w:bookmarkStart w:id="208" w:name="_Toc39550499"/>
      <w:bookmarkStart w:id="209" w:name="_Toc39550585"/>
      <w:r>
        <w:tab/>
        <w:t xml:space="preserve">[Section 30 amended by No. 28 of 2006 s. 247.] </w:t>
      </w:r>
    </w:p>
    <w:p>
      <w:pPr>
        <w:pStyle w:val="Heading5"/>
        <w:rPr>
          <w:snapToGrid w:val="0"/>
        </w:rPr>
      </w:pPr>
      <w:bookmarkStart w:id="210" w:name="_Toc274207202"/>
      <w:r>
        <w:rPr>
          <w:rStyle w:val="CharSectno"/>
        </w:rPr>
        <w:t>30A</w:t>
      </w:r>
      <w:r>
        <w:rPr>
          <w:snapToGrid w:val="0"/>
        </w:rPr>
        <w:t>.</w:t>
      </w:r>
      <w:r>
        <w:rPr>
          <w:snapToGrid w:val="0"/>
        </w:rPr>
        <w:tab/>
        <w:t>Report</w:t>
      </w:r>
      <w:bookmarkEnd w:id="207"/>
      <w:bookmarkEnd w:id="210"/>
    </w:p>
    <w:p>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w:t>
      </w:r>
      <w:r>
        <w:t xml:space="preserve"> CEO</w:t>
      </w:r>
      <w:r>
        <w:rPr>
          <w:snapToGrid w:val="0"/>
        </w:rPr>
        <w:t>; and</w:t>
      </w:r>
    </w:p>
    <w:p>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forecasts of the workload of the CEO under this Act in the year after the year to which the report relates.</w:t>
      </w:r>
    </w:p>
    <w:p>
      <w:pPr>
        <w:pStyle w:val="Footnotesection"/>
      </w:pPr>
      <w:r>
        <w:tab/>
        <w:t>[Section 30A inserted by No. 55 of 2004 s. 250; amended by No. 28 of 2006 s. 246 and 247.]</w:t>
      </w:r>
    </w:p>
    <w:p>
      <w:pPr>
        <w:pStyle w:val="Heading5"/>
        <w:spacing w:before="180"/>
        <w:rPr>
          <w:snapToGrid w:val="0"/>
        </w:rPr>
      </w:pPr>
      <w:bookmarkStart w:id="211" w:name="_Toc102814345"/>
      <w:bookmarkStart w:id="212" w:name="_Toc274207203"/>
      <w:r>
        <w:rPr>
          <w:rStyle w:val="CharSectno"/>
        </w:rPr>
        <w:t>31</w:t>
      </w:r>
      <w:r>
        <w:rPr>
          <w:snapToGrid w:val="0"/>
        </w:rPr>
        <w:t>.</w:t>
      </w:r>
      <w:r>
        <w:rPr>
          <w:snapToGrid w:val="0"/>
        </w:rPr>
        <w:tab/>
        <w:t>Regulations</w:t>
      </w:r>
      <w:bookmarkEnd w:id="208"/>
      <w:bookmarkEnd w:id="209"/>
      <w:bookmarkEnd w:id="211"/>
      <w:bookmarkEnd w:id="212"/>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13" w:name="_Toc89162160"/>
      <w:bookmarkStart w:id="214" w:name="_Toc89162560"/>
      <w:bookmarkStart w:id="215" w:name="_Toc92517012"/>
      <w:bookmarkStart w:id="216" w:name="_Toc97010084"/>
      <w:bookmarkStart w:id="217" w:name="_Toc102274156"/>
      <w:bookmarkStart w:id="218" w:name="_Toc102814346"/>
      <w:bookmarkStart w:id="219" w:name="_Toc139363637"/>
      <w:bookmarkStart w:id="220" w:name="_Toc139365572"/>
      <w:bookmarkStart w:id="221" w:name="_Toc139701992"/>
      <w:bookmarkStart w:id="222" w:name="_Toc144098181"/>
      <w:bookmarkStart w:id="223" w:name="_Toc144103089"/>
      <w:bookmarkStart w:id="224" w:name="_Toc148778805"/>
      <w:bookmarkStart w:id="225" w:name="_Toc150161193"/>
      <w:bookmarkStart w:id="226" w:name="_Toc196800301"/>
      <w:bookmarkStart w:id="227" w:name="_Toc241052688"/>
      <w:bookmarkStart w:id="228" w:name="_Toc271196462"/>
      <w:bookmarkStart w:id="229" w:name="_Toc274207204"/>
      <w:r>
        <w:t>Notes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0" w:name="_Toc274207205"/>
      <w:r>
        <w:rPr>
          <w:snapToGrid w:val="0"/>
        </w:rPr>
        <w:t>Compilation table</w:t>
      </w:r>
      <w:bookmarkEnd w:id="230"/>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2"/>
        <w:gridCol w:w="26"/>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Dental Prosthetists Act 1985</w:t>
            </w:r>
          </w:p>
        </w:tc>
        <w:tc>
          <w:tcPr>
            <w:tcW w:w="1134" w:type="dxa"/>
          </w:tcPr>
          <w:p>
            <w:pPr>
              <w:pStyle w:val="nTable"/>
              <w:spacing w:after="40"/>
              <w:rPr>
                <w:sz w:val="19"/>
              </w:rPr>
            </w:pPr>
            <w:r>
              <w:rPr>
                <w:sz w:val="19"/>
              </w:rPr>
              <w:t>16 of 1985</w:t>
            </w:r>
          </w:p>
        </w:tc>
        <w:tc>
          <w:tcPr>
            <w:tcW w:w="1134" w:type="dxa"/>
          </w:tcPr>
          <w:p>
            <w:pPr>
              <w:pStyle w:val="nTable"/>
              <w:spacing w:after="40"/>
              <w:rPr>
                <w:sz w:val="19"/>
              </w:rPr>
            </w:pPr>
            <w:r>
              <w:rPr>
                <w:sz w:val="19"/>
              </w:rPr>
              <w:t>19 Apr 1985</w:t>
            </w:r>
          </w:p>
        </w:tc>
        <w:tc>
          <w:tcPr>
            <w:tcW w:w="2551" w:type="dxa"/>
            <w:gridSpan w:val="2"/>
          </w:tcPr>
          <w:p>
            <w:pPr>
              <w:pStyle w:val="nTable"/>
              <w:spacing w:after="40"/>
              <w:rPr>
                <w:sz w:val="19"/>
              </w:rPr>
            </w:pPr>
            <w:r>
              <w:rPr>
                <w:sz w:val="19"/>
              </w:rPr>
              <w:t xml:space="preserve">1 Oct 1986 (see s. 2 and </w:t>
            </w:r>
            <w:r>
              <w:rPr>
                <w:i/>
                <w:sz w:val="19"/>
              </w:rPr>
              <w:t>Gazette</w:t>
            </w:r>
            <w:r>
              <w:rPr>
                <w:sz w:val="19"/>
              </w:rPr>
              <w:t xml:space="preserve"> 26 Sep 1986 p. 3675)</w:t>
            </w:r>
          </w:p>
        </w:tc>
      </w:tr>
      <w:tr>
        <w:tc>
          <w:tcPr>
            <w:tcW w:w="2268" w:type="dxa"/>
          </w:tcPr>
          <w:p>
            <w:pPr>
              <w:pStyle w:val="nTable"/>
              <w:spacing w:after="40"/>
              <w:rPr>
                <w:sz w:val="19"/>
              </w:rPr>
            </w:pPr>
            <w:r>
              <w:rPr>
                <w:i/>
                <w:sz w:val="19"/>
              </w:rPr>
              <w:t>Acts Amendment (Dental Prosthetics Students) Act 1989</w:t>
            </w:r>
            <w:r>
              <w:rPr>
                <w:sz w:val="19"/>
              </w:rPr>
              <w:t xml:space="preserve"> Pt. 3</w:t>
            </w:r>
          </w:p>
        </w:tc>
        <w:tc>
          <w:tcPr>
            <w:tcW w:w="1134" w:type="dxa"/>
          </w:tcPr>
          <w:p>
            <w:pPr>
              <w:pStyle w:val="nTable"/>
              <w:spacing w:after="40"/>
              <w:rPr>
                <w:sz w:val="19"/>
              </w:rPr>
            </w:pPr>
            <w:r>
              <w:rPr>
                <w:sz w:val="19"/>
              </w:rPr>
              <w:t>4 of 1989</w:t>
            </w:r>
          </w:p>
        </w:tc>
        <w:tc>
          <w:tcPr>
            <w:tcW w:w="1134" w:type="dxa"/>
          </w:tcPr>
          <w:p>
            <w:pPr>
              <w:pStyle w:val="nTable"/>
              <w:spacing w:after="40"/>
              <w:rPr>
                <w:sz w:val="19"/>
              </w:rPr>
            </w:pPr>
            <w:r>
              <w:rPr>
                <w:sz w:val="19"/>
              </w:rPr>
              <w:t>20 Apr 1989</w:t>
            </w:r>
          </w:p>
        </w:tc>
        <w:tc>
          <w:tcPr>
            <w:tcW w:w="2551" w:type="dxa"/>
            <w:gridSpan w:val="2"/>
          </w:tcPr>
          <w:p>
            <w:pPr>
              <w:pStyle w:val="nTable"/>
              <w:spacing w:after="40"/>
              <w:rPr>
                <w:sz w:val="19"/>
              </w:rPr>
            </w:pPr>
            <w:r>
              <w:rPr>
                <w:sz w:val="19"/>
              </w:rPr>
              <w:t>20 Apr 1989 (see s. 2)</w:t>
            </w:r>
          </w:p>
        </w:tc>
      </w:tr>
      <w:tr>
        <w:tc>
          <w:tcPr>
            <w:tcW w:w="2268" w:type="dxa"/>
          </w:tcPr>
          <w:p>
            <w:pPr>
              <w:pStyle w:val="nTable"/>
              <w:spacing w:after="40"/>
              <w:rPr>
                <w:sz w:val="19"/>
              </w:rPr>
            </w:pPr>
            <w:r>
              <w:rPr>
                <w:i/>
                <w:sz w:val="19"/>
              </w:rPr>
              <w:t>Statutes (Repeals and Minor Amendments) Act (No. 2) 1998</w:t>
            </w:r>
            <w:r>
              <w:rPr>
                <w:sz w:val="19"/>
              </w:rPr>
              <w:t xml:space="preserve"> s. 28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c>
          <w:tcPr>
            <w:tcW w:w="2268" w:type="dxa"/>
          </w:tcPr>
          <w:p>
            <w:pPr>
              <w:pStyle w:val="nTable"/>
              <w:spacing w:after="40"/>
              <w:rPr>
                <w:sz w:val="19"/>
              </w:rPr>
            </w:pPr>
            <w:r>
              <w:rPr>
                <w:i/>
                <w:sz w:val="19"/>
              </w:rPr>
              <w:t>Statutes (Repeals and Minor Amendments) Act 2000</w:t>
            </w:r>
            <w:r>
              <w:rPr>
                <w:sz w:val="19"/>
              </w:rPr>
              <w:t xml:space="preserve"> s. 12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7087" w:type="dxa"/>
            <w:gridSpan w:val="5"/>
          </w:tcPr>
          <w:p>
            <w:pPr>
              <w:pStyle w:val="nTable"/>
              <w:spacing w:after="4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tc>
          <w:tcPr>
            <w:tcW w:w="2268" w:type="dxa"/>
          </w:tcPr>
          <w:p>
            <w:pPr>
              <w:pStyle w:val="nTable"/>
              <w:spacing w:after="40"/>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sz w:val="19"/>
              </w:rPr>
              <w:t xml:space="preserve">Reprint 2:  The </w:t>
            </w:r>
            <w:r>
              <w:rPr>
                <w:b/>
                <w:i/>
                <w:noProof/>
                <w:snapToGrid w:val="0"/>
                <w:sz w:val="19"/>
              </w:rPr>
              <w:t>Dental Prosthetists Act 1985</w:t>
            </w:r>
            <w:r>
              <w:rPr>
                <w:b/>
                <w:noProof/>
                <w:snapToGrid w:val="0"/>
                <w:sz w:val="19"/>
              </w:rPr>
              <w:t xml:space="preserve"> as at 20 Oct 2006</w:t>
            </w:r>
            <w:r>
              <w:rPr>
                <w:noProof/>
                <w:snapToGrid w:val="0"/>
                <w:sz w:val="19"/>
              </w:rPr>
              <w:t xml:space="preserve"> (includes amendments listed above)</w:t>
            </w:r>
          </w:p>
        </w:tc>
      </w:tr>
      <w:tr>
        <w:trPr>
          <w:gridAfter w:val="1"/>
          <w:wAfter w:w="26" w:type="dxa"/>
          <w:cantSplit/>
        </w:trPr>
        <w:tc>
          <w:tcPr>
            <w:tcW w:w="2241"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1" w:name="_Toc7405065"/>
      <w:bookmarkStart w:id="232" w:name="_Toc274207206"/>
      <w:r>
        <w:t>Provisions that have not come into operation</w:t>
      </w:r>
      <w:bookmarkEnd w:id="231"/>
      <w:bookmarkEnd w:id="232"/>
    </w:p>
    <w:tbl>
      <w:tblPr>
        <w:tblW w:w="7098" w:type="dxa"/>
        <w:tblInd w:w="15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8"/>
        <w:gridCol w:w="2250"/>
        <w:gridCol w:w="30"/>
        <w:gridCol w:w="1080"/>
        <w:gridCol w:w="8"/>
        <w:gridCol w:w="1114"/>
        <w:gridCol w:w="20"/>
        <w:gridCol w:w="2552"/>
        <w:gridCol w:w="26"/>
      </w:tblGrid>
      <w:tr>
        <w:trPr>
          <w:gridAfter w:val="1"/>
          <w:wAfter w:w="26" w:type="dxa"/>
        </w:trPr>
        <w:tc>
          <w:tcPr>
            <w:tcW w:w="2268" w:type="dxa"/>
            <w:gridSpan w:val="2"/>
          </w:tcPr>
          <w:p>
            <w:pPr>
              <w:pStyle w:val="nTable"/>
              <w:spacing w:after="40"/>
              <w:rPr>
                <w:b/>
                <w:snapToGrid w:val="0"/>
                <w:sz w:val="19"/>
                <w:lang w:val="en-US"/>
              </w:rPr>
            </w:pPr>
            <w:r>
              <w:rPr>
                <w:b/>
                <w:snapToGrid w:val="0"/>
                <w:sz w:val="19"/>
                <w:lang w:val="en-US"/>
              </w:rPr>
              <w:t>Short title</w:t>
            </w:r>
          </w:p>
        </w:tc>
        <w:tc>
          <w:tcPr>
            <w:tcW w:w="1118" w:type="dxa"/>
            <w:gridSpan w:val="3"/>
          </w:tcPr>
          <w:p>
            <w:pPr>
              <w:pStyle w:val="nTable"/>
              <w:spacing w:after="40"/>
              <w:rPr>
                <w:b/>
                <w:snapToGrid w:val="0"/>
                <w:sz w:val="19"/>
                <w:lang w:val="en-US"/>
              </w:rPr>
            </w:pPr>
            <w:r>
              <w:rPr>
                <w:b/>
                <w:snapToGrid w:val="0"/>
                <w:sz w:val="19"/>
                <w:lang w:val="en-US"/>
              </w:rPr>
              <w:t>Number and year</w:t>
            </w:r>
          </w:p>
        </w:tc>
        <w:tc>
          <w:tcPr>
            <w:tcW w:w="1134" w:type="dxa"/>
            <w:gridSpan w:val="2"/>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gridBefore w:val="1"/>
          <w:wBefore w:w="18" w:type="dxa"/>
          <w:cantSplit/>
        </w:trPr>
        <w:tc>
          <w:tcPr>
            <w:tcW w:w="2280"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14(c) </w:t>
            </w:r>
            <w:r>
              <w:rPr>
                <w:iCs/>
                <w:snapToGrid w:val="0"/>
                <w:sz w:val="19"/>
                <w:vertAlign w:val="superscript"/>
              </w:rPr>
              <w:t>8</w:t>
            </w:r>
          </w:p>
        </w:tc>
        <w:tc>
          <w:tcPr>
            <w:tcW w:w="1080" w:type="dxa"/>
            <w:tcBorders>
              <w:top w:val="nil"/>
              <w:bottom w:val="nil"/>
            </w:tcBorders>
          </w:tcPr>
          <w:p>
            <w:pPr>
              <w:pStyle w:val="nTable"/>
              <w:spacing w:after="40"/>
              <w:rPr>
                <w:snapToGrid w:val="0"/>
                <w:sz w:val="19"/>
                <w:lang w:val="en-US"/>
              </w:rPr>
            </w:pPr>
            <w:r>
              <w:rPr>
                <w:snapToGrid w:val="0"/>
                <w:sz w:val="19"/>
                <w:lang w:val="en-US"/>
              </w:rPr>
              <w:t>35 of 2010</w:t>
            </w:r>
          </w:p>
        </w:tc>
        <w:tc>
          <w:tcPr>
            <w:tcW w:w="1122"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98" w:type="dxa"/>
            <w:gridSpan w:val="3"/>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r>
        <w:tblPrEx>
          <w:tblBorders>
            <w:top w:val="single" w:sz="4" w:space="0" w:color="auto"/>
            <w:bottom w:val="single" w:sz="4" w:space="0" w:color="auto"/>
            <w:insideH w:val="single" w:sz="4" w:space="0" w:color="auto"/>
          </w:tblBorders>
          <w:tblCellMar>
            <w:left w:w="56" w:type="dxa"/>
            <w:right w:w="56" w:type="dxa"/>
          </w:tblCellMar>
        </w:tblPrEx>
        <w:trPr>
          <w:gridBefore w:val="1"/>
          <w:wBefore w:w="18" w:type="dxa"/>
          <w:cantSplit/>
        </w:trPr>
        <w:tc>
          <w:tcPr>
            <w:tcW w:w="2280" w:type="dxa"/>
            <w:gridSpan w:val="2"/>
            <w:tcBorders>
              <w:top w:val="nil"/>
            </w:tcBorders>
          </w:tcPr>
          <w:p>
            <w:pPr>
              <w:pStyle w:val="nTable"/>
              <w:spacing w:after="40"/>
              <w:ind w:right="113"/>
              <w:rPr>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9</w:t>
            </w:r>
          </w:p>
        </w:tc>
        <w:tc>
          <w:tcPr>
            <w:tcW w:w="1080" w:type="dxa"/>
            <w:tcBorders>
              <w:top w:val="nil"/>
            </w:tcBorders>
          </w:tcPr>
          <w:p>
            <w:pPr>
              <w:pStyle w:val="nTable"/>
              <w:spacing w:after="40"/>
              <w:rPr>
                <w:snapToGrid w:val="0"/>
                <w:sz w:val="19"/>
                <w:lang w:val="en-US"/>
              </w:rPr>
            </w:pPr>
            <w:r>
              <w:rPr>
                <w:snapToGrid w:val="0"/>
                <w:sz w:val="19"/>
                <w:lang w:val="en-US"/>
              </w:rPr>
              <w:t>39 of 2010</w:t>
            </w:r>
          </w:p>
        </w:tc>
        <w:tc>
          <w:tcPr>
            <w:tcW w:w="1122" w:type="dxa"/>
            <w:gridSpan w:val="2"/>
            <w:tcBorders>
              <w:top w:val="nil"/>
            </w:tcBorders>
          </w:tcPr>
          <w:p>
            <w:pPr>
              <w:pStyle w:val="nTable"/>
              <w:spacing w:after="40"/>
              <w:rPr>
                <w:snapToGrid w:val="0"/>
                <w:sz w:val="19"/>
                <w:lang w:val="en-US"/>
              </w:rPr>
            </w:pPr>
            <w:r>
              <w:rPr>
                <w:snapToGrid w:val="0"/>
                <w:sz w:val="19"/>
                <w:lang w:val="en-US"/>
              </w:rPr>
              <w:t>1 Oct 2010</w:t>
            </w:r>
          </w:p>
        </w:tc>
        <w:tc>
          <w:tcPr>
            <w:tcW w:w="2598" w:type="dxa"/>
            <w:gridSpan w:val="3"/>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
        </w:rPr>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pPr>
      <w:r>
        <w:rPr>
          <w:vertAlign w:val="superscript"/>
        </w:rPr>
        <w:t>3</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233" w:name="_Toc101070710"/>
      <w:bookmarkStart w:id="234" w:name="_Toc101073294"/>
      <w:bookmarkStart w:id="235" w:name="_Toc101080477"/>
      <w:bookmarkStart w:id="236" w:name="_Toc101081140"/>
      <w:bookmarkStart w:id="237" w:name="_Toc101174102"/>
      <w:bookmarkStart w:id="238" w:name="_Toc101256778"/>
      <w:bookmarkStart w:id="239" w:name="_Toc101260830"/>
      <w:bookmarkStart w:id="240" w:name="_Toc101329611"/>
      <w:bookmarkStart w:id="241" w:name="_Toc101351052"/>
      <w:bookmarkStart w:id="242" w:name="_Toc101578932"/>
      <w:bookmarkStart w:id="243" w:name="_Toc101599907"/>
      <w:bookmarkStart w:id="244" w:name="_Toc101666739"/>
      <w:bookmarkStart w:id="245" w:name="_Toc101672701"/>
      <w:bookmarkStart w:id="246" w:name="_Toc101675211"/>
      <w:bookmarkStart w:id="247" w:name="_Toc101682937"/>
      <w:bookmarkStart w:id="248" w:name="_Toc101690207"/>
      <w:bookmarkStart w:id="249" w:name="_Toc101769539"/>
      <w:bookmarkStart w:id="250" w:name="_Toc101770825"/>
      <w:bookmarkStart w:id="251" w:name="_Toc101774282"/>
      <w:bookmarkStart w:id="252" w:name="_Toc101845246"/>
      <w:bookmarkStart w:id="253" w:name="_Toc102981899"/>
      <w:bookmarkStart w:id="254" w:name="_Toc103570005"/>
      <w:bookmarkStart w:id="255" w:name="_Toc106089241"/>
      <w:bookmarkStart w:id="256" w:name="_Toc106097296"/>
      <w:bookmarkStart w:id="257" w:name="_Toc136050449"/>
      <w:bookmarkStart w:id="258" w:name="_Toc138660828"/>
      <w:bookmarkStart w:id="259" w:name="_Toc138661407"/>
      <w:bookmarkStart w:id="260" w:name="_Toc138750400"/>
      <w:bookmarkStart w:id="261" w:name="_Toc138751085"/>
      <w:bookmarkStart w:id="262" w:name="_Toc139166826"/>
      <w:r>
        <w:rPr>
          <w:rStyle w:val="CharDivNo"/>
        </w:rPr>
        <w:t>Division 13</w:t>
      </w:r>
      <w:r>
        <w:t> — </w:t>
      </w:r>
      <w:r>
        <w:rPr>
          <w:rStyle w:val="CharDivText"/>
        </w:rPr>
        <w:t>Transitional provisions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nzHeading5"/>
      </w:pPr>
      <w:bookmarkStart w:id="263" w:name="_Toc100544609"/>
      <w:bookmarkStart w:id="264" w:name="_Toc138661408"/>
      <w:bookmarkStart w:id="265" w:name="_Toc138751086"/>
      <w:bookmarkStart w:id="266" w:name="_Toc139166827"/>
      <w:r>
        <w:rPr>
          <w:rStyle w:val="CharSectno"/>
        </w:rPr>
        <w:t>289</w:t>
      </w:r>
      <w:r>
        <w:t>.</w:t>
      </w:r>
      <w:r>
        <w:tab/>
        <w:t>Commissioner of Health</w:t>
      </w:r>
      <w:bookmarkEnd w:id="263"/>
      <w:bookmarkEnd w:id="264"/>
      <w:bookmarkEnd w:id="265"/>
      <w:bookmarkEnd w:id="266"/>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lang w:val="en-US"/>
        </w:rPr>
        <w:t>Courts Legislation Amendment and Repeal Act 2004</w:t>
      </w:r>
      <w:r>
        <w:rPr>
          <w:snapToGrid w:val="0"/>
          <w:lang w:val="en-US"/>
        </w:rPr>
        <w:t xml:space="preserve"> Sch. 2 cl. 14 </w:t>
      </w:r>
      <w:r>
        <w:rPr>
          <w:snapToGrid w:val="0"/>
        </w:rPr>
        <w:t xml:space="preserve">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14(c)</w:t>
      </w:r>
      <w:r>
        <w:rPr>
          <w:snapToGrid w:val="0"/>
        </w:rPr>
        <w:t xml:space="preserve"> had not come into operation.  It reads as follows:</w:t>
      </w:r>
    </w:p>
    <w:p>
      <w:pPr>
        <w:pStyle w:val="BlankOpen"/>
      </w:pPr>
    </w:p>
    <w:p>
      <w:pPr>
        <w:pStyle w:val="nzHeading5"/>
      </w:pPr>
      <w:bookmarkStart w:id="267" w:name="_Toc270349052"/>
      <w:r>
        <w:rPr>
          <w:rStyle w:val="CharSectno"/>
        </w:rPr>
        <w:t>14</w:t>
      </w:r>
      <w:r>
        <w:t>.</w:t>
      </w:r>
      <w:r>
        <w:tab/>
        <w:t>Acts repealed</w:t>
      </w:r>
      <w:bookmarkEnd w:id="267"/>
    </w:p>
    <w:p>
      <w:pPr>
        <w:pStyle w:val="nzSubsection"/>
      </w:pPr>
      <w:r>
        <w:tab/>
      </w:r>
      <w:r>
        <w:tab/>
        <w:t>These Acts are repealed:</w:t>
      </w:r>
    </w:p>
    <w:p>
      <w:pPr>
        <w:pStyle w:val="nzIndenta"/>
      </w:pPr>
      <w:r>
        <w:tab/>
        <w:t>(c)</w:t>
      </w:r>
      <w:r>
        <w:tab/>
        <w:t xml:space="preserve">the </w:t>
      </w:r>
      <w:r>
        <w:rPr>
          <w:i/>
        </w:rPr>
        <w:t>Dental Prosthetists Act 1985</w:t>
      </w:r>
      <w:r>
        <w:t>;</w:t>
      </w:r>
    </w:p>
    <w:p>
      <w:pPr>
        <w:pStyle w:val="BlankClose"/>
      </w:pPr>
    </w:p>
    <w:p>
      <w:pPr>
        <w:pStyle w:val="nSubsection"/>
        <w:rPr>
          <w:snapToGrid w:val="0"/>
        </w:rPr>
      </w:pPr>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68" w:name="_Toc273538032"/>
      <w:bookmarkStart w:id="269" w:name="_Toc273964959"/>
      <w:bookmarkStart w:id="270" w:name="_Toc273971506"/>
      <w:r>
        <w:rPr>
          <w:rStyle w:val="CharSectno"/>
        </w:rPr>
        <w:t>89</w:t>
      </w:r>
      <w:r>
        <w:t>.</w:t>
      </w:r>
      <w:r>
        <w:tab/>
        <w:t>Various references to “Minister for Public Sector Management” amended</w:t>
      </w:r>
      <w:bookmarkEnd w:id="268"/>
      <w:bookmarkEnd w:id="269"/>
      <w:bookmarkEnd w:id="27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94"/>
        <w:gridCol w:w="2949"/>
      </w:tblGrid>
      <w:tr>
        <w:trPr>
          <w:cantSplit/>
          <w:jc w:val="center"/>
        </w:trPr>
        <w:tc>
          <w:tcPr>
            <w:tcW w:w="3294" w:type="dxa"/>
          </w:tcPr>
          <w:p>
            <w:pPr>
              <w:pStyle w:val="nzTable"/>
              <w:rPr>
                <w:i/>
                <w:iCs/>
              </w:rPr>
            </w:pPr>
            <w:r>
              <w:rPr>
                <w:i/>
                <w:iCs/>
              </w:rPr>
              <w:t>Dental Prosthetists Act 1985</w:t>
            </w:r>
          </w:p>
        </w:tc>
        <w:tc>
          <w:tcPr>
            <w:tcW w:w="2949" w:type="dxa"/>
          </w:tcPr>
          <w:p>
            <w:pPr>
              <w:pStyle w:val="nzTable"/>
            </w:pPr>
            <w:r>
              <w:t>s. 9</w:t>
            </w:r>
          </w:p>
        </w:tc>
      </w:tr>
    </w:tbl>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bookmarkStart w:id="271" w:name="UpToHere"/>
      <w:bookmarkEnd w:id="271"/>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100"/>
    <w:docVar w:name="WAFER_20151210111100" w:val="RemoveTrackChanges"/>
    <w:docVar w:name="WAFER_20151210111100_GUID" w:val="15f5a9de-c41d-42e8-8694-4836bf6275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8470</Words>
  <Characters>39640</Characters>
  <Application>Microsoft Office Word</Application>
  <DocSecurity>0</DocSecurity>
  <Lines>1101</Lines>
  <Paragraphs>586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1985 - 02-f0-03</dc:title>
  <dc:subject/>
  <dc:creator/>
  <cp:keywords/>
  <dc:description/>
  <cp:lastModifiedBy>svcMRProcess</cp:lastModifiedBy>
  <cp:revision>4</cp:revision>
  <cp:lastPrinted>2006-10-18T04:48:00Z</cp:lastPrinted>
  <dcterms:created xsi:type="dcterms:W3CDTF">2015-12-11T03:06:00Z</dcterms:created>
  <dcterms:modified xsi:type="dcterms:W3CDTF">2015-12-11T03:06:00Z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219</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02-f0-03</vt:lpwstr>
  </property>
</Properties>
</file>