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_Toc389746577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_Toc389746578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_Toc389746579 \h </w:instrText>
      </w:r>
      <w:r>
        <w:fldChar w:fldCharType="separate"/>
      </w:r>
      <w:r>
        <w:t>5</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_Toc389746580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_Toc389746581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_Toc389746584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_Toc389746585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_Toc389746586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_Toc389746587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_Toc389746588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_Toc389746589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_Toc389746590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_Toc389746591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_Toc389746592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_Toc389746593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_Toc389746594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_Toc389746595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_Toc389746596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_Toc389746598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_Toc389746599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_Toc389746600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_Toc389746601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_Toc389746602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_Toc389746603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_Toc389746605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_Toc389746606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_Toc389746607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_Toc389746608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_Toc389746611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_Toc389746612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_Toc389746613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_Toc389746615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_Toc389746616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_Toc389746617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_Toc389746619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_Toc389746620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_Toc389746622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_Toc389746623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_Toc389746624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_Toc389746626 \h </w:instrText>
      </w:r>
      <w:r>
        <w:fldChar w:fldCharType="separate"/>
      </w:r>
      <w:r>
        <w:t>29</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_Toc389746627 \h </w:instrText>
      </w:r>
      <w:r>
        <w:fldChar w:fldCharType="separate"/>
      </w:r>
      <w:r>
        <w:t>29</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_Toc389746628 \h </w:instrText>
      </w:r>
      <w:r>
        <w:fldChar w:fldCharType="separate"/>
      </w:r>
      <w:r>
        <w:t>31</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_Toc389746629 \h </w:instrText>
      </w:r>
      <w:r>
        <w:fldChar w:fldCharType="separate"/>
      </w:r>
      <w:r>
        <w:t>31</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_Toc389746630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_Toc389746633 \h </w:instrText>
      </w:r>
      <w:r>
        <w:fldChar w:fldCharType="separate"/>
      </w:r>
      <w:r>
        <w:t>33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_Toc389746634 \h </w:instrText>
      </w:r>
      <w:r>
        <w:fldChar w:fldCharType="separate"/>
      </w:r>
      <w:r>
        <w:t>33</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_Toc389746635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_Toc389746636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_Toc389746637 \h </w:instrText>
      </w:r>
      <w:r>
        <w:fldChar w:fldCharType="separate"/>
      </w:r>
      <w:r>
        <w:t>34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_Toc389746638 \h </w:instrText>
      </w:r>
      <w:r>
        <w:fldChar w:fldCharType="separate"/>
      </w:r>
      <w:r>
        <w:t>36</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_Toc389746639 \h </w:instrText>
      </w:r>
      <w:r>
        <w:fldChar w:fldCharType="separate"/>
      </w:r>
      <w:r>
        <w:t>36</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_Toc389746640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_Toc389746642 \h </w:instrText>
      </w:r>
      <w:r>
        <w:fldChar w:fldCharType="separate"/>
      </w:r>
      <w:r>
        <w:t>37</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_Toc389746643 \h </w:instrText>
      </w:r>
      <w:r>
        <w:fldChar w:fldCharType="separate"/>
      </w:r>
      <w:r>
        <w:t>42</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_Toc389746644 \h </w:instrText>
      </w:r>
      <w:r>
        <w:fldChar w:fldCharType="separate"/>
      </w:r>
      <w:r>
        <w:t>46</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_Toc389746645 \h </w:instrText>
      </w:r>
      <w:r>
        <w:fldChar w:fldCharType="separate"/>
      </w:r>
      <w:r>
        <w:t>50</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_Toc389746646 \h </w:instrText>
      </w:r>
      <w:r>
        <w:fldChar w:fldCharType="separate"/>
      </w:r>
      <w:r>
        <w:t>51</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_Toc389746647 \h </w:instrText>
      </w:r>
      <w:r>
        <w:fldChar w:fldCharType="separate"/>
      </w:r>
      <w:r>
        <w:t>52</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_Toc389746648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_Toc389746649 \h </w:instrText>
      </w:r>
      <w:r>
        <w:fldChar w:fldCharType="separate"/>
      </w:r>
      <w:r>
        <w:t>53</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_Toc389746650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_Toc389746651 \h </w:instrText>
      </w:r>
      <w:r>
        <w:fldChar w:fldCharType="separate"/>
      </w:r>
      <w:r>
        <w:t>56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_Toc389746652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_Toc389746653 \h </w:instrText>
      </w:r>
      <w:r>
        <w:fldChar w:fldCharType="separate"/>
      </w:r>
      <w:r>
        <w:t>57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_Toc389746654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_Toc389746655 \h </w:instrText>
      </w:r>
      <w:r>
        <w:fldChar w:fldCharType="separate"/>
      </w:r>
      <w:r>
        <w:t>58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_Toc389746656 \h </w:instrText>
      </w:r>
      <w:r>
        <w:fldChar w:fldCharType="separate"/>
      </w:r>
      <w:r>
        <w:t>59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_Toc389746657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_Toc389746658 \h </w:instrText>
      </w:r>
      <w:r>
        <w:fldChar w:fldCharType="separate"/>
      </w:r>
      <w:r>
        <w:t>60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_Toc389746659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_Toc389746660 \h </w:instrText>
      </w:r>
      <w:r>
        <w:fldChar w:fldCharType="separate"/>
      </w:r>
      <w:r>
        <w:t>61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_Toc389746661 \h </w:instrText>
      </w:r>
      <w:r>
        <w:fldChar w:fldCharType="separate"/>
      </w:r>
      <w:r>
        <w:t>61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_Toc389746662 \h </w:instrText>
      </w:r>
      <w:r>
        <w:fldChar w:fldCharType="separate"/>
      </w:r>
      <w:r>
        <w:t>61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_Toc389746663 \h </w:instrText>
      </w:r>
      <w:r>
        <w:fldChar w:fldCharType="separate"/>
      </w:r>
      <w:r>
        <w:t>62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_Toc389746664 \h </w:instrText>
      </w:r>
      <w:r>
        <w:fldChar w:fldCharType="separate"/>
      </w:r>
      <w:r>
        <w:t>62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_Toc389746665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_Toc389746666 \h </w:instrText>
      </w:r>
      <w:r>
        <w:fldChar w:fldCharType="separate"/>
      </w:r>
      <w:r>
        <w:t>63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_Toc389746667 \h </w:instrText>
      </w:r>
      <w:r>
        <w:fldChar w:fldCharType="separate"/>
      </w:r>
      <w:r>
        <w:t>64</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_Toc389746668 \h </w:instrText>
      </w:r>
      <w:r>
        <w:fldChar w:fldCharType="separate"/>
      </w:r>
      <w:r>
        <w:t>65</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_Toc389746669 \h </w:instrText>
      </w:r>
      <w:r>
        <w:fldChar w:fldCharType="separate"/>
      </w:r>
      <w:r>
        <w:t>66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_Toc389746670 \h </w:instrText>
      </w:r>
      <w:r>
        <w:fldChar w:fldCharType="separate"/>
      </w:r>
      <w:r>
        <w:t>67</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_Toc389746671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_Toc389746672 \h </w:instrText>
      </w:r>
      <w:r>
        <w:fldChar w:fldCharType="separate"/>
      </w:r>
      <w:r>
        <w:t>70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_Toc389746673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_Toc389746675 \h </w:instrText>
      </w:r>
      <w:r>
        <w:fldChar w:fldCharType="separate"/>
      </w:r>
      <w:r>
        <w:t>72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_Toc389746676 \h </w:instrText>
      </w:r>
      <w:r>
        <w:fldChar w:fldCharType="separate"/>
      </w:r>
      <w:r>
        <w:t>72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_Toc389746677 \h </w:instrText>
      </w:r>
      <w:r>
        <w:fldChar w:fldCharType="separate"/>
      </w:r>
      <w:r>
        <w:t>73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_Toc389746678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_Toc389746679 \h </w:instrText>
      </w:r>
      <w:r>
        <w:fldChar w:fldCharType="separate"/>
      </w:r>
      <w:r>
        <w:t>74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_Toc389746680 \h </w:instrText>
      </w:r>
      <w:r>
        <w:fldChar w:fldCharType="separate"/>
      </w:r>
      <w:r>
        <w:t>75</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_Toc389746681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_Toc389746684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_Toc389746685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_Toc389746686 \h </w:instrText>
      </w:r>
      <w:r>
        <w:fldChar w:fldCharType="separate"/>
      </w:r>
      <w:r>
        <w:t>79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_Toc389746687 \h </w:instrText>
      </w:r>
      <w:r>
        <w:fldChar w:fldCharType="separate"/>
      </w:r>
      <w:r>
        <w:t>80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_Toc389746688 \h </w:instrText>
      </w:r>
      <w:r>
        <w:fldChar w:fldCharType="separate"/>
      </w:r>
      <w:r>
        <w:t>80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_Toc389746689 \h </w:instrText>
      </w:r>
      <w:r>
        <w:fldChar w:fldCharType="separate"/>
      </w:r>
      <w:r>
        <w:t>80</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_Toc389746690 \h </w:instrText>
      </w:r>
      <w:r>
        <w:fldChar w:fldCharType="separate"/>
      </w:r>
      <w:r>
        <w:t>81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_Toc389746691 \h </w:instrText>
      </w:r>
      <w:r>
        <w:fldChar w:fldCharType="separate"/>
      </w:r>
      <w:r>
        <w:t>82</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_Toc389746692 \h </w:instrText>
      </w:r>
      <w:r>
        <w:fldChar w:fldCharType="separate"/>
      </w:r>
      <w:r>
        <w:t>84</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_Toc389746693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_Toc389746694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_Toc389746695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_Toc389746696 \h </w:instrText>
      </w:r>
      <w:r>
        <w:fldChar w:fldCharType="separate"/>
      </w:r>
      <w:r>
        <w:t>88</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_Toc389746697 \h </w:instrText>
      </w:r>
      <w:r>
        <w:fldChar w:fldCharType="separate"/>
      </w:r>
      <w:r>
        <w:t>89</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_Toc389746698 \h </w:instrText>
      </w:r>
      <w:r>
        <w:fldChar w:fldCharType="separate"/>
      </w:r>
      <w:r>
        <w:t>90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_Toc389746699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_Toc389746700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_Toc389746703 \h </w:instrText>
      </w:r>
      <w:r>
        <w:fldChar w:fldCharType="separate"/>
      </w:r>
      <w:r>
        <w:t>94</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_Toc389746704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_Toc389746706 \h </w:instrText>
      </w:r>
      <w:r>
        <w:fldChar w:fldCharType="separate"/>
      </w:r>
      <w:r>
        <w:t>97</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_Toc389746707 \h </w:instrText>
      </w:r>
      <w:r>
        <w:fldChar w:fldCharType="separate"/>
      </w:r>
      <w:r>
        <w:t>98</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_Toc389746708 \h </w:instrText>
      </w:r>
      <w:r>
        <w:fldChar w:fldCharType="separate"/>
      </w:r>
      <w:r>
        <w:t>98</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_Toc389746709 \h </w:instrText>
      </w:r>
      <w:r>
        <w:fldChar w:fldCharType="separate"/>
      </w:r>
      <w:r>
        <w:t>98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_Toc389746710 \h </w:instrText>
      </w:r>
      <w:r>
        <w:fldChar w:fldCharType="separate"/>
      </w:r>
      <w:r>
        <w:t>99</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_Toc389746711 \h </w:instrText>
      </w:r>
      <w:r>
        <w:fldChar w:fldCharType="separate"/>
      </w:r>
      <w:r>
        <w:t>99</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_Toc389746712 \h </w:instrText>
      </w:r>
      <w:r>
        <w:fldChar w:fldCharType="separate"/>
      </w:r>
      <w:r>
        <w:t>100</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_Toc389746713 \h </w:instrText>
      </w:r>
      <w:r>
        <w:fldChar w:fldCharType="separate"/>
      </w:r>
      <w:r>
        <w:t>100</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_Toc389746714 \h </w:instrText>
      </w:r>
      <w:r>
        <w:fldChar w:fldCharType="separate"/>
      </w:r>
      <w:r>
        <w:t>100</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_Toc389746715 \h </w:instrText>
      </w:r>
      <w:r>
        <w:fldChar w:fldCharType="separate"/>
      </w:r>
      <w:r>
        <w:t>102</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_Toc389746716 \h </w:instrText>
      </w:r>
      <w:r>
        <w:fldChar w:fldCharType="separate"/>
      </w:r>
      <w:r>
        <w:t>103</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_Toc389746717 \h </w:instrText>
      </w:r>
      <w:r>
        <w:fldChar w:fldCharType="separate"/>
      </w:r>
      <w:r>
        <w:t>103</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_Toc389746718 \h </w:instrText>
      </w:r>
      <w:r>
        <w:fldChar w:fldCharType="separate"/>
      </w:r>
      <w:r>
        <w:t>104</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_Toc389746719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_Toc389746721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_Toc389746723 \h </w:instrText>
      </w:r>
      <w:r>
        <w:fldChar w:fldCharType="separate"/>
      </w:r>
      <w:r>
        <w:t>107</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_Toc389746724 \h </w:instrText>
      </w:r>
      <w:r>
        <w:fldChar w:fldCharType="separate"/>
      </w:r>
      <w:r>
        <w:t>108</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_Toc389746725 \h </w:instrText>
      </w:r>
      <w:r>
        <w:fldChar w:fldCharType="separate"/>
      </w:r>
      <w:r>
        <w:t>110</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_Toc389746726 \h </w:instrText>
      </w:r>
      <w:r>
        <w:fldChar w:fldCharType="separate"/>
      </w:r>
      <w:r>
        <w:t>111</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_Toc389746727 \h </w:instrText>
      </w:r>
      <w:r>
        <w:fldChar w:fldCharType="separate"/>
      </w:r>
      <w:r>
        <w:t>112</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_Toc389746728 \h </w:instrText>
      </w:r>
      <w:r>
        <w:fldChar w:fldCharType="separate"/>
      </w:r>
      <w:r>
        <w:t>113</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_Toc389746729 \h </w:instrText>
      </w:r>
      <w:r>
        <w:fldChar w:fldCharType="separate"/>
      </w:r>
      <w:r>
        <w:t>114</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_Toc389746730 \h </w:instrText>
      </w:r>
      <w:r>
        <w:fldChar w:fldCharType="separate"/>
      </w:r>
      <w:r>
        <w:t>115</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_Toc389746731 \h </w:instrText>
      </w:r>
      <w:r>
        <w:fldChar w:fldCharType="separate"/>
      </w:r>
      <w:r>
        <w:t>116</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_Toc389746732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_Toc389746734 \h </w:instrText>
      </w:r>
      <w:r>
        <w:fldChar w:fldCharType="separate"/>
      </w:r>
      <w:r>
        <w:t>118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_Toc389746735 \h </w:instrText>
      </w:r>
      <w:r>
        <w:fldChar w:fldCharType="separate"/>
      </w:r>
      <w:r>
        <w:t>119</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_Toc389746736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_Toc389746738 \h </w:instrText>
      </w:r>
      <w:r>
        <w:fldChar w:fldCharType="separate"/>
      </w:r>
      <w:r>
        <w:t>121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_Toc389746739 \h </w:instrText>
      </w:r>
      <w:r>
        <w:fldChar w:fldCharType="separate"/>
      </w:r>
      <w:r>
        <w:t>127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_Toc389746740 \h </w:instrText>
      </w:r>
      <w:r>
        <w:fldChar w:fldCharType="separate"/>
      </w:r>
      <w:r>
        <w:t>128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_Toc389746741 \h </w:instrText>
      </w:r>
      <w:r>
        <w:fldChar w:fldCharType="separate"/>
      </w:r>
      <w:r>
        <w:t>128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_Toc389746742 \h </w:instrText>
      </w:r>
      <w:r>
        <w:fldChar w:fldCharType="separate"/>
      </w:r>
      <w:r>
        <w:t>129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_Toc389746743 \h </w:instrText>
      </w:r>
      <w:r>
        <w:fldChar w:fldCharType="separate"/>
      </w:r>
      <w:r>
        <w:t>129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_Toc389746744 \h </w:instrText>
      </w:r>
      <w:r>
        <w:fldChar w:fldCharType="separate"/>
      </w:r>
      <w:r>
        <w:t>130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_Toc389746745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_Toc389746746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_Toc389746748 \h </w:instrText>
      </w:r>
      <w:r>
        <w:fldChar w:fldCharType="separate"/>
      </w:r>
      <w:r>
        <w:t>132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_Toc389746749 \h </w:instrText>
      </w:r>
      <w:r>
        <w:fldChar w:fldCharType="separate"/>
      </w:r>
      <w:r>
        <w:t>134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_Toc389746750 \h </w:instrText>
      </w:r>
      <w:r>
        <w:fldChar w:fldCharType="separate"/>
      </w:r>
      <w:r>
        <w:t>135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_Toc389746751 \h </w:instrText>
      </w:r>
      <w:r>
        <w:fldChar w:fldCharType="separate"/>
      </w:r>
      <w:r>
        <w:t>135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_Toc389746752 \h </w:instrText>
      </w:r>
      <w:r>
        <w:fldChar w:fldCharType="separate"/>
      </w:r>
      <w:r>
        <w:t>135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_Toc389746753 \h </w:instrText>
      </w:r>
      <w:r>
        <w:fldChar w:fldCharType="separate"/>
      </w:r>
      <w:r>
        <w:t>136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_Toc389746754 \h </w:instrText>
      </w:r>
      <w:r>
        <w:fldChar w:fldCharType="separate"/>
      </w:r>
      <w:r>
        <w:t>136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_Toc389746755 \h </w:instrText>
      </w:r>
      <w:r>
        <w:fldChar w:fldCharType="separate"/>
      </w:r>
      <w:r>
        <w:t>136</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_Toc389746756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_Toc389746758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_Toc389746759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_Toc389746761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_Toc389746762 \h </w:instrText>
      </w:r>
      <w:r>
        <w:fldChar w:fldCharType="separate"/>
      </w:r>
      <w:r>
        <w:t>139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_Toc389746763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_Toc389746766 \h </w:instrText>
      </w:r>
      <w:r>
        <w:fldChar w:fldCharType="separate"/>
      </w:r>
      <w:r>
        <w:t>141</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_Toc389746767 \h </w:instrText>
      </w:r>
      <w:r>
        <w:fldChar w:fldCharType="separate"/>
      </w:r>
      <w:r>
        <w:t>141</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_Toc389746768 \h </w:instrText>
      </w:r>
      <w:r>
        <w:fldChar w:fldCharType="separate"/>
      </w:r>
      <w:r>
        <w:t>141</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_Toc389746769 \h </w:instrText>
      </w:r>
      <w:r>
        <w:fldChar w:fldCharType="separate"/>
      </w:r>
      <w:r>
        <w:t>142</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_Toc389746770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_Toc389746784 \h </w:instrText>
      </w:r>
      <w:r>
        <w:fldChar w:fldCharType="separate"/>
      </w:r>
      <w:r>
        <w:t>167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_Toc389746785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_Toc389746787 \h </w:instrText>
      </w:r>
      <w:r>
        <w:fldChar w:fldCharType="separate"/>
      </w:r>
      <w:r>
        <w:t>169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_Toc389746788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576"/>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7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78"/>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amended by Act No. 9 of 2003 s. 41.] </w:t>
      </w:r>
    </w:p>
    <w:p>
      <w:pPr>
        <w:pStyle w:val="Heading5"/>
      </w:pPr>
      <w:bookmarkStart w:id="4" w:name="_Toc389746579"/>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580"/>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6" w:name="_Toc389746581"/>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7" w:name="_Toc389746582"/>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583"/>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584"/>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585"/>
      <w:r>
        <w:rPr>
          <w:rStyle w:val="CharSectno"/>
        </w:rPr>
        <w:t>5</w:t>
      </w:r>
      <w:r>
        <w:rPr>
          <w:snapToGrid w:val="0"/>
        </w:rPr>
        <w:t>.</w:t>
      </w:r>
      <w:r>
        <w:rPr>
          <w:snapToGrid w:val="0"/>
        </w:rPr>
        <w:tab/>
        <w:t>Pharmaceutical chemist’s licence to sell poisons</w:t>
      </w:r>
      <w:bookmarkEnd w:id="10"/>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586"/>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587"/>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588"/>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589"/>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590"/>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591"/>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592"/>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593"/>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594"/>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595"/>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596"/>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597"/>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598"/>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599"/>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600"/>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601"/>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602"/>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603"/>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604"/>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605"/>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606"/>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607"/>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608"/>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609"/>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610"/>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611"/>
      <w:r>
        <w:rPr>
          <w:rStyle w:val="CharSectno"/>
        </w:rPr>
        <w:t>19</w:t>
      </w:r>
      <w:r>
        <w:rPr>
          <w:snapToGrid w:val="0"/>
        </w:rPr>
        <w:t>.</w:t>
      </w:r>
      <w:r>
        <w:rPr>
          <w:snapToGrid w:val="0"/>
        </w:rPr>
        <w:tab/>
        <w:t>Adoption of SUSDP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7" w:name="_Toc389746612"/>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613"/>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614"/>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615"/>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1" w:name="_Toc389746616"/>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617"/>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618"/>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619"/>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620"/>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621"/>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622"/>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623"/>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624"/>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625"/>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626"/>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627"/>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3" w:name="_Toc389746628"/>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629"/>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630"/>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631"/>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632"/>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633"/>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634"/>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635"/>
      <w:r>
        <w:rPr>
          <w:rStyle w:val="CharSectno"/>
        </w:rPr>
        <w:t>33B</w:t>
      </w:r>
      <w:r>
        <w:rPr>
          <w:snapToGrid w:val="0"/>
        </w:rPr>
        <w:t>.</w:t>
      </w:r>
      <w:r>
        <w:rPr>
          <w:snapToGrid w:val="0"/>
        </w:rPr>
        <w:tab/>
        <w:t>Adoption of SUSDP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636"/>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637"/>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3" w:name="_Toc389746638"/>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639"/>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5" w:name="_Toc389746640"/>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641"/>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642"/>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8" w:name="_Toc389746643"/>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9" w:name="_Toc389746644"/>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70" w:name="_Toc389746645"/>
      <w:r>
        <w:rPr>
          <w:rStyle w:val="CharSectno"/>
        </w:rPr>
        <w:t>36A</w:t>
      </w:r>
      <w:r>
        <w:t>.</w:t>
      </w:r>
      <w:r>
        <w:tab/>
        <w:t>Storage of substances included in Schedule 4</w:t>
      </w:r>
      <w:bookmarkEnd w:id="70"/>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1" w:name="_Toc389746646"/>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647"/>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648"/>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649"/>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650"/>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651"/>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652"/>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653"/>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654"/>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655"/>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656"/>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657"/>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658"/>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659"/>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660"/>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661"/>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662"/>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663"/>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664"/>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665"/>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666"/>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2" w:name="_Toc389746667"/>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668"/>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669"/>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670"/>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671"/>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672"/>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8" w:name="_Toc389746673"/>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674"/>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675"/>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676"/>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677"/>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678"/>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679"/>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680"/>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681"/>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682"/>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683"/>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684"/>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685"/>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w:t>
      </w:r>
    </w:p>
    <w:p>
      <w:pPr>
        <w:pStyle w:val="Ednotedivision"/>
      </w:pPr>
      <w:r>
        <w:t>[Heading deleted in Gazette 12 Aug 2003 p. 3663.]</w:t>
      </w:r>
    </w:p>
    <w:p>
      <w:pPr>
        <w:pStyle w:val="Heading5"/>
        <w:rPr>
          <w:snapToGrid w:val="0"/>
        </w:rPr>
      </w:pPr>
      <w:bookmarkStart w:id="111" w:name="_Toc389746686"/>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2" w:name="_Toc389746687"/>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688"/>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689"/>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690"/>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6" w:name="_Toc389746691"/>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7" w:name="_Toc389746692"/>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693"/>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694"/>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695"/>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696"/>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697"/>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698"/>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699"/>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700"/>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6" w:name="_Toc389746701"/>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702"/>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703"/>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704"/>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705"/>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706"/>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32" w:name="_Toc389746707"/>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708"/>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709"/>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710"/>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711"/>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712"/>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713"/>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714"/>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715"/>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716"/>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717"/>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718"/>
      <w:r>
        <w:rPr>
          <w:rStyle w:val="CharSectno"/>
        </w:rPr>
        <w:t>51E</w:t>
      </w:r>
      <w:r>
        <w:t>.</w:t>
      </w:r>
      <w:r>
        <w:tab/>
        <w:t>Dispensing drugs of addiction from a pharmacy</w:t>
      </w:r>
      <w:bookmarkEnd w:id="14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4" w:name="_Toc389746719"/>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5" w:name="_Toc389746720"/>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721"/>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7" w:name="_Toc389746722"/>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723"/>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724"/>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50" w:name="_Toc389746725"/>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726"/>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727"/>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728"/>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729"/>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730"/>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731"/>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732"/>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733"/>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734"/>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735"/>
      <w:r>
        <w:rPr>
          <w:rStyle w:val="CharSectno"/>
        </w:rPr>
        <w:t>51GB</w:t>
      </w:r>
      <w:r>
        <w:rPr>
          <w:snapToGrid w:val="0"/>
        </w:rPr>
        <w:t>.</w:t>
      </w:r>
      <w:r>
        <w:rPr>
          <w:snapToGrid w:val="0"/>
        </w:rPr>
        <w:tab/>
        <w:t>Supply of flunitrazepam</w:t>
      </w:r>
      <w:bookmarkEnd w:id="16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61" w:name="_Toc389746736"/>
      <w:r>
        <w:rPr>
          <w:rStyle w:val="CharSectno"/>
        </w:rPr>
        <w:t>51H</w:t>
      </w:r>
      <w:r>
        <w:rPr>
          <w:snapToGrid w:val="0"/>
        </w:rPr>
        <w:t>.</w:t>
      </w:r>
      <w:r>
        <w:rPr>
          <w:snapToGrid w:val="0"/>
        </w:rPr>
        <w:tab/>
        <w:t>Dentists not to prescribe or supply certain drugs of addiction</w:t>
      </w:r>
      <w:bookmarkEnd w:id="16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2" w:name="_Toc389746737"/>
      <w:r>
        <w:rPr>
          <w:rStyle w:val="CharDivNo"/>
        </w:rPr>
        <w:t>Division 3</w:t>
      </w:r>
      <w:r>
        <w:t xml:space="preserve"> — </w:t>
      </w:r>
      <w:r>
        <w:rPr>
          <w:rStyle w:val="CharDivText"/>
        </w:rPr>
        <w:t>Dispensing and delivery</w:t>
      </w:r>
      <w:bookmarkEnd w:id="162"/>
    </w:p>
    <w:p>
      <w:pPr>
        <w:pStyle w:val="Footnoteheading"/>
      </w:pPr>
      <w:r>
        <w:tab/>
        <w:t>[Heading inserted in Gazette 12 Aug 2003 p. 3664.]</w:t>
      </w:r>
    </w:p>
    <w:p>
      <w:pPr>
        <w:pStyle w:val="Heading5"/>
        <w:rPr>
          <w:snapToGrid w:val="0"/>
        </w:rPr>
      </w:pPr>
      <w:bookmarkStart w:id="163" w:name="_Toc389746738"/>
      <w:r>
        <w:rPr>
          <w:rStyle w:val="CharSectno"/>
        </w:rPr>
        <w:t>52</w:t>
      </w:r>
      <w:r>
        <w:rPr>
          <w:snapToGrid w:val="0"/>
        </w:rPr>
        <w:t>.</w:t>
      </w:r>
      <w:r>
        <w:rPr>
          <w:snapToGrid w:val="0"/>
        </w:rPr>
        <w:tab/>
        <w:t>Dispensing drugs of addiction</w:t>
      </w:r>
      <w:bookmarkEnd w:id="16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4" w:name="_Toc389746739"/>
      <w:r>
        <w:rPr>
          <w:rStyle w:val="CharSectno"/>
        </w:rPr>
        <w:t>52A</w:t>
      </w:r>
      <w:r>
        <w:rPr>
          <w:snapToGrid w:val="0"/>
        </w:rPr>
        <w:t>.</w:t>
      </w:r>
      <w:r>
        <w:rPr>
          <w:snapToGrid w:val="0"/>
        </w:rPr>
        <w:tab/>
        <w:t>Movement of drugs of addiction in other circumstances</w:t>
      </w:r>
      <w:bookmarkEnd w:id="1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5" w:name="_Toc389746740"/>
      <w:r>
        <w:rPr>
          <w:rStyle w:val="CharSectno"/>
        </w:rPr>
        <w:t>52B</w:t>
      </w:r>
      <w:r>
        <w:rPr>
          <w:snapToGrid w:val="0"/>
        </w:rPr>
        <w:t>.</w:t>
      </w:r>
      <w:r>
        <w:rPr>
          <w:snapToGrid w:val="0"/>
        </w:rPr>
        <w:tab/>
        <w:t>Manner of recording details</w:t>
      </w:r>
      <w:bookmarkEnd w:id="16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6" w:name="_Toc389746741"/>
      <w:r>
        <w:rPr>
          <w:rStyle w:val="CharSectno"/>
        </w:rPr>
        <w:t>52C</w:t>
      </w:r>
      <w:r>
        <w:rPr>
          <w:snapToGrid w:val="0"/>
        </w:rPr>
        <w:t>.</w:t>
      </w:r>
      <w:r>
        <w:rPr>
          <w:snapToGrid w:val="0"/>
        </w:rPr>
        <w:tab/>
        <w:t>Returns to department</w:t>
      </w:r>
      <w:bookmarkEnd w:id="16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7" w:name="_Toc389746742"/>
      <w:r>
        <w:rPr>
          <w:rStyle w:val="CharSectno"/>
        </w:rPr>
        <w:t>53</w:t>
      </w:r>
      <w:r>
        <w:rPr>
          <w:snapToGrid w:val="0"/>
        </w:rPr>
        <w:t>.</w:t>
      </w:r>
      <w:r>
        <w:rPr>
          <w:snapToGrid w:val="0"/>
        </w:rPr>
        <w:tab/>
        <w:t>Dispensing poisons included in Schedule 8 in case of emergency</w:t>
      </w:r>
      <w:bookmarkEnd w:id="16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8" w:name="_Toc389746743"/>
      <w:r>
        <w:rPr>
          <w:rStyle w:val="CharSectno"/>
        </w:rPr>
        <w:t>53A</w:t>
      </w:r>
      <w:r>
        <w:rPr>
          <w:snapToGrid w:val="0"/>
        </w:rPr>
        <w:t>.</w:t>
      </w:r>
      <w:r>
        <w:rPr>
          <w:snapToGrid w:val="0"/>
        </w:rPr>
        <w:tab/>
        <w:t>Dispensing poisons included in Schedule 8</w:t>
      </w:r>
      <w:bookmarkEnd w:id="16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9" w:name="_Toc389746744"/>
      <w:r>
        <w:rPr>
          <w:rStyle w:val="CharSectno"/>
        </w:rPr>
        <w:t>54</w:t>
      </w:r>
      <w:r>
        <w:rPr>
          <w:snapToGrid w:val="0"/>
        </w:rPr>
        <w:t>.</w:t>
      </w:r>
      <w:r>
        <w:rPr>
          <w:snapToGrid w:val="0"/>
        </w:rPr>
        <w:tab/>
        <w:t>Delivery of poisons included in Schedule 8 on order</w:t>
      </w:r>
      <w:bookmarkEnd w:id="16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0" w:name="_Toc389746745"/>
      <w:r>
        <w:rPr>
          <w:rStyle w:val="CharSectno"/>
        </w:rPr>
        <w:t>54A</w:t>
      </w:r>
      <w:r>
        <w:rPr>
          <w:snapToGrid w:val="0"/>
        </w:rPr>
        <w:t>.</w:t>
      </w:r>
      <w:r>
        <w:rPr>
          <w:snapToGrid w:val="0"/>
        </w:rPr>
        <w:tab/>
        <w:t>Packaging of drugs of addiction</w:t>
      </w:r>
      <w:bookmarkEnd w:id="17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1" w:name="_Toc389746746"/>
      <w:r>
        <w:rPr>
          <w:rStyle w:val="CharSectno"/>
        </w:rPr>
        <w:t>55</w:t>
      </w:r>
      <w:r>
        <w:rPr>
          <w:snapToGrid w:val="0"/>
        </w:rPr>
        <w:t>.</w:t>
      </w:r>
      <w:r>
        <w:rPr>
          <w:snapToGrid w:val="0"/>
        </w:rPr>
        <w:tab/>
        <w:t>Common carrier protected</w:t>
      </w:r>
      <w:bookmarkEnd w:id="17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2" w:name="_Toc389746747"/>
      <w:r>
        <w:rPr>
          <w:rStyle w:val="CharDivNo"/>
        </w:rPr>
        <w:t>Division 4</w:t>
      </w:r>
      <w:r>
        <w:t xml:space="preserve"> — </w:t>
      </w:r>
      <w:r>
        <w:rPr>
          <w:rStyle w:val="CharDivText"/>
        </w:rPr>
        <w:t>Safe custody</w:t>
      </w:r>
      <w:bookmarkEnd w:id="172"/>
    </w:p>
    <w:p>
      <w:pPr>
        <w:pStyle w:val="Footnoteheading"/>
        <w:keepNext/>
        <w:keepLines/>
        <w:rPr>
          <w:i w:val="0"/>
        </w:rPr>
      </w:pPr>
      <w:r>
        <w:tab/>
        <w:t>[Heading inserted in Gazette 12 Aug 2003 p. 3665.]</w:t>
      </w:r>
    </w:p>
    <w:p>
      <w:pPr>
        <w:pStyle w:val="Heading5"/>
        <w:rPr>
          <w:snapToGrid w:val="0"/>
        </w:rPr>
      </w:pPr>
      <w:bookmarkStart w:id="173" w:name="_Toc389746748"/>
      <w:r>
        <w:rPr>
          <w:rStyle w:val="CharSectno"/>
        </w:rPr>
        <w:t>56</w:t>
      </w:r>
      <w:r>
        <w:rPr>
          <w:snapToGrid w:val="0"/>
        </w:rPr>
        <w:t>.</w:t>
      </w:r>
      <w:r>
        <w:rPr>
          <w:snapToGrid w:val="0"/>
        </w:rPr>
        <w:tab/>
        <w:t>Storing and securing drugs of addiction</w:t>
      </w:r>
      <w:bookmarkEnd w:id="17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4" w:name="_Toc389746749"/>
      <w:r>
        <w:rPr>
          <w:rStyle w:val="CharSectno"/>
        </w:rPr>
        <w:t>56A</w:t>
      </w:r>
      <w:r>
        <w:rPr>
          <w:snapToGrid w:val="0"/>
        </w:rPr>
        <w:t>.</w:t>
      </w:r>
      <w:r>
        <w:rPr>
          <w:snapToGrid w:val="0"/>
        </w:rPr>
        <w:tab/>
        <w:t>Prescribed amount of poisons included in Schedule 8</w:t>
      </w:r>
      <w:bookmarkEnd w:id="17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5" w:name="_Toc389746750"/>
      <w:r>
        <w:rPr>
          <w:rStyle w:val="CharSectno"/>
        </w:rPr>
        <w:t>56B</w:t>
      </w:r>
      <w:r>
        <w:rPr>
          <w:snapToGrid w:val="0"/>
        </w:rPr>
        <w:t>.</w:t>
      </w:r>
      <w:r>
        <w:rPr>
          <w:snapToGrid w:val="0"/>
        </w:rPr>
        <w:tab/>
        <w:t>Location of safe in premises</w:t>
      </w:r>
      <w:bookmarkEnd w:id="1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6" w:name="_Toc389746751"/>
      <w:r>
        <w:rPr>
          <w:rStyle w:val="CharSectno"/>
        </w:rPr>
        <w:t>56C</w:t>
      </w:r>
      <w:r>
        <w:rPr>
          <w:snapToGrid w:val="0"/>
        </w:rPr>
        <w:t>.</w:t>
      </w:r>
      <w:r>
        <w:rPr>
          <w:snapToGrid w:val="0"/>
        </w:rPr>
        <w:tab/>
        <w:t>Authorised persons to keep keys to safes</w:t>
      </w:r>
      <w:bookmarkEnd w:id="17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7" w:name="_Toc389746752"/>
      <w:r>
        <w:rPr>
          <w:rStyle w:val="CharSectno"/>
        </w:rPr>
        <w:t>56D</w:t>
      </w:r>
      <w:r>
        <w:rPr>
          <w:snapToGrid w:val="0"/>
        </w:rPr>
        <w:t>.</w:t>
      </w:r>
      <w:r>
        <w:rPr>
          <w:snapToGrid w:val="0"/>
        </w:rPr>
        <w:tab/>
        <w:t>Safes to be kept locked</w:t>
      </w:r>
      <w:bookmarkEnd w:id="17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8" w:name="_Toc389746753"/>
      <w:r>
        <w:rPr>
          <w:rStyle w:val="CharSectno"/>
        </w:rPr>
        <w:t>56E</w:t>
      </w:r>
      <w:r>
        <w:rPr>
          <w:snapToGrid w:val="0"/>
        </w:rPr>
        <w:t>.</w:t>
      </w:r>
      <w:r>
        <w:rPr>
          <w:snapToGrid w:val="0"/>
        </w:rPr>
        <w:tab/>
        <w:t>Pharmacist present on premises</w:t>
      </w:r>
      <w:bookmarkEnd w:id="178"/>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79" w:name="_Toc389746754"/>
      <w:r>
        <w:rPr>
          <w:rStyle w:val="CharSectno"/>
        </w:rPr>
        <w:t>56F</w:t>
      </w:r>
      <w:r>
        <w:rPr>
          <w:snapToGrid w:val="0"/>
        </w:rPr>
        <w:t>.</w:t>
      </w:r>
      <w:r>
        <w:rPr>
          <w:snapToGrid w:val="0"/>
        </w:rPr>
        <w:tab/>
        <w:t>Keys to, and locking of, poisons cupboards and lockable drawers</w:t>
      </w:r>
      <w:bookmarkEnd w:id="17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80" w:name="_Toc389746755"/>
      <w:r>
        <w:rPr>
          <w:rStyle w:val="CharSectno"/>
        </w:rPr>
        <w:t>56G</w:t>
      </w:r>
      <w:r>
        <w:rPr>
          <w:snapToGrid w:val="0"/>
        </w:rPr>
        <w:t>.</w:t>
      </w:r>
      <w:r>
        <w:rPr>
          <w:snapToGrid w:val="0"/>
        </w:rPr>
        <w:tab/>
        <w:t>Poisons included in Schedule 8 in hospital ward</w:t>
      </w:r>
      <w:bookmarkEnd w:id="18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1" w:name="_Toc389746756"/>
      <w:r>
        <w:rPr>
          <w:rStyle w:val="CharSectno"/>
        </w:rPr>
        <w:t>56H</w:t>
      </w:r>
      <w:r>
        <w:rPr>
          <w:snapToGrid w:val="0"/>
        </w:rPr>
        <w:t>.</w:t>
      </w:r>
      <w:r>
        <w:rPr>
          <w:snapToGrid w:val="0"/>
        </w:rPr>
        <w:tab/>
        <w:t>Keys to, and locking of, cupboards in hospital wards</w:t>
      </w:r>
      <w:bookmarkEnd w:id="181"/>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2" w:name="_Toc389746757"/>
      <w:r>
        <w:rPr>
          <w:rStyle w:val="CharDivNo"/>
        </w:rPr>
        <w:t>Division 5</w:t>
      </w:r>
      <w:r>
        <w:t xml:space="preserve"> — </w:t>
      </w:r>
      <w:r>
        <w:rPr>
          <w:rStyle w:val="CharDivText"/>
        </w:rPr>
        <w:t>Restrictions on supply</w:t>
      </w:r>
      <w:bookmarkEnd w:id="182"/>
    </w:p>
    <w:p>
      <w:pPr>
        <w:pStyle w:val="Footnoteheading"/>
        <w:rPr>
          <w:i w:val="0"/>
        </w:rPr>
      </w:pPr>
      <w:r>
        <w:tab/>
        <w:t>[Heading inserted in Gazette 12 Aug 2003 p. 3665.]</w:t>
      </w:r>
    </w:p>
    <w:p>
      <w:pPr>
        <w:pStyle w:val="Heading5"/>
        <w:rPr>
          <w:snapToGrid w:val="0"/>
        </w:rPr>
      </w:pPr>
      <w:bookmarkStart w:id="183" w:name="_Toc389746758"/>
      <w:r>
        <w:rPr>
          <w:rStyle w:val="CharSectno"/>
        </w:rPr>
        <w:t>57</w:t>
      </w:r>
      <w:r>
        <w:rPr>
          <w:snapToGrid w:val="0"/>
        </w:rPr>
        <w:t>.</w:t>
      </w:r>
      <w:r>
        <w:rPr>
          <w:snapToGrid w:val="0"/>
        </w:rPr>
        <w:tab/>
        <w:t>Labelling</w:t>
      </w:r>
      <w:bookmarkEnd w:id="18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4" w:name="_Toc389746759"/>
      <w:r>
        <w:rPr>
          <w:rStyle w:val="CharSectno"/>
        </w:rPr>
        <w:t>58</w:t>
      </w:r>
      <w:r>
        <w:rPr>
          <w:snapToGrid w:val="0"/>
        </w:rPr>
        <w:t>.</w:t>
      </w:r>
      <w:r>
        <w:rPr>
          <w:snapToGrid w:val="0"/>
        </w:rPr>
        <w:tab/>
        <w:t>Improper prescribing or use of drugs of addiction</w:t>
      </w:r>
      <w:bookmarkEnd w:id="18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5" w:name="_Toc389746760"/>
      <w:r>
        <w:rPr>
          <w:rStyle w:val="CharPartNo"/>
        </w:rPr>
        <w:t>Part 7</w:t>
      </w:r>
      <w:r>
        <w:rPr>
          <w:rStyle w:val="CharDivNo"/>
        </w:rPr>
        <w:t> </w:t>
      </w:r>
      <w:r>
        <w:t>—</w:t>
      </w:r>
      <w:r>
        <w:rPr>
          <w:rStyle w:val="CharDivText"/>
        </w:rPr>
        <w:t> </w:t>
      </w:r>
      <w:r>
        <w:rPr>
          <w:rStyle w:val="CharPartText"/>
        </w:rPr>
        <w:t>Miscellaneous provisions</w:t>
      </w:r>
      <w:bookmarkEnd w:id="185"/>
    </w:p>
    <w:p>
      <w:pPr>
        <w:pStyle w:val="Footnoteheading"/>
      </w:pPr>
      <w:r>
        <w:tab/>
        <w:t>[Heading inserted in Gazette 12 Aug 2003 p. 3665.]</w:t>
      </w:r>
    </w:p>
    <w:p>
      <w:pPr>
        <w:pStyle w:val="Heading5"/>
        <w:rPr>
          <w:snapToGrid w:val="0"/>
        </w:rPr>
      </w:pPr>
      <w:bookmarkStart w:id="186" w:name="_Toc389746761"/>
      <w:r>
        <w:rPr>
          <w:rStyle w:val="CharSectno"/>
        </w:rPr>
        <w:t>59</w:t>
      </w:r>
      <w:r>
        <w:rPr>
          <w:snapToGrid w:val="0"/>
        </w:rPr>
        <w:t>.</w:t>
      </w:r>
      <w:r>
        <w:rPr>
          <w:snapToGrid w:val="0"/>
        </w:rPr>
        <w:tab/>
        <w:t>Names of persons from whom licence or authority withdrawn to be published</w:t>
      </w:r>
      <w:bookmarkEnd w:id="18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7" w:name="_Toc389746762"/>
      <w:r>
        <w:rPr>
          <w:rStyle w:val="CharSectno"/>
        </w:rPr>
        <w:t>64</w:t>
      </w:r>
      <w:r>
        <w:rPr>
          <w:snapToGrid w:val="0"/>
        </w:rPr>
        <w:t>.</w:t>
      </w:r>
      <w:r>
        <w:rPr>
          <w:snapToGrid w:val="0"/>
        </w:rPr>
        <w:tab/>
        <w:t>Substitution of one brand of a drug for another</w:t>
      </w:r>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8" w:name="_Toc389746763"/>
      <w:r>
        <w:rPr>
          <w:rStyle w:val="CharSectno"/>
        </w:rPr>
        <w:t>65</w:t>
      </w:r>
      <w:r>
        <w:rPr>
          <w:snapToGrid w:val="0"/>
        </w:rPr>
        <w:t>.</w:t>
      </w:r>
      <w:r>
        <w:rPr>
          <w:snapToGrid w:val="0"/>
        </w:rPr>
        <w:tab/>
        <w:t>Form of warrant (section 55A)</w:t>
      </w:r>
      <w:bookmarkEnd w:id="18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9" w:name="_Toc389746764"/>
      <w:r>
        <w:rPr>
          <w:rStyle w:val="CharPartNo"/>
        </w:rPr>
        <w:t>Part 8</w:t>
      </w:r>
      <w:r>
        <w:rPr>
          <w:b w:val="0"/>
        </w:rPr>
        <w:t> </w:t>
      </w:r>
      <w:r>
        <w:t>—</w:t>
      </w:r>
      <w:r>
        <w:rPr>
          <w:b w:val="0"/>
        </w:rPr>
        <w:t> </w:t>
      </w:r>
      <w:r>
        <w:rPr>
          <w:rStyle w:val="CharPartText"/>
        </w:rPr>
        <w:t>Transitional provisions</w:t>
      </w:r>
      <w:bookmarkEnd w:id="189"/>
    </w:p>
    <w:p>
      <w:pPr>
        <w:pStyle w:val="Footnoteheading"/>
        <w:spacing w:before="100"/>
      </w:pPr>
      <w:r>
        <w:tab/>
        <w:t>[Heading inserted in Gazette 21 Apr 2009 p. 1366.]</w:t>
      </w:r>
    </w:p>
    <w:p>
      <w:pPr>
        <w:pStyle w:val="Heading3"/>
      </w:pPr>
      <w:bookmarkStart w:id="190" w:name="_Toc389746765"/>
      <w:r>
        <w:rPr>
          <w:rStyle w:val="CharDivNo"/>
        </w:rPr>
        <w:t>Division 1</w:t>
      </w:r>
      <w:r>
        <w:t> — </w:t>
      </w:r>
      <w:r>
        <w:rPr>
          <w:rStyle w:val="CharDivText"/>
        </w:rPr>
        <w:t xml:space="preserve">Transitional provisions relating to the </w:t>
      </w:r>
      <w:r>
        <w:rPr>
          <w:rStyle w:val="CharDivText"/>
          <w:i/>
          <w:iCs/>
        </w:rPr>
        <w:t>Poisons Amendment Regulations (No. 2) 2009</w:t>
      </w:r>
      <w:bookmarkEnd w:id="190"/>
    </w:p>
    <w:p>
      <w:pPr>
        <w:pStyle w:val="Footnoteheading"/>
        <w:spacing w:before="100"/>
      </w:pPr>
      <w:r>
        <w:tab/>
        <w:t>[Heading inserted in Gazette 21 Apr 2009 p. 1366.]</w:t>
      </w:r>
    </w:p>
    <w:p>
      <w:pPr>
        <w:pStyle w:val="Heading5"/>
        <w:spacing w:before="180"/>
      </w:pPr>
      <w:bookmarkStart w:id="191" w:name="_Toc389746766"/>
      <w:r>
        <w:rPr>
          <w:rStyle w:val="CharSectno"/>
        </w:rPr>
        <w:t>66</w:t>
      </w:r>
      <w:r>
        <w:t>.</w:t>
      </w:r>
      <w:r>
        <w:tab/>
        <w:t>Terms used</w:t>
      </w:r>
      <w:bookmarkEnd w:id="191"/>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2" w:name="_Toc389746767"/>
      <w:r>
        <w:rPr>
          <w:rStyle w:val="CharSectno"/>
        </w:rPr>
        <w:t>67</w:t>
      </w:r>
      <w:r>
        <w:t>.</w:t>
      </w:r>
      <w:r>
        <w:tab/>
        <w:t>Authorisation to prescribe drugs of addiction</w:t>
      </w:r>
      <w:bookmarkEnd w:id="192"/>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3" w:name="_Toc389746768"/>
      <w:r>
        <w:rPr>
          <w:rStyle w:val="CharSectno"/>
        </w:rPr>
        <w:t>68</w:t>
      </w:r>
      <w:r>
        <w:t>.</w:t>
      </w:r>
      <w:r>
        <w:tab/>
        <w:t>Authorisation to prescribe pharmacotherapies</w:t>
      </w:r>
      <w:bookmarkEnd w:id="193"/>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4" w:name="_Toc389746769"/>
      <w:r>
        <w:rPr>
          <w:rStyle w:val="CharSectno"/>
        </w:rPr>
        <w:t>69</w:t>
      </w:r>
      <w:r>
        <w:t>.</w:t>
      </w:r>
      <w:r>
        <w:tab/>
        <w:t>Prescriptions</w:t>
      </w:r>
      <w:bookmarkEnd w:id="1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5" w:name="_Toc389746770"/>
      <w:r>
        <w:rPr>
          <w:rStyle w:val="CharSectno"/>
        </w:rPr>
        <w:t>70</w:t>
      </w:r>
      <w:r>
        <w:t>.</w:t>
      </w:r>
      <w:r>
        <w:tab/>
        <w:t>Dispensing drugs of addiction from a pharmacy</w:t>
      </w:r>
      <w:bookmarkEnd w:id="19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6" w:name="_Toc389746771"/>
      <w:r>
        <w:rPr>
          <w:rStyle w:val="CharSchNo"/>
        </w:rPr>
        <w:t>Appendix A</w:t>
      </w:r>
      <w:bookmarkEnd w:id="19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197" w:name="_Toc389746772"/>
      <w:r>
        <w:rPr>
          <w:rStyle w:val="CharSchNo"/>
        </w:rPr>
        <w:t>Appendix B</w:t>
      </w:r>
      <w:r>
        <w:t> — </w:t>
      </w:r>
      <w:r>
        <w:rPr>
          <w:rStyle w:val="CharSchText"/>
        </w:rPr>
        <w:t>Vaccines exempt from specified provisions of the Act</w:t>
      </w:r>
      <w:bookmarkEnd w:id="197"/>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8" w:name="_Toc389746773"/>
      <w:r>
        <w:rPr>
          <w:rStyle w:val="CharSchNo"/>
        </w:rPr>
        <w:t>Appendix G</w:t>
      </w:r>
      <w:bookmarkEnd w:id="1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9" w:name="_Toc389746774"/>
      <w:r>
        <w:rPr>
          <w:rStyle w:val="CharSchNo"/>
        </w:rPr>
        <w:t>Appendix H</w:t>
      </w:r>
      <w:bookmarkEnd w:id="199"/>
    </w:p>
    <w:p>
      <w:pPr>
        <w:pStyle w:val="yHeading2"/>
        <w:outlineLvl w:val="9"/>
      </w:pPr>
      <w:bookmarkStart w:id="200" w:name="_Toc389746775"/>
      <w:r>
        <w:rPr>
          <w:rStyle w:val="CharSchText"/>
        </w:rPr>
        <w:t>Schedule 4 substances referred to in regulation 39(1)</w:t>
      </w:r>
      <w:bookmarkEnd w:id="200"/>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1" w:name="_Toc389746776"/>
      <w:r>
        <w:rPr>
          <w:rStyle w:val="CharSchNo"/>
        </w:rPr>
        <w:t>Appendix J</w:t>
      </w:r>
      <w:bookmarkEnd w:id="201"/>
    </w:p>
    <w:p>
      <w:pPr>
        <w:pStyle w:val="yShoulderClause"/>
        <w:rPr>
          <w:snapToGrid w:val="0"/>
        </w:rPr>
      </w:pPr>
      <w:r>
        <w:rPr>
          <w:snapToGrid w:val="0"/>
        </w:rPr>
        <w:t>(reg. 35A)</w:t>
      </w:r>
    </w:p>
    <w:p>
      <w:pPr>
        <w:pStyle w:val="yHeading2"/>
        <w:outlineLvl w:val="0"/>
      </w:pPr>
      <w:bookmarkStart w:id="202" w:name="_Toc389746777"/>
      <w:r>
        <w:rPr>
          <w:rStyle w:val="CharSchText"/>
        </w:rPr>
        <w:t>Schedule 3 poison sales to be recorded</w:t>
      </w:r>
      <w:bookmarkEnd w:id="202"/>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3" w:name="_Toc389746778"/>
      <w:r>
        <w:rPr>
          <w:rStyle w:val="CharSchNo"/>
        </w:rPr>
        <w:t>Appendix K</w:t>
      </w:r>
      <w:bookmarkEnd w:id="203"/>
    </w:p>
    <w:p>
      <w:pPr>
        <w:pStyle w:val="yShoulderClause"/>
      </w:pPr>
      <w:r>
        <w:t>[r. 32B]</w:t>
      </w:r>
    </w:p>
    <w:p>
      <w:pPr>
        <w:pStyle w:val="yHeading2"/>
        <w:outlineLvl w:val="0"/>
      </w:pPr>
      <w:bookmarkStart w:id="204" w:name="_Toc389746779"/>
      <w:r>
        <w:rPr>
          <w:rStyle w:val="CharSchText"/>
        </w:rPr>
        <w:t>Criteria for electronic prescribing systems</w:t>
      </w:r>
      <w:bookmarkEnd w:id="20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5" w:name="_Toc389746780"/>
      <w:r>
        <w:rPr>
          <w:rStyle w:val="CharSchNo"/>
        </w:rPr>
        <w:t>Appendix L</w:t>
      </w:r>
      <w:bookmarkEnd w:id="205"/>
    </w:p>
    <w:p>
      <w:pPr>
        <w:pStyle w:val="yShoulderClause"/>
        <w:spacing w:before="0"/>
        <w:rPr>
          <w:snapToGrid w:val="0"/>
        </w:rPr>
      </w:pPr>
      <w:r>
        <w:rPr>
          <w:snapToGrid w:val="0"/>
        </w:rPr>
        <w:t>(Regulations 37 and 51)</w:t>
      </w:r>
    </w:p>
    <w:p>
      <w:pPr>
        <w:pStyle w:val="yHeading2"/>
        <w:outlineLvl w:val="9"/>
      </w:pPr>
      <w:bookmarkStart w:id="206" w:name="_Toc389746781"/>
      <w:r>
        <w:rPr>
          <w:rStyle w:val="CharSchText"/>
        </w:rPr>
        <w:t>Specified criteria for the generation of prescriptions by computer</w:t>
      </w:r>
      <w:bookmarkEnd w:id="20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7" w:name="_Toc389746782"/>
      <w:r>
        <w:rPr>
          <w:rStyle w:val="CharSchNo"/>
        </w:rPr>
        <w:t>Appendix M</w:t>
      </w:r>
      <w:bookmarkEnd w:id="207"/>
    </w:p>
    <w:p>
      <w:pPr>
        <w:pStyle w:val="yShoulderClause"/>
        <w:spacing w:before="60"/>
        <w:rPr>
          <w:snapToGrid w:val="0"/>
        </w:rPr>
      </w:pPr>
      <w:r>
        <w:rPr>
          <w:snapToGrid w:val="0"/>
        </w:rPr>
        <w:t>[Regulations 56(1) and (2)]</w:t>
      </w:r>
    </w:p>
    <w:p>
      <w:pPr>
        <w:pStyle w:val="yHeading2"/>
        <w:spacing w:before="180"/>
        <w:outlineLvl w:val="0"/>
      </w:pPr>
      <w:bookmarkStart w:id="208" w:name="_Toc389746783"/>
      <w:r>
        <w:rPr>
          <w:rStyle w:val="CharSchText"/>
        </w:rPr>
        <w:t>Safes and additional security for storing drugs of addiction</w:t>
      </w:r>
      <w:bookmarkEnd w:id="208"/>
    </w:p>
    <w:p>
      <w:pPr>
        <w:pStyle w:val="yFootnoteheading"/>
        <w:spacing w:before="60"/>
      </w:pPr>
      <w:r>
        <w:tab/>
        <w:t>[Heading inserted in Gazette 25 Jun 1993 p. 3084.]</w:t>
      </w:r>
    </w:p>
    <w:p>
      <w:pPr>
        <w:pStyle w:val="yHeading5"/>
        <w:spacing w:before="180"/>
        <w:outlineLvl w:val="0"/>
        <w:rPr>
          <w:snapToGrid w:val="0"/>
        </w:rPr>
      </w:pPr>
      <w:bookmarkStart w:id="209" w:name="_Toc389746784"/>
      <w:r>
        <w:rPr>
          <w:rStyle w:val="CharSClsNo"/>
        </w:rPr>
        <w:t>1</w:t>
      </w:r>
      <w:r>
        <w:rPr>
          <w:snapToGrid w:val="0"/>
        </w:rPr>
        <w:t>.</w:t>
      </w:r>
      <w:r>
        <w:rPr>
          <w:snapToGrid w:val="0"/>
        </w:rPr>
        <w:tab/>
        <w:t>Safes</w:t>
      </w:r>
      <w:bookmarkEnd w:id="20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0" w:name="_Toc389746785"/>
      <w:r>
        <w:rPr>
          <w:rStyle w:val="CharSClsNo"/>
        </w:rPr>
        <w:t>2</w:t>
      </w:r>
      <w:r>
        <w:rPr>
          <w:snapToGrid w:val="0"/>
        </w:rPr>
        <w:t>.</w:t>
      </w:r>
      <w:r>
        <w:rPr>
          <w:snapToGrid w:val="0"/>
        </w:rPr>
        <w:tab/>
        <w:t>Additional security requirements</w:t>
      </w:r>
      <w:bookmarkEnd w:id="21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1" w:name="_Toc389746786"/>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12" w:name="_Toc389746787"/>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2010</w:t>
            </w:r>
          </w:p>
        </w:tc>
        <w:tc>
          <w:tcPr>
            <w:tcW w:w="1276" w:type="dxa"/>
            <w:tcBorders>
              <w:bottom w:val="single" w:sz="4" w:space="0" w:color="auto"/>
            </w:tcBorders>
          </w:tcPr>
          <w:p>
            <w:pPr>
              <w:pStyle w:val="nTable"/>
              <w:spacing w:after="40"/>
              <w:rPr>
                <w:sz w:val="19"/>
              </w:rPr>
            </w:pPr>
            <w:r>
              <w:rPr>
                <w:sz w:val="19"/>
              </w:rPr>
              <w:t>27 Apr 2010 p. 1583-4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389746788"/>
      <w:r>
        <w:t>Provisions that have not come into operation</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vertAlign w:val="superscript"/>
              </w:rPr>
            </w:pPr>
            <w:r>
              <w:rPr>
                <w:i/>
                <w:sz w:val="19"/>
              </w:rPr>
              <w:t>Poisons Amendment Regulations (No. 5) 2010</w:t>
            </w:r>
            <w:r>
              <w:rPr>
                <w:iCs/>
                <w:sz w:val="19"/>
              </w:rPr>
              <w:t xml:space="preserve"> r. 3</w:t>
            </w:r>
            <w:r>
              <w:rPr>
                <w:iCs/>
                <w:sz w:val="19"/>
              </w:rPr>
              <w:noBreakHyphen/>
              <w:t>12</w:t>
            </w:r>
            <w:r>
              <w:rPr>
                <w:iCs/>
                <w:sz w:val="19"/>
                <w:vertAlign w:val="superscript"/>
              </w:rPr>
              <w:t> 12</w:t>
            </w:r>
          </w:p>
        </w:tc>
        <w:tc>
          <w:tcPr>
            <w:tcW w:w="1276" w:type="dxa"/>
            <w:tcBorders>
              <w:top w:val="single" w:sz="8" w:space="0" w:color="auto"/>
              <w:bottom w:val="single" w:sz="4" w:space="0" w:color="auto"/>
            </w:tcBorders>
          </w:tcPr>
          <w:p>
            <w:pPr>
              <w:pStyle w:val="nTable"/>
              <w:spacing w:after="40"/>
              <w:rPr>
                <w:sz w:val="19"/>
              </w:rPr>
            </w:pPr>
            <w:r>
              <w:rPr>
                <w:sz w:val="19"/>
              </w:rPr>
              <w:t>1 Oct 2010 p. 5078</w:t>
            </w:r>
            <w:r>
              <w:rPr>
                <w:sz w:val="19"/>
              </w:rPr>
              <w:noBreakHyphen/>
              <w:t>80</w:t>
            </w:r>
          </w:p>
        </w:tc>
        <w:tc>
          <w:tcPr>
            <w:tcW w:w="2693" w:type="dxa"/>
            <w:tcBorders>
              <w:top w:val="single" w:sz="8" w:space="0" w:color="auto"/>
              <w:bottom w:val="single" w:sz="4" w:space="0" w:color="auto"/>
            </w:tcBorders>
          </w:tcPr>
          <w:p>
            <w:pPr>
              <w:pStyle w:val="nTable"/>
              <w:spacing w:after="40"/>
              <w:rPr>
                <w:sz w:val="19"/>
              </w:rPr>
            </w:pPr>
            <w:r>
              <w:rPr>
                <w:sz w:val="19"/>
              </w:rPr>
              <w:t xml:space="preserve">18 Oct 2010 (see r. 2(b) and </w:t>
            </w:r>
            <w:r>
              <w:rPr>
                <w:i/>
                <w:iCs/>
                <w:sz w:val="19"/>
              </w:rPr>
              <w:t>Gazette</w:t>
            </w:r>
            <w:r>
              <w:rPr>
                <w:sz w:val="19"/>
              </w:rPr>
              <w:t xml:space="preserve"> 1 Oct 2010 p. 5076)</w:t>
            </w:r>
          </w:p>
        </w:tc>
      </w:tr>
    </w:tbl>
    <w:p>
      <w:pPr>
        <w:pStyle w:val="nSubsection"/>
        <w:spacing w:before="100"/>
        <w:rPr>
          <w:snapToGrid w:val="0"/>
          <w:vertAlign w:val="superscript"/>
        </w:rPr>
      </w:pPr>
    </w:p>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Poisons Amendment Regulations (No. 5) 2010 </w:t>
      </w:r>
      <w:r>
        <w:rPr>
          <w:iCs/>
          <w:snapToGrid w:val="0"/>
        </w:rPr>
        <w:t>r. 3</w:t>
      </w:r>
      <w:r>
        <w:rPr>
          <w:iCs/>
          <w:snapToGrid w:val="0"/>
        </w:rPr>
        <w:noBreakHyphen/>
        <w:t>12</w:t>
      </w:r>
      <w:r>
        <w:rPr>
          <w:i/>
          <w:snapToGrid w:val="0"/>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Regulation 2 amended</w:t>
      </w:r>
    </w:p>
    <w:p>
      <w:pPr>
        <w:pStyle w:val="nzSubsection"/>
      </w:pPr>
      <w:r>
        <w:tab/>
      </w:r>
      <w:r>
        <w:tab/>
        <w:t>In regulation 2(1) insert in alphabetical order:</w:t>
      </w:r>
    </w:p>
    <w:p>
      <w:pPr>
        <w:pStyle w:val="BlankOpen"/>
      </w:pPr>
    </w:p>
    <w:p>
      <w:pPr>
        <w:pStyle w:val="nzDefstart"/>
      </w:pPr>
      <w:r>
        <w:tab/>
      </w:r>
      <w:r>
        <w:rPr>
          <w:rStyle w:val="CharDefText"/>
        </w:rPr>
        <w:t>pharmacist’s licence</w:t>
      </w:r>
      <w:r>
        <w:t xml:space="preserve"> means a licence to sell or supply poison referred to in regulation 5;</w:t>
      </w:r>
    </w:p>
    <w:p>
      <w:pPr>
        <w:pStyle w:val="nzDefstart"/>
      </w:pPr>
      <w:r>
        <w:tab/>
      </w:r>
      <w:r>
        <w:rPr>
          <w:rStyle w:val="CharDefText"/>
        </w:rPr>
        <w:t>pharmacy</w:t>
      </w:r>
      <w:r>
        <w:t xml:space="preserve"> means a registered pharmacy as defined in the </w:t>
      </w:r>
      <w:r>
        <w:rPr>
          <w:i/>
          <w:iCs/>
        </w:rPr>
        <w:t xml:space="preserve">Pharmacy Act 2010 </w:t>
      </w:r>
      <w:r>
        <w:t>section 3(1);</w:t>
      </w:r>
    </w:p>
    <w:p>
      <w:pPr>
        <w:pStyle w:val="BlankClose"/>
        <w:rPr>
          <w:rStyle w:val="CharSectno"/>
        </w:rPr>
      </w:pPr>
    </w:p>
    <w:p>
      <w:pPr>
        <w:pStyle w:val="nzHeading5"/>
      </w:pPr>
      <w:r>
        <w:rPr>
          <w:rStyle w:val="CharSectno"/>
        </w:rPr>
        <w:t>5</w:t>
      </w:r>
      <w:r>
        <w:t>.</w:t>
      </w:r>
      <w:r>
        <w:tab/>
        <w:t>Regulation 5 amended</w:t>
      </w:r>
    </w:p>
    <w:p>
      <w:pPr>
        <w:pStyle w:val="nzSubsection"/>
      </w:pPr>
      <w:r>
        <w:tab/>
      </w:r>
      <w:r>
        <w:tab/>
        <w:t xml:space="preserve">In regulation 5 delete “registered under the </w:t>
      </w:r>
      <w:r>
        <w:rPr>
          <w:i/>
          <w:iCs/>
        </w:rPr>
        <w:t>Pharmacy Act 1964</w:t>
      </w:r>
      <w:r>
        <w:t>, and”.</w:t>
      </w:r>
    </w:p>
    <w:p>
      <w:pPr>
        <w:pStyle w:val="nzHeading5"/>
      </w:pPr>
      <w:r>
        <w:rPr>
          <w:rStyle w:val="CharSectno"/>
        </w:rPr>
        <w:t>6</w:t>
      </w:r>
      <w:r>
        <w:t>.</w:t>
      </w:r>
      <w:r>
        <w:tab/>
        <w:t>Regulation 35A amended</w:t>
      </w:r>
    </w:p>
    <w:p>
      <w:pPr>
        <w:pStyle w:val="nzSubsection"/>
      </w:pPr>
      <w:r>
        <w:tab/>
      </w:r>
      <w:r>
        <w:tab/>
        <w:t>In regulation 35A(1), (1a), (1c) and (2) delete “a graduate trainee” and “graduate trainee” (each occurrence) and insert:</w:t>
      </w:r>
    </w:p>
    <w:p>
      <w:pPr>
        <w:pStyle w:val="BlankOpen"/>
      </w:pPr>
    </w:p>
    <w:p>
      <w:pPr>
        <w:pStyle w:val="nzSubsection"/>
      </w:pPr>
      <w:r>
        <w:tab/>
      </w:r>
      <w:r>
        <w:tab/>
        <w:t>intern</w:t>
      </w:r>
    </w:p>
    <w:p>
      <w:pPr>
        <w:pStyle w:val="BlankClose"/>
      </w:pPr>
    </w:p>
    <w:p>
      <w:pPr>
        <w:pStyle w:val="nzHeading5"/>
      </w:pPr>
      <w:r>
        <w:rPr>
          <w:rStyle w:val="CharSectno"/>
        </w:rPr>
        <w:t>7</w:t>
      </w:r>
      <w:r>
        <w:t>.</w:t>
      </w:r>
      <w:r>
        <w:tab/>
        <w:t>Regulation 36AA amended</w:t>
      </w:r>
    </w:p>
    <w:p>
      <w:pPr>
        <w:pStyle w:val="nzSubsection"/>
      </w:pPr>
      <w:r>
        <w:tab/>
      </w:r>
      <w:r>
        <w:tab/>
        <w:t xml:space="preserve">In regulation 36AA(4)(c) delete “registered under the </w:t>
      </w:r>
      <w:r>
        <w:rPr>
          <w:i/>
          <w:iCs/>
        </w:rPr>
        <w:t>Pharmacy Act 1964</w:t>
      </w:r>
      <w:r>
        <w:t>”.</w:t>
      </w:r>
    </w:p>
    <w:p>
      <w:pPr>
        <w:pStyle w:val="nzHeading5"/>
      </w:pPr>
      <w:r>
        <w:rPr>
          <w:rStyle w:val="CharSectno"/>
        </w:rPr>
        <w:t>8</w:t>
      </w:r>
      <w:r>
        <w:t>.</w:t>
      </w:r>
      <w:r>
        <w:tab/>
        <w:t>Regulation 42 amended</w:t>
      </w:r>
    </w:p>
    <w:p>
      <w:pPr>
        <w:pStyle w:val="nzSubsection"/>
      </w:pPr>
      <w:r>
        <w:tab/>
        <w:t>(1)</w:t>
      </w:r>
      <w:r>
        <w:tab/>
        <w:t>In regulation 42(1)(b) delete “licence is held under regulation 5; and” and insert:</w:t>
      </w:r>
    </w:p>
    <w:p>
      <w:pPr>
        <w:pStyle w:val="BlankOpen"/>
      </w:pPr>
    </w:p>
    <w:p>
      <w:pPr>
        <w:pStyle w:val="nzSubsection"/>
      </w:pPr>
      <w:r>
        <w:tab/>
      </w:r>
      <w:r>
        <w:tab/>
        <w:t>pharmacist’s licence is held; and</w:t>
      </w:r>
    </w:p>
    <w:p>
      <w:pPr>
        <w:pStyle w:val="BlankClose"/>
      </w:pPr>
    </w:p>
    <w:p>
      <w:pPr>
        <w:pStyle w:val="nzSubsection"/>
      </w:pPr>
      <w:r>
        <w:tab/>
        <w:t>(2)</w:t>
      </w:r>
      <w:r>
        <w:tab/>
        <w:t>After regulation 42(1)(d) insert:</w:t>
      </w:r>
    </w:p>
    <w:p>
      <w:pPr>
        <w:pStyle w:val="BlankOpen"/>
      </w:pPr>
    </w:p>
    <w:p>
      <w:pPr>
        <w:pStyle w:val="nzSubsection"/>
      </w:pPr>
      <w:r>
        <w:tab/>
      </w:r>
      <w:r>
        <w:tab/>
        <w:t>and</w:t>
      </w:r>
    </w:p>
    <w:p>
      <w:pPr>
        <w:pStyle w:val="BlankClose"/>
      </w:pPr>
    </w:p>
    <w:p>
      <w:pPr>
        <w:pStyle w:val="nzHeading5"/>
      </w:pPr>
      <w:r>
        <w:rPr>
          <w:rStyle w:val="CharSectno"/>
        </w:rPr>
        <w:t>9</w:t>
      </w:r>
      <w:r>
        <w:t>.</w:t>
      </w:r>
      <w:r>
        <w:tab/>
        <w:t>Regulation 50 amended</w:t>
      </w:r>
    </w:p>
    <w:p>
      <w:pPr>
        <w:pStyle w:val="nzSubsection"/>
      </w:pPr>
      <w:r>
        <w:tab/>
      </w:r>
      <w:r>
        <w:tab/>
        <w:t>In regulation 50(a) before “hospital” insert:</w:t>
      </w:r>
    </w:p>
    <w:p>
      <w:pPr>
        <w:pStyle w:val="BlankOpen"/>
      </w:pPr>
    </w:p>
    <w:p>
      <w:pPr>
        <w:pStyle w:val="nzSubsection"/>
      </w:pPr>
      <w:r>
        <w:tab/>
      </w:r>
      <w:r>
        <w:tab/>
        <w:t>public</w:t>
      </w:r>
    </w:p>
    <w:p>
      <w:pPr>
        <w:pStyle w:val="BlankClose"/>
      </w:pPr>
    </w:p>
    <w:p>
      <w:pPr>
        <w:pStyle w:val="nzHeading5"/>
      </w:pPr>
      <w:r>
        <w:rPr>
          <w:rStyle w:val="CharSectno"/>
        </w:rPr>
        <w:t>10</w:t>
      </w:r>
      <w:r>
        <w:t>.</w:t>
      </w:r>
      <w:r>
        <w:tab/>
        <w:t>Regulation 51A amended</w:t>
      </w:r>
    </w:p>
    <w:p>
      <w:pPr>
        <w:pStyle w:val="nzSubsection"/>
      </w:pPr>
      <w:r>
        <w:tab/>
      </w:r>
      <w:r>
        <w:tab/>
        <w:t xml:space="preserve">In regulation 51A(1) delete the definition of </w:t>
      </w:r>
      <w:r>
        <w:rPr>
          <w:b/>
          <w:bCs/>
          <w:i/>
          <w:iCs/>
        </w:rPr>
        <w:t>pharmacy</w:t>
      </w:r>
      <w:r>
        <w:t xml:space="preserve">. </w:t>
      </w:r>
    </w:p>
    <w:p>
      <w:pPr>
        <w:pStyle w:val="nzHeading5"/>
      </w:pPr>
      <w:r>
        <w:rPr>
          <w:rStyle w:val="CharSectno"/>
        </w:rPr>
        <w:t>11</w:t>
      </w:r>
      <w:r>
        <w:t>.</w:t>
      </w:r>
      <w:r>
        <w:tab/>
        <w:t>Appendix A Form 3 amended</w:t>
      </w:r>
    </w:p>
    <w:p>
      <w:pPr>
        <w:pStyle w:val="nzSubsection"/>
      </w:pPr>
      <w:r>
        <w:tab/>
      </w:r>
      <w:r>
        <w:tab/>
        <w:t>In Appendix A Form 3 delete “</w:t>
      </w:r>
      <w:r>
        <w:rPr>
          <w:b/>
          <w:bCs/>
        </w:rPr>
        <w:t>PHARMACEUTICAL CHEMIST’S</w:t>
      </w:r>
      <w:r>
        <w:t>” and insert:</w:t>
      </w:r>
    </w:p>
    <w:p>
      <w:pPr>
        <w:pStyle w:val="BlankOpen"/>
      </w:pPr>
    </w:p>
    <w:p>
      <w:pPr>
        <w:pStyle w:val="nzSubsection"/>
      </w:pPr>
      <w:r>
        <w:tab/>
      </w:r>
      <w:r>
        <w:tab/>
      </w:r>
      <w:r>
        <w:rPr>
          <w:b/>
          <w:bCs/>
        </w:rPr>
        <w:t>PHARMACIST’S</w:t>
      </w:r>
    </w:p>
    <w:p>
      <w:pPr>
        <w:pStyle w:val="BlankClose"/>
      </w:pPr>
    </w:p>
    <w:p>
      <w:pPr>
        <w:pStyle w:val="nzHeading5"/>
      </w:pPr>
      <w:r>
        <w:rPr>
          <w:rStyle w:val="CharSectno"/>
        </w:rPr>
        <w:t>12</w:t>
      </w:r>
      <w:r>
        <w:t>.</w:t>
      </w:r>
      <w:r>
        <w:tab/>
        <w:t>Various references to “pharmaceutical chemist” amended</w:t>
      </w:r>
    </w:p>
    <w:p>
      <w:pPr>
        <w:pStyle w:val="nzSubsection"/>
      </w:pPr>
      <w:r>
        <w:tab/>
      </w:r>
      <w:r>
        <w:tab/>
        <w:t>In the provisions listed in the Table:</w:t>
      </w:r>
    </w:p>
    <w:p>
      <w:pPr>
        <w:pStyle w:val="nzIndenta"/>
      </w:pPr>
      <w:r>
        <w:tab/>
        <w:t>(a)</w:t>
      </w:r>
      <w:r>
        <w:tab/>
        <w:t>delete “pharmaceutical chemist” (each occurrence) and insert:</w:t>
      </w:r>
    </w:p>
    <w:p>
      <w:pPr>
        <w:pStyle w:val="BlankOpen"/>
      </w:pPr>
    </w:p>
    <w:p>
      <w:pPr>
        <w:pStyle w:val="nzIndenta"/>
      </w:pPr>
      <w:r>
        <w:tab/>
      </w:r>
      <w:r>
        <w:tab/>
        <w:t>pharmacist</w:t>
      </w:r>
    </w:p>
    <w:p>
      <w:pPr>
        <w:pStyle w:val="BlankClose"/>
      </w:pPr>
    </w:p>
    <w:p>
      <w:pPr>
        <w:pStyle w:val="nzIndenta"/>
      </w:pPr>
      <w:r>
        <w:tab/>
        <w:t>(b)</w:t>
      </w:r>
      <w:r>
        <w:tab/>
        <w:t>delete “pharmaceutical chemists” and insert:</w:t>
      </w:r>
    </w:p>
    <w:p>
      <w:pPr>
        <w:pStyle w:val="BlankOpen"/>
      </w:pPr>
    </w:p>
    <w:p>
      <w:pPr>
        <w:pStyle w:val="nzIndenta"/>
      </w:pPr>
      <w:r>
        <w:tab/>
      </w:r>
      <w:r>
        <w:tab/>
        <w:t>pharmacists</w:t>
      </w:r>
    </w:p>
    <w:p>
      <w:pPr>
        <w:pStyle w:val="BlankClose"/>
      </w:pPr>
    </w:p>
    <w:p>
      <w:pPr>
        <w:pStyle w:val="nzIndenta"/>
      </w:pPr>
      <w:r>
        <w:tab/>
        <w:t>(c)</w:t>
      </w:r>
      <w:r>
        <w:tab/>
        <w:t>delete “Pharmaceutical Chemist” and insert:</w:t>
      </w:r>
    </w:p>
    <w:p>
      <w:pPr>
        <w:pStyle w:val="BlankOpen"/>
      </w:pPr>
    </w:p>
    <w:p>
      <w:pPr>
        <w:pStyle w:val="nzIndenta"/>
      </w:pPr>
      <w:r>
        <w:tab/>
      </w:r>
      <w:r>
        <w:tab/>
        <w:t>pharmacist</w:t>
      </w:r>
    </w:p>
    <w:p>
      <w:pPr>
        <w:pStyle w:val="BlankClose"/>
      </w:pPr>
    </w:p>
    <w:p>
      <w:pPr>
        <w:pStyle w:val="nzIndenta"/>
      </w:pPr>
      <w:r>
        <w:tab/>
        <w:t>(d)</w:t>
      </w:r>
      <w:r>
        <w:tab/>
        <w:t>delete “Pharmaceutical chemist’s” and insert:</w:t>
      </w:r>
    </w:p>
    <w:p>
      <w:pPr>
        <w:pStyle w:val="BlankOpen"/>
      </w:pPr>
    </w:p>
    <w:p>
      <w:pPr>
        <w:pStyle w:val="nzIndenta"/>
      </w:pPr>
      <w:r>
        <w:tab/>
      </w:r>
      <w:r>
        <w:tab/>
        <w:t>Pharmacist’s</w:t>
      </w:r>
    </w:p>
    <w:p>
      <w:pPr>
        <w:pStyle w:val="BlankClose"/>
      </w:pPr>
    </w:p>
    <w:p>
      <w:pPr>
        <w:pStyle w:val="nzIndenta"/>
      </w:pPr>
      <w:r>
        <w:tab/>
        <w:t>(e)</w:t>
      </w:r>
      <w:r>
        <w:tab/>
        <w:t>delete “Pharmaceutical Chemist’s” and insert:</w:t>
      </w:r>
    </w:p>
    <w:p>
      <w:pPr>
        <w:pStyle w:val="BlankOpen"/>
      </w:pPr>
    </w:p>
    <w:p>
      <w:pPr>
        <w:pStyle w:val="nzIndenta"/>
      </w:pPr>
      <w:r>
        <w:tab/>
      </w:r>
      <w:r>
        <w:tab/>
        <w:t>pharmacist’s</w:t>
      </w:r>
    </w:p>
    <w:p>
      <w:pPr>
        <w:pStyle w:val="BlankClose"/>
      </w:pP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2764"/>
      </w:tblGrid>
      <w:tr>
        <w:trPr>
          <w:cantSplit/>
          <w:jc w:val="center"/>
        </w:trPr>
        <w:tc>
          <w:tcPr>
            <w:tcW w:w="3347" w:type="dxa"/>
          </w:tcPr>
          <w:p>
            <w:pPr>
              <w:pStyle w:val="TableAm"/>
              <w:rPr>
                <w:bCs/>
                <w:iCs/>
                <w:sz w:val="20"/>
              </w:rPr>
            </w:pPr>
            <w:r>
              <w:rPr>
                <w:sz w:val="20"/>
              </w:rPr>
              <w:t xml:space="preserve">r. 2(1) def. of </w:t>
            </w:r>
            <w:r>
              <w:rPr>
                <w:b/>
                <w:i/>
                <w:sz w:val="20"/>
              </w:rPr>
              <w:t xml:space="preserve">qualified person </w:t>
            </w:r>
            <w:r>
              <w:rPr>
                <w:sz w:val="20"/>
              </w:rPr>
              <w:t>par. (a)</w:t>
            </w:r>
          </w:p>
        </w:tc>
        <w:tc>
          <w:tcPr>
            <w:tcW w:w="2764" w:type="dxa"/>
          </w:tcPr>
          <w:p>
            <w:pPr>
              <w:pStyle w:val="TableAm"/>
              <w:rPr>
                <w:sz w:val="20"/>
              </w:rPr>
            </w:pPr>
            <w:r>
              <w:rPr>
                <w:sz w:val="20"/>
              </w:rPr>
              <w:t>r. 5</w:t>
            </w:r>
          </w:p>
        </w:tc>
      </w:tr>
      <w:tr>
        <w:trPr>
          <w:cantSplit/>
          <w:jc w:val="center"/>
        </w:trPr>
        <w:tc>
          <w:tcPr>
            <w:tcW w:w="3347" w:type="dxa"/>
          </w:tcPr>
          <w:p>
            <w:pPr>
              <w:pStyle w:val="TableAm"/>
              <w:rPr>
                <w:sz w:val="20"/>
              </w:rPr>
            </w:pPr>
            <w:r>
              <w:rPr>
                <w:sz w:val="20"/>
              </w:rPr>
              <w:t xml:space="preserve">r. 21(a), (b) and (c) </w:t>
            </w:r>
          </w:p>
        </w:tc>
        <w:tc>
          <w:tcPr>
            <w:tcW w:w="2764" w:type="dxa"/>
          </w:tcPr>
          <w:p>
            <w:pPr>
              <w:pStyle w:val="TableAm"/>
              <w:rPr>
                <w:sz w:val="20"/>
              </w:rPr>
            </w:pPr>
            <w:r>
              <w:rPr>
                <w:sz w:val="20"/>
              </w:rPr>
              <w:t>r. 21A(1)</w:t>
            </w:r>
          </w:p>
        </w:tc>
      </w:tr>
      <w:tr>
        <w:trPr>
          <w:cantSplit/>
          <w:jc w:val="center"/>
        </w:trPr>
        <w:tc>
          <w:tcPr>
            <w:tcW w:w="3347" w:type="dxa"/>
          </w:tcPr>
          <w:p>
            <w:pPr>
              <w:pStyle w:val="TableAm"/>
              <w:rPr>
                <w:sz w:val="20"/>
              </w:rPr>
            </w:pPr>
            <w:r>
              <w:rPr>
                <w:sz w:val="20"/>
              </w:rPr>
              <w:t>r. 32B(1)(b)(ii) and (3)(a)</w:t>
            </w:r>
          </w:p>
        </w:tc>
        <w:tc>
          <w:tcPr>
            <w:tcW w:w="2764" w:type="dxa"/>
          </w:tcPr>
          <w:p>
            <w:pPr>
              <w:pStyle w:val="TableAm"/>
              <w:rPr>
                <w:sz w:val="20"/>
              </w:rPr>
            </w:pPr>
            <w:r>
              <w:rPr>
                <w:sz w:val="20"/>
              </w:rPr>
              <w:t>r.  35A(1), (1a), (1b), (1c) and (2)</w:t>
            </w:r>
          </w:p>
        </w:tc>
      </w:tr>
      <w:tr>
        <w:trPr>
          <w:cantSplit/>
          <w:jc w:val="center"/>
        </w:trPr>
        <w:tc>
          <w:tcPr>
            <w:tcW w:w="3347" w:type="dxa"/>
          </w:tcPr>
          <w:p>
            <w:pPr>
              <w:pStyle w:val="TableAm"/>
              <w:rPr>
                <w:sz w:val="20"/>
              </w:rPr>
            </w:pPr>
            <w:r>
              <w:rPr>
                <w:sz w:val="20"/>
              </w:rPr>
              <w:t>r. 36(2) and (3)(f)</w:t>
            </w:r>
          </w:p>
        </w:tc>
        <w:tc>
          <w:tcPr>
            <w:tcW w:w="2764" w:type="dxa"/>
          </w:tcPr>
          <w:p>
            <w:pPr>
              <w:pStyle w:val="TableAm"/>
              <w:rPr>
                <w:sz w:val="20"/>
              </w:rPr>
            </w:pPr>
            <w:r>
              <w:rPr>
                <w:sz w:val="20"/>
              </w:rPr>
              <w:t xml:space="preserve">r. 36AA(1) def. of </w:t>
            </w:r>
            <w:r>
              <w:rPr>
                <w:b/>
                <w:i/>
                <w:sz w:val="20"/>
              </w:rPr>
              <w:t>starter pack</w:t>
            </w:r>
          </w:p>
        </w:tc>
      </w:tr>
      <w:tr>
        <w:trPr>
          <w:cantSplit/>
          <w:jc w:val="center"/>
        </w:trPr>
        <w:tc>
          <w:tcPr>
            <w:tcW w:w="3347" w:type="dxa"/>
          </w:tcPr>
          <w:p>
            <w:pPr>
              <w:pStyle w:val="TableAm"/>
              <w:rPr>
                <w:sz w:val="20"/>
              </w:rPr>
            </w:pPr>
            <w:r>
              <w:rPr>
                <w:sz w:val="20"/>
              </w:rPr>
              <w:t xml:space="preserve">r. 36AAB(1) def. of </w:t>
            </w:r>
            <w:r>
              <w:rPr>
                <w:b/>
                <w:i/>
                <w:sz w:val="20"/>
              </w:rPr>
              <w:t xml:space="preserve">psychiatric emergency pack </w:t>
            </w:r>
          </w:p>
        </w:tc>
        <w:tc>
          <w:tcPr>
            <w:tcW w:w="2764" w:type="dxa"/>
          </w:tcPr>
          <w:p>
            <w:pPr>
              <w:pStyle w:val="TableAm"/>
              <w:rPr>
                <w:sz w:val="20"/>
              </w:rPr>
            </w:pPr>
            <w:r>
              <w:rPr>
                <w:sz w:val="20"/>
              </w:rPr>
              <w:t>r. 36A(1)</w:t>
            </w:r>
          </w:p>
        </w:tc>
      </w:tr>
      <w:tr>
        <w:trPr>
          <w:cantSplit/>
          <w:jc w:val="center"/>
        </w:trPr>
        <w:tc>
          <w:tcPr>
            <w:tcW w:w="3347" w:type="dxa"/>
          </w:tcPr>
          <w:p>
            <w:pPr>
              <w:pStyle w:val="TableAm"/>
              <w:rPr>
                <w:sz w:val="20"/>
              </w:rPr>
            </w:pPr>
            <w:r>
              <w:rPr>
                <w:sz w:val="20"/>
              </w:rPr>
              <w:t>r. 39(1)</w:t>
            </w:r>
          </w:p>
        </w:tc>
        <w:tc>
          <w:tcPr>
            <w:tcW w:w="2764" w:type="dxa"/>
          </w:tcPr>
          <w:p>
            <w:pPr>
              <w:pStyle w:val="TableAm"/>
              <w:rPr>
                <w:sz w:val="20"/>
              </w:rPr>
            </w:pPr>
            <w:r>
              <w:rPr>
                <w:sz w:val="20"/>
              </w:rPr>
              <w:t>r. 40(1)(b)</w:t>
            </w:r>
          </w:p>
        </w:tc>
      </w:tr>
      <w:tr>
        <w:trPr>
          <w:cantSplit/>
          <w:jc w:val="center"/>
        </w:trPr>
        <w:tc>
          <w:tcPr>
            <w:tcW w:w="3347" w:type="dxa"/>
          </w:tcPr>
          <w:p>
            <w:pPr>
              <w:pStyle w:val="TableAm"/>
              <w:rPr>
                <w:sz w:val="20"/>
              </w:rPr>
            </w:pPr>
            <w:r>
              <w:rPr>
                <w:sz w:val="20"/>
              </w:rPr>
              <w:t>r. 42(1)(b)</w:t>
            </w:r>
          </w:p>
        </w:tc>
        <w:tc>
          <w:tcPr>
            <w:tcW w:w="2764" w:type="dxa"/>
          </w:tcPr>
          <w:p>
            <w:pPr>
              <w:pStyle w:val="TableAm"/>
              <w:rPr>
                <w:sz w:val="20"/>
              </w:rPr>
            </w:pPr>
            <w:r>
              <w:rPr>
                <w:sz w:val="20"/>
              </w:rPr>
              <w:t>r. 43(1)</w:t>
            </w:r>
          </w:p>
        </w:tc>
      </w:tr>
      <w:tr>
        <w:trPr>
          <w:cantSplit/>
          <w:jc w:val="center"/>
        </w:trPr>
        <w:tc>
          <w:tcPr>
            <w:tcW w:w="3347" w:type="dxa"/>
          </w:tcPr>
          <w:p>
            <w:pPr>
              <w:pStyle w:val="TableAm"/>
              <w:rPr>
                <w:sz w:val="20"/>
              </w:rPr>
            </w:pPr>
            <w:r>
              <w:rPr>
                <w:sz w:val="20"/>
              </w:rPr>
              <w:t>r. 44(3)(f)</w:t>
            </w:r>
          </w:p>
        </w:tc>
        <w:tc>
          <w:tcPr>
            <w:tcW w:w="2764" w:type="dxa"/>
          </w:tcPr>
          <w:p>
            <w:pPr>
              <w:pStyle w:val="TableAm"/>
              <w:rPr>
                <w:sz w:val="20"/>
              </w:rPr>
            </w:pPr>
            <w:r>
              <w:rPr>
                <w:sz w:val="20"/>
              </w:rPr>
              <w:t>r. 44A(3)(a), (5) and (7)</w:t>
            </w:r>
          </w:p>
        </w:tc>
      </w:tr>
      <w:tr>
        <w:trPr>
          <w:cantSplit/>
          <w:jc w:val="center"/>
        </w:trPr>
        <w:tc>
          <w:tcPr>
            <w:tcW w:w="3347" w:type="dxa"/>
          </w:tcPr>
          <w:p>
            <w:pPr>
              <w:pStyle w:val="TableAm"/>
              <w:rPr>
                <w:sz w:val="20"/>
              </w:rPr>
            </w:pPr>
            <w:r>
              <w:rPr>
                <w:sz w:val="20"/>
              </w:rPr>
              <w:t>r. 50(a) and (b)</w:t>
            </w:r>
          </w:p>
        </w:tc>
        <w:tc>
          <w:tcPr>
            <w:tcW w:w="2764" w:type="dxa"/>
          </w:tcPr>
          <w:p>
            <w:pPr>
              <w:pStyle w:val="TableAm"/>
              <w:rPr>
                <w:sz w:val="20"/>
              </w:rPr>
            </w:pPr>
            <w:r>
              <w:rPr>
                <w:sz w:val="20"/>
              </w:rPr>
              <w:t>r. 51E</w:t>
            </w:r>
          </w:p>
        </w:tc>
      </w:tr>
      <w:tr>
        <w:trPr>
          <w:cantSplit/>
          <w:jc w:val="center"/>
        </w:trPr>
        <w:tc>
          <w:tcPr>
            <w:tcW w:w="3347" w:type="dxa"/>
          </w:tcPr>
          <w:p>
            <w:pPr>
              <w:pStyle w:val="TableAm"/>
              <w:rPr>
                <w:sz w:val="20"/>
              </w:rPr>
            </w:pPr>
            <w:r>
              <w:rPr>
                <w:sz w:val="20"/>
              </w:rPr>
              <w:t>r. 51EA(2)</w:t>
            </w:r>
          </w:p>
        </w:tc>
        <w:tc>
          <w:tcPr>
            <w:tcW w:w="2764" w:type="dxa"/>
          </w:tcPr>
          <w:p>
            <w:pPr>
              <w:pStyle w:val="TableAm"/>
              <w:rPr>
                <w:sz w:val="20"/>
              </w:rPr>
            </w:pPr>
            <w:r>
              <w:rPr>
                <w:sz w:val="20"/>
              </w:rPr>
              <w:t xml:space="preserve">r. 51F(7) </w:t>
            </w:r>
          </w:p>
        </w:tc>
      </w:tr>
      <w:tr>
        <w:trPr>
          <w:cantSplit/>
          <w:jc w:val="center"/>
        </w:trPr>
        <w:tc>
          <w:tcPr>
            <w:tcW w:w="3347" w:type="dxa"/>
          </w:tcPr>
          <w:p>
            <w:pPr>
              <w:pStyle w:val="TableAm"/>
              <w:rPr>
                <w:sz w:val="20"/>
              </w:rPr>
            </w:pPr>
            <w:r>
              <w:rPr>
                <w:sz w:val="20"/>
              </w:rPr>
              <w:t>r. 51FB(1)(b)(i)</w:t>
            </w:r>
          </w:p>
        </w:tc>
        <w:tc>
          <w:tcPr>
            <w:tcW w:w="2764" w:type="dxa"/>
          </w:tcPr>
          <w:p>
            <w:pPr>
              <w:pStyle w:val="TableAm"/>
              <w:rPr>
                <w:sz w:val="20"/>
              </w:rPr>
            </w:pPr>
            <w:r>
              <w:rPr>
                <w:sz w:val="20"/>
              </w:rPr>
              <w:t>r. 51GB(8)</w:t>
            </w:r>
          </w:p>
        </w:tc>
      </w:tr>
      <w:tr>
        <w:trPr>
          <w:cantSplit/>
          <w:jc w:val="center"/>
        </w:trPr>
        <w:tc>
          <w:tcPr>
            <w:tcW w:w="3347" w:type="dxa"/>
          </w:tcPr>
          <w:p>
            <w:pPr>
              <w:pStyle w:val="TableAm"/>
              <w:rPr>
                <w:sz w:val="20"/>
              </w:rPr>
            </w:pPr>
            <w:r>
              <w:rPr>
                <w:sz w:val="20"/>
              </w:rPr>
              <w:t>r. 52(2), (6), (6a) and (8)</w:t>
            </w:r>
          </w:p>
        </w:tc>
        <w:tc>
          <w:tcPr>
            <w:tcW w:w="2764" w:type="dxa"/>
          </w:tcPr>
          <w:p>
            <w:pPr>
              <w:pStyle w:val="TableAm"/>
              <w:rPr>
                <w:sz w:val="20"/>
              </w:rPr>
            </w:pPr>
            <w:r>
              <w:rPr>
                <w:sz w:val="20"/>
              </w:rPr>
              <w:t>r. 52C(2)</w:t>
            </w:r>
          </w:p>
        </w:tc>
      </w:tr>
      <w:tr>
        <w:trPr>
          <w:cantSplit/>
          <w:jc w:val="center"/>
        </w:trPr>
        <w:tc>
          <w:tcPr>
            <w:tcW w:w="3347" w:type="dxa"/>
          </w:tcPr>
          <w:p>
            <w:pPr>
              <w:pStyle w:val="TableAm"/>
              <w:rPr>
                <w:sz w:val="20"/>
              </w:rPr>
            </w:pPr>
            <w:r>
              <w:rPr>
                <w:sz w:val="20"/>
              </w:rPr>
              <w:t>r. 56(3)(a) and (aa)</w:t>
            </w:r>
          </w:p>
        </w:tc>
        <w:tc>
          <w:tcPr>
            <w:tcW w:w="2764" w:type="dxa"/>
          </w:tcPr>
          <w:p>
            <w:pPr>
              <w:pStyle w:val="TableAm"/>
              <w:rPr>
                <w:sz w:val="20"/>
              </w:rPr>
            </w:pPr>
            <w:r>
              <w:rPr>
                <w:sz w:val="20"/>
              </w:rPr>
              <w:t>r. 56E</w:t>
            </w:r>
          </w:p>
        </w:tc>
      </w:tr>
      <w:tr>
        <w:trPr>
          <w:cantSplit/>
          <w:jc w:val="center"/>
        </w:trPr>
        <w:tc>
          <w:tcPr>
            <w:tcW w:w="3347" w:type="dxa"/>
          </w:tcPr>
          <w:p>
            <w:pPr>
              <w:pStyle w:val="TableAm"/>
              <w:rPr>
                <w:sz w:val="20"/>
              </w:rPr>
            </w:pPr>
            <w:r>
              <w:rPr>
                <w:sz w:val="20"/>
              </w:rPr>
              <w:t>r. 56F</w:t>
            </w:r>
          </w:p>
        </w:tc>
        <w:tc>
          <w:tcPr>
            <w:tcW w:w="2764" w:type="dxa"/>
          </w:tcPr>
          <w:p>
            <w:pPr>
              <w:pStyle w:val="TableAm"/>
              <w:rPr>
                <w:sz w:val="20"/>
              </w:rPr>
            </w:pPr>
            <w:r>
              <w:rPr>
                <w:sz w:val="20"/>
              </w:rPr>
              <w:t>Appendix G it. 3</w:t>
            </w:r>
          </w:p>
        </w:tc>
      </w:tr>
    </w:tbl>
    <w:p>
      <w:pPr>
        <w:pStyle w:val="nzNotesPerm"/>
      </w:pPr>
      <w:r>
        <w:tab/>
        <w:t>Note:</w:t>
      </w:r>
      <w:r>
        <w:tab/>
        <w:t>The heading to amended regulation 5 is to read:</w:t>
      </w:r>
    </w:p>
    <w:p>
      <w:pPr>
        <w:pStyle w:val="nzNotesPerm"/>
        <w:rPr>
          <w:b/>
          <w:bCs/>
        </w:rPr>
      </w:pPr>
      <w:r>
        <w:rPr>
          <w:b/>
          <w:bCs/>
        </w:rPr>
        <w:tab/>
      </w:r>
      <w:r>
        <w:rPr>
          <w:b/>
          <w:bCs/>
        </w:rPr>
        <w:tab/>
        <w:t>Pharmacist’s licence to sell poisons</w:t>
      </w:r>
    </w:p>
    <w:p>
      <w:pPr>
        <w:pStyle w:val="BlankClose"/>
      </w:pPr>
    </w:p>
    <w:p>
      <w:pPr>
        <w:pStyle w:val="BlankClose"/>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4" w:name="_Toc389746789"/>
      <w:r>
        <w:rPr>
          <w:sz w:val="28"/>
        </w:rPr>
        <w:t>Defined Terms</w:t>
      </w:r>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5" w:name="DefinedTerms"/>
      <w:bookmarkEnd w:id="215"/>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pharmacy</w:t>
      </w:r>
      <w:r>
        <w:tab/>
        <w:t>51A(1)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57"/>
    <w:docVar w:name="WAFER_20140605151904" w:val="RemoveTocBookmarks,RemoveUnusedBookmarks,RemoveLanguageTags,UsedStyles,ResetPageSize"/>
    <w:docVar w:name="WAFER_20140605151904_GUID" w:val="d96abd01-843d-45ea-81d4-d21665b87136"/>
    <w:docVar w:name="WAFER_20140605151919" w:val="RemoveTocBookmarks,RunningHeaders"/>
    <w:docVar w:name="WAFER_20140605151919_GUID" w:val="046667e7-7a26-499a-a072-a63bb5a311fd"/>
    <w:docVar w:name="WAFER_20151208162457" w:val="RemoveTrackChanges"/>
    <w:docVar w:name="WAFER_20151208162457_GUID" w:val="e9e0b4db-5faa-40aa-acc7-d77e9b7b1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196</Pages>
  <Words>45651</Words>
  <Characters>229627</Characters>
  <Application>Microsoft Office Word</Application>
  <DocSecurity>0</DocSecurity>
  <Lines>6560</Lines>
  <Paragraphs>3932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271346</CharactersWithSpaces>
  <SharedDoc>false</SharedDoc>
  <HLinks>
    <vt:vector size="12" baseType="variant">
      <vt:variant>
        <vt:i4>5439608</vt:i4>
      </vt:variant>
      <vt:variant>
        <vt:i4>256936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1965 - 09-e0-04</dc:title>
  <dc:subject/>
  <dc:creator/>
  <cp:keywords/>
  <dc:description/>
  <cp:lastModifiedBy>svcMRProcess</cp:lastModifiedBy>
  <cp:revision>4</cp:revision>
  <cp:lastPrinted>2009-11-16T06:22:00Z</cp:lastPrinted>
  <dcterms:created xsi:type="dcterms:W3CDTF">2018-09-15T02:23:00Z</dcterms:created>
  <dcterms:modified xsi:type="dcterms:W3CDTF">2018-09-15T02:24:00Z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4701</vt:i4>
  </property>
  <property fmtid="{D5CDD505-2E9C-101B-9397-08002B2CF9AE}" pid="6" name="AsAtDate">
    <vt:lpwstr>01 Oct 2010</vt:lpwstr>
  </property>
  <property fmtid="{D5CDD505-2E9C-101B-9397-08002B2CF9AE}" pid="7" name="Suffix">
    <vt:lpwstr>09-e0-04</vt:lpwstr>
  </property>
  <property fmtid="{D5CDD505-2E9C-101B-9397-08002B2CF9AE}" pid="8" name="ReprintNo">
    <vt:lpwstr>9</vt:lpwstr>
  </property>
</Properties>
</file>