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D3" w:rsidRDefault="00D13D16">
      <w:pPr>
        <w:pStyle w:val="WA"/>
      </w:pPr>
      <w:bookmarkStart w:id="0" w:name="_GoBack"/>
      <w:bookmarkEnd w:id="0"/>
      <w:r>
        <w:t>Western Australia</w:t>
      </w:r>
    </w:p>
    <w:p w:rsidR="004F31D3" w:rsidRDefault="00D13D16">
      <w:pPr>
        <w:pStyle w:val="NameofActRegPage1"/>
        <w:spacing w:before="3760" w:after="4200"/>
      </w:pPr>
      <w:r>
        <w:fldChar w:fldCharType="begin"/>
      </w:r>
      <w:r>
        <w:instrText xml:space="preserve"> STYLEREF "Name Of Act/Reg"</w:instrText>
      </w:r>
      <w:r>
        <w:fldChar w:fldCharType="separate"/>
      </w:r>
      <w:r w:rsidR="00652EA8">
        <w:rPr>
          <w:noProof/>
        </w:rPr>
        <w:t>Health Professionals (Special Events Exemption) Act 2000</w:t>
      </w:r>
      <w:r>
        <w:fldChar w:fldCharType="end"/>
      </w:r>
    </w:p>
    <w:p w:rsidR="004F31D3" w:rsidRDefault="004F31D3">
      <w:pPr>
        <w:jc w:val="center"/>
        <w:rPr>
          <w:b/>
        </w:rPr>
        <w:sectPr w:rsidR="004F31D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F31D3" w:rsidRDefault="00D13D16">
      <w:pPr>
        <w:pStyle w:val="WA"/>
        <w:spacing w:before="120"/>
      </w:pPr>
      <w:r>
        <w:lastRenderedPageBreak/>
        <w:t>Western Australia</w:t>
      </w:r>
    </w:p>
    <w:p w:rsidR="004F31D3" w:rsidRDefault="00D13D16">
      <w:pPr>
        <w:pStyle w:val="NameofActRegPage1"/>
      </w:pPr>
      <w:r>
        <w:fldChar w:fldCharType="begin"/>
      </w:r>
      <w:r>
        <w:instrText xml:space="preserve"> STYLEREF "Name Of Act/Reg"</w:instrText>
      </w:r>
      <w:r>
        <w:fldChar w:fldCharType="separate"/>
      </w:r>
      <w:r w:rsidR="00652EA8">
        <w:rPr>
          <w:noProof/>
        </w:rPr>
        <w:t>Health Professionals (Special Events Exemption) Act 2000</w:t>
      </w:r>
      <w:r>
        <w:fldChar w:fldCharType="end"/>
      </w:r>
    </w:p>
    <w:p w:rsidR="004F31D3" w:rsidRDefault="00D13D16">
      <w:pPr>
        <w:pStyle w:val="Arrangement"/>
      </w:pPr>
      <w:r>
        <w:t>CONTENTS</w:t>
      </w:r>
    </w:p>
    <w:p w:rsidR="004F31D3" w:rsidRDefault="00D13D1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4F31D3" w:rsidRDefault="00D13D1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_Toc272150266 \h </w:instrText>
      </w:r>
      <w:r>
        <w:fldChar w:fldCharType="separate"/>
      </w:r>
      <w:r w:rsidR="00652EA8">
        <w:t>2</w:t>
      </w:r>
      <w:r>
        <w:fldChar w:fldCharType="end"/>
      </w:r>
    </w:p>
    <w:p w:rsidR="004F31D3" w:rsidRDefault="00D13D1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_Toc272150267 \h </w:instrText>
      </w:r>
      <w:r>
        <w:fldChar w:fldCharType="separate"/>
      </w:r>
      <w:r w:rsidR="00652EA8">
        <w:t>2</w:t>
      </w:r>
      <w:r>
        <w:fldChar w:fldCharType="end"/>
      </w:r>
    </w:p>
    <w:p w:rsidR="004F31D3" w:rsidRDefault="00D13D16">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_Toc272150268 \h </w:instrText>
      </w:r>
      <w:r>
        <w:fldChar w:fldCharType="separate"/>
      </w:r>
      <w:r w:rsidR="00652EA8">
        <w:t>2</w:t>
      </w:r>
      <w:r>
        <w:fldChar w:fldCharType="end"/>
      </w:r>
    </w:p>
    <w:p w:rsidR="004F31D3" w:rsidRDefault="00D13D16">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_Toc272150269 \h </w:instrText>
      </w:r>
      <w:r>
        <w:fldChar w:fldCharType="separate"/>
      </w:r>
      <w:r w:rsidR="00652EA8">
        <w:t>3</w:t>
      </w:r>
      <w:r>
        <w:fldChar w:fldCharType="end"/>
      </w:r>
    </w:p>
    <w:p w:rsidR="004F31D3" w:rsidRDefault="00D13D16">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_Toc272150270 \h </w:instrText>
      </w:r>
      <w:r>
        <w:fldChar w:fldCharType="separate"/>
      </w:r>
      <w:r w:rsidR="00652EA8">
        <w:t>4</w:t>
      </w:r>
      <w:r>
        <w:fldChar w:fldCharType="end"/>
      </w:r>
    </w:p>
    <w:p w:rsidR="004F31D3" w:rsidRDefault="00D13D16">
      <w:pPr>
        <w:pStyle w:val="TOC2"/>
        <w:tabs>
          <w:tab w:val="right" w:leader="dot" w:pos="7086"/>
        </w:tabs>
        <w:rPr>
          <w:b w:val="0"/>
          <w:sz w:val="24"/>
          <w:szCs w:val="24"/>
        </w:rPr>
      </w:pPr>
      <w:r>
        <w:rPr>
          <w:szCs w:val="30"/>
        </w:rPr>
        <w:t>Part 2 — Special events exemptions</w:t>
      </w:r>
    </w:p>
    <w:p w:rsidR="004F31D3" w:rsidRDefault="00D13D16">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_Toc272150272 \h </w:instrText>
      </w:r>
      <w:r>
        <w:fldChar w:fldCharType="separate"/>
      </w:r>
      <w:r w:rsidR="00652EA8">
        <w:t>5</w:t>
      </w:r>
      <w:r>
        <w:fldChar w:fldCharType="end"/>
      </w:r>
    </w:p>
    <w:p w:rsidR="004F31D3" w:rsidRDefault="00D13D16">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_Toc272150273 \h </w:instrText>
      </w:r>
      <w:r>
        <w:fldChar w:fldCharType="separate"/>
      </w:r>
      <w:r w:rsidR="00652EA8">
        <w:t>5</w:t>
      </w:r>
      <w:r>
        <w:fldChar w:fldCharType="end"/>
      </w:r>
    </w:p>
    <w:p w:rsidR="004F31D3" w:rsidRDefault="00D13D16">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_Toc272150274 \h </w:instrText>
      </w:r>
      <w:r>
        <w:fldChar w:fldCharType="separate"/>
      </w:r>
      <w:r w:rsidR="00652EA8">
        <w:t>6</w:t>
      </w:r>
      <w:r>
        <w:fldChar w:fldCharType="end"/>
      </w:r>
    </w:p>
    <w:p w:rsidR="004F31D3" w:rsidRDefault="00D13D16">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_Toc272150275 \h </w:instrText>
      </w:r>
      <w:r>
        <w:fldChar w:fldCharType="separate"/>
      </w:r>
      <w:r w:rsidR="00652EA8">
        <w:t>7</w:t>
      </w:r>
      <w:r>
        <w:fldChar w:fldCharType="end"/>
      </w:r>
    </w:p>
    <w:p w:rsidR="004F31D3" w:rsidRDefault="00D13D16">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_Toc272150276 \h </w:instrText>
      </w:r>
      <w:r>
        <w:fldChar w:fldCharType="separate"/>
      </w:r>
      <w:r w:rsidR="00652EA8">
        <w:t>8</w:t>
      </w:r>
      <w:r>
        <w:fldChar w:fldCharType="end"/>
      </w:r>
    </w:p>
    <w:p w:rsidR="004F31D3" w:rsidRDefault="00D13D16">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_Toc272150277 \h </w:instrText>
      </w:r>
      <w:r>
        <w:fldChar w:fldCharType="separate"/>
      </w:r>
      <w:r w:rsidR="00652EA8">
        <w:t>8</w:t>
      </w:r>
      <w:r>
        <w:fldChar w:fldCharType="end"/>
      </w:r>
    </w:p>
    <w:p w:rsidR="004F31D3" w:rsidRDefault="00D13D16">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_Toc272150278 \h </w:instrText>
      </w:r>
      <w:r>
        <w:fldChar w:fldCharType="separate"/>
      </w:r>
      <w:r w:rsidR="00652EA8">
        <w:t>10</w:t>
      </w:r>
      <w:r>
        <w:fldChar w:fldCharType="end"/>
      </w:r>
    </w:p>
    <w:p w:rsidR="004F31D3" w:rsidRDefault="00D13D16">
      <w:pPr>
        <w:pStyle w:val="TOC2"/>
        <w:tabs>
          <w:tab w:val="right" w:leader="dot" w:pos="7086"/>
        </w:tabs>
        <w:rPr>
          <w:b w:val="0"/>
          <w:sz w:val="24"/>
          <w:szCs w:val="24"/>
        </w:rPr>
      </w:pPr>
      <w:r>
        <w:rPr>
          <w:szCs w:val="30"/>
        </w:rPr>
        <w:t>Part 3 — Miscellaneous</w:t>
      </w:r>
    </w:p>
    <w:p w:rsidR="004F31D3" w:rsidRDefault="00D13D16">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_Toc272150280 \h </w:instrText>
      </w:r>
      <w:r>
        <w:fldChar w:fldCharType="separate"/>
      </w:r>
      <w:r w:rsidR="00652EA8">
        <w:t>11</w:t>
      </w:r>
      <w:r>
        <w:fldChar w:fldCharType="end"/>
      </w:r>
    </w:p>
    <w:p w:rsidR="004F31D3" w:rsidRDefault="00D13D16">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_Toc272150281 \h </w:instrText>
      </w:r>
      <w:r>
        <w:fldChar w:fldCharType="separate"/>
      </w:r>
      <w:r w:rsidR="00652EA8">
        <w:t>11</w:t>
      </w:r>
      <w:r>
        <w:fldChar w:fldCharType="end"/>
      </w:r>
    </w:p>
    <w:p w:rsidR="004F31D3" w:rsidRDefault="00D13D16">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_Toc272150282 \h </w:instrText>
      </w:r>
      <w:r>
        <w:fldChar w:fldCharType="separate"/>
      </w:r>
      <w:r w:rsidR="00652EA8">
        <w:t>11</w:t>
      </w:r>
      <w:r>
        <w:fldChar w:fldCharType="end"/>
      </w:r>
    </w:p>
    <w:p w:rsidR="004F31D3" w:rsidRDefault="00D13D16">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_Toc272150283 \h </w:instrText>
      </w:r>
      <w:r>
        <w:fldChar w:fldCharType="separate"/>
      </w:r>
      <w:r w:rsidR="00652EA8">
        <w:t>11</w:t>
      </w:r>
      <w:r>
        <w:fldChar w:fldCharType="end"/>
      </w:r>
    </w:p>
    <w:p w:rsidR="004F31D3" w:rsidRDefault="00D13D16">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_Toc272150284 \h </w:instrText>
      </w:r>
      <w:r>
        <w:fldChar w:fldCharType="separate"/>
      </w:r>
      <w:r w:rsidR="00652EA8">
        <w:t>11</w:t>
      </w:r>
      <w:r>
        <w:fldChar w:fldCharType="end"/>
      </w:r>
    </w:p>
    <w:p w:rsidR="004F31D3" w:rsidRDefault="00D13D16">
      <w:pPr>
        <w:pStyle w:val="TOC2"/>
        <w:tabs>
          <w:tab w:val="right" w:leader="dot" w:pos="7086"/>
        </w:tabs>
        <w:rPr>
          <w:b w:val="0"/>
          <w:sz w:val="24"/>
          <w:szCs w:val="24"/>
        </w:rPr>
      </w:pPr>
      <w:r>
        <w:rPr>
          <w:szCs w:val="26"/>
        </w:rPr>
        <w:t>Notes</w:t>
      </w:r>
    </w:p>
    <w:p w:rsidR="004F31D3" w:rsidRDefault="00D13D16">
      <w:pPr>
        <w:pStyle w:val="TOC8"/>
        <w:rPr>
          <w:sz w:val="24"/>
          <w:szCs w:val="24"/>
        </w:rPr>
      </w:pPr>
      <w:r>
        <w:rPr>
          <w:snapToGrid w:val="0"/>
          <w:szCs w:val="24"/>
        </w:rPr>
        <w:tab/>
        <w:t>Compilation table</w:t>
      </w:r>
      <w:r>
        <w:tab/>
      </w:r>
      <w:r>
        <w:fldChar w:fldCharType="begin"/>
      </w:r>
      <w:r>
        <w:instrText xml:space="preserve"> PAGEREF _Toc272150286 \h </w:instrText>
      </w:r>
      <w:r>
        <w:fldChar w:fldCharType="separate"/>
      </w:r>
      <w:r w:rsidR="00652EA8">
        <w:t>13</w:t>
      </w:r>
      <w:r>
        <w:fldChar w:fldCharType="end"/>
      </w:r>
    </w:p>
    <w:p w:rsidR="004F31D3" w:rsidRDefault="00D13D16">
      <w:pPr>
        <w:pStyle w:val="TOC8"/>
        <w:rPr>
          <w:sz w:val="24"/>
        </w:rPr>
      </w:pPr>
      <w:r>
        <w:tab/>
        <w:t>Provisions that have not come into operation</w:t>
      </w:r>
      <w:r>
        <w:tab/>
      </w:r>
      <w:r>
        <w:fldChar w:fldCharType="begin"/>
      </w:r>
      <w:r>
        <w:instrText xml:space="preserve"> PAGEREF _Toc272150287 \h </w:instrText>
      </w:r>
      <w:r>
        <w:fldChar w:fldCharType="separate"/>
      </w:r>
      <w:r w:rsidR="00652EA8">
        <w:t>14</w:t>
      </w:r>
      <w:r>
        <w:fldChar w:fldCharType="end"/>
      </w:r>
    </w:p>
    <w:p w:rsidR="004F31D3" w:rsidRDefault="00D13D16">
      <w:pPr>
        <w:pStyle w:val="TOC2"/>
      </w:pPr>
      <w:r>
        <w:fldChar w:fldCharType="end"/>
      </w:r>
    </w:p>
    <w:p w:rsidR="004F31D3" w:rsidRDefault="00D13D16">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F31D3" w:rsidRDefault="004F31D3">
      <w:pPr>
        <w:pStyle w:val="NoteHeading"/>
        <w:sectPr w:rsidR="004F31D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F31D3" w:rsidRDefault="00D13D16">
      <w:pPr>
        <w:pStyle w:val="WA"/>
        <w:spacing w:before="120"/>
      </w:pPr>
      <w:r>
        <w:t>Western Australia</w:t>
      </w:r>
    </w:p>
    <w:p w:rsidR="004F31D3" w:rsidRDefault="00D13D16">
      <w:pPr>
        <w:pStyle w:val="NameofActReg"/>
        <w:suppressLineNumbers/>
      </w:pPr>
      <w:r>
        <w:t>Health Professionals (Special Events Exemption) Act 2000</w:t>
      </w:r>
    </w:p>
    <w:p w:rsidR="004F31D3" w:rsidRDefault="00D13D16">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4F31D3" w:rsidRDefault="00D13D16">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4F31D3" w:rsidRDefault="00D13D16">
      <w:pPr>
        <w:pStyle w:val="Heading5"/>
        <w:rPr>
          <w:snapToGrid w:val="0"/>
        </w:rPr>
      </w:pPr>
      <w:bookmarkStart w:id="32" w:name="_Toc479743292"/>
      <w:bookmarkStart w:id="33" w:name="_Toc122252516"/>
      <w:bookmarkStart w:id="34" w:name="_Toc122252622"/>
      <w:bookmarkStart w:id="35" w:name="_Toc272150266"/>
      <w:r>
        <w:rPr>
          <w:rStyle w:val="CharSectno"/>
        </w:rPr>
        <w:t>1</w:t>
      </w:r>
      <w:r>
        <w:rPr>
          <w:snapToGrid w:val="0"/>
        </w:rPr>
        <w:t>.</w:t>
      </w:r>
      <w:r>
        <w:rPr>
          <w:snapToGrid w:val="0"/>
        </w:rPr>
        <w:tab/>
        <w:t>Short title</w:t>
      </w:r>
      <w:bookmarkEnd w:id="32"/>
      <w:bookmarkEnd w:id="33"/>
      <w:bookmarkEnd w:id="34"/>
      <w:bookmarkEnd w:id="35"/>
    </w:p>
    <w:p w:rsidR="004F31D3" w:rsidRDefault="00D13D16">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4F31D3" w:rsidRDefault="00D13D16">
      <w:pPr>
        <w:pStyle w:val="Heading5"/>
        <w:rPr>
          <w:snapToGrid w:val="0"/>
        </w:rPr>
      </w:pPr>
      <w:bookmarkStart w:id="36" w:name="Start_Cursor"/>
      <w:bookmarkStart w:id="37" w:name="_Toc479743293"/>
      <w:bookmarkStart w:id="38" w:name="_Toc122252517"/>
      <w:bookmarkStart w:id="39" w:name="_Toc122252623"/>
      <w:bookmarkStart w:id="40" w:name="_Toc272150267"/>
      <w:bookmarkEnd w:id="36"/>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rsidR="004F31D3" w:rsidRDefault="00D13D16">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4F31D3" w:rsidRDefault="00D13D16">
      <w:pPr>
        <w:pStyle w:val="Heading5"/>
        <w:rPr>
          <w:snapToGrid w:val="0"/>
        </w:rPr>
      </w:pPr>
      <w:bookmarkStart w:id="41" w:name="_Toc479743294"/>
      <w:bookmarkStart w:id="42" w:name="_Toc122252518"/>
      <w:bookmarkStart w:id="43" w:name="_Toc122252624"/>
      <w:bookmarkStart w:id="44" w:name="_Toc272150268"/>
      <w:r>
        <w:rPr>
          <w:rStyle w:val="CharSectno"/>
        </w:rPr>
        <w:t>3</w:t>
      </w:r>
      <w:r>
        <w:rPr>
          <w:snapToGrid w:val="0"/>
        </w:rPr>
        <w:t>.</w:t>
      </w:r>
      <w:r>
        <w:rPr>
          <w:snapToGrid w:val="0"/>
        </w:rPr>
        <w:tab/>
      </w:r>
      <w:bookmarkEnd w:id="41"/>
      <w:bookmarkEnd w:id="42"/>
      <w:bookmarkEnd w:id="43"/>
      <w:r>
        <w:rPr>
          <w:snapToGrid w:val="0"/>
        </w:rPr>
        <w:t>Terms used in this Act</w:t>
      </w:r>
      <w:bookmarkEnd w:id="44"/>
    </w:p>
    <w:p w:rsidR="004F31D3" w:rsidRDefault="00D13D16">
      <w:pPr>
        <w:pStyle w:val="Subsection"/>
        <w:rPr>
          <w:snapToGrid w:val="0"/>
        </w:rPr>
      </w:pPr>
      <w:r>
        <w:rPr>
          <w:snapToGrid w:val="0"/>
        </w:rPr>
        <w:tab/>
        <w:t>(1)</w:t>
      </w:r>
      <w:r>
        <w:rPr>
          <w:snapToGrid w:val="0"/>
        </w:rPr>
        <w:tab/>
        <w:t>In this Act, unless the contrary intention appears — </w:t>
      </w:r>
    </w:p>
    <w:p w:rsidR="004F31D3" w:rsidRDefault="00D13D16">
      <w:pPr>
        <w:pStyle w:val="Defstart"/>
      </w:pPr>
      <w:r>
        <w:rPr>
          <w:b/>
        </w:rPr>
        <w:tab/>
      </w:r>
      <w:r>
        <w:rPr>
          <w:rStyle w:val="CharDefText"/>
        </w:rPr>
        <w:t>drug of addiction</w:t>
      </w:r>
      <w:r>
        <w:t xml:space="preserve"> means a substance included in Schedule 8 in Appendix A to the </w:t>
      </w:r>
      <w:r>
        <w:rPr>
          <w:i/>
        </w:rPr>
        <w:t>Poisons Act 1964</w:t>
      </w:r>
      <w:r>
        <w:t>;</w:t>
      </w:r>
    </w:p>
    <w:p w:rsidR="004F31D3" w:rsidRDefault="00D13D16">
      <w:pPr>
        <w:pStyle w:val="Defstart"/>
      </w:pPr>
      <w:r>
        <w:rPr>
          <w:b/>
        </w:rPr>
        <w:tab/>
      </w:r>
      <w:r>
        <w:rPr>
          <w:rStyle w:val="CharDefText"/>
        </w:rPr>
        <w:t>exemption period</w:t>
      </w:r>
      <w:r>
        <w:t>, in relation to a special event, means the period or periods specified in an order under section 6 that applies to the event;</w:t>
      </w:r>
    </w:p>
    <w:p w:rsidR="004F31D3" w:rsidRDefault="00D13D16">
      <w:pPr>
        <w:pStyle w:val="Defstart"/>
      </w:pPr>
      <w:r>
        <w:rPr>
          <w:b/>
        </w:rPr>
        <w:tab/>
      </w:r>
      <w:r>
        <w:rPr>
          <w:rStyle w:val="CharDefText"/>
        </w:rPr>
        <w:t>health care services</w:t>
      </w:r>
      <w:r>
        <w:t xml:space="preserve"> means — </w:t>
      </w:r>
    </w:p>
    <w:p w:rsidR="004F31D3" w:rsidRDefault="00D13D16">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4F31D3" w:rsidRDefault="00D13D16">
      <w:pPr>
        <w:pStyle w:val="Defpara"/>
      </w:pPr>
      <w:r>
        <w:tab/>
        <w:t>(b)</w:t>
      </w:r>
      <w:r>
        <w:tab/>
        <w:t>any other prescribed health care service;</w:t>
      </w:r>
    </w:p>
    <w:p w:rsidR="004F31D3" w:rsidRDefault="00D13D16">
      <w:pPr>
        <w:pStyle w:val="Defstart"/>
      </w:pPr>
      <w:r>
        <w:rPr>
          <w:b/>
        </w:rPr>
        <w:tab/>
      </w:r>
      <w:r>
        <w:rPr>
          <w:rStyle w:val="CharDefText"/>
        </w:rPr>
        <w:t>Health Registration Act</w:t>
      </w:r>
      <w:r>
        <w:t xml:space="preserve"> means any of the following Acts — </w:t>
      </w:r>
    </w:p>
    <w:p w:rsidR="004F31D3" w:rsidRDefault="00D13D16">
      <w:pPr>
        <w:pStyle w:val="Defpara"/>
        <w:ind w:hanging="759"/>
        <w:rPr>
          <w:i/>
        </w:rPr>
      </w:pPr>
      <w:r>
        <w:rPr>
          <w:iCs/>
        </w:rPr>
        <w:tab/>
        <w:t>(a)</w:t>
      </w:r>
      <w:r>
        <w:rPr>
          <w:iCs/>
        </w:rPr>
        <w:tab/>
      </w:r>
      <w:r>
        <w:rPr>
          <w:i/>
        </w:rPr>
        <w:t>Chiropractors Act 2005</w:t>
      </w:r>
      <w:r>
        <w:rPr>
          <w:iCs/>
        </w:rPr>
        <w:t>;</w:t>
      </w:r>
    </w:p>
    <w:p w:rsidR="004F31D3" w:rsidRDefault="00D13D16">
      <w:pPr>
        <w:pStyle w:val="Defpara"/>
        <w:ind w:hanging="759"/>
        <w:rPr>
          <w:iCs/>
        </w:rPr>
      </w:pPr>
      <w:r>
        <w:rPr>
          <w:iCs/>
        </w:rPr>
        <w:tab/>
        <w:t>(b)</w:t>
      </w:r>
      <w:r>
        <w:rPr>
          <w:iCs/>
        </w:rPr>
        <w:tab/>
      </w:r>
      <w:r>
        <w:rPr>
          <w:i/>
        </w:rPr>
        <w:t>Dental Act 1939</w:t>
      </w:r>
      <w:r>
        <w:rPr>
          <w:iCs/>
        </w:rPr>
        <w:t>;</w:t>
      </w:r>
    </w:p>
    <w:p w:rsidR="004F31D3" w:rsidRDefault="00D13D16">
      <w:pPr>
        <w:pStyle w:val="Defpara"/>
        <w:ind w:hanging="759"/>
      </w:pPr>
      <w:r>
        <w:tab/>
        <w:t>(c)</w:t>
      </w:r>
      <w:r>
        <w:tab/>
      </w:r>
      <w:r>
        <w:rPr>
          <w:i/>
          <w:iCs/>
        </w:rPr>
        <w:t>Dental Prosthetists Act 1985</w:t>
      </w:r>
      <w:r>
        <w:t>;</w:t>
      </w:r>
    </w:p>
    <w:p w:rsidR="004F31D3" w:rsidRDefault="00D13D16">
      <w:pPr>
        <w:pStyle w:val="Defpara"/>
        <w:ind w:hanging="759"/>
      </w:pPr>
      <w:r>
        <w:tab/>
        <w:t>(d)</w:t>
      </w:r>
      <w:r>
        <w:tab/>
      </w:r>
      <w:r>
        <w:rPr>
          <w:i/>
        </w:rPr>
        <w:t>Medical Practitioners Act 2008</w:t>
      </w:r>
      <w:r>
        <w:rPr>
          <w:iCs/>
        </w:rPr>
        <w:t>;</w:t>
      </w:r>
    </w:p>
    <w:p w:rsidR="004F31D3" w:rsidRDefault="00D13D16">
      <w:pPr>
        <w:pStyle w:val="Defpara"/>
        <w:ind w:hanging="759"/>
        <w:rPr>
          <w:i/>
          <w:iCs/>
        </w:rPr>
      </w:pPr>
      <w:r>
        <w:rPr>
          <w:iCs/>
        </w:rPr>
        <w:tab/>
        <w:t>(e)</w:t>
      </w:r>
      <w:r>
        <w:rPr>
          <w:iCs/>
        </w:rPr>
        <w:tab/>
      </w:r>
      <w:r>
        <w:rPr>
          <w:i/>
        </w:rPr>
        <w:t>Medical Radiation Technologists Act 2006</w:t>
      </w:r>
      <w:r>
        <w:rPr>
          <w:iCs/>
        </w:rPr>
        <w:t>;</w:t>
      </w:r>
    </w:p>
    <w:p w:rsidR="004F31D3" w:rsidRDefault="00D13D16">
      <w:pPr>
        <w:pStyle w:val="Defpara"/>
        <w:ind w:hanging="759"/>
        <w:rPr>
          <w:iCs/>
        </w:rPr>
      </w:pPr>
      <w:r>
        <w:rPr>
          <w:iCs/>
        </w:rPr>
        <w:tab/>
        <w:t>(f)</w:t>
      </w:r>
      <w:r>
        <w:rPr>
          <w:iCs/>
        </w:rPr>
        <w:tab/>
      </w:r>
      <w:r>
        <w:rPr>
          <w:i/>
        </w:rPr>
        <w:t>Nurses and Midwives Act 2006</w:t>
      </w:r>
      <w:r>
        <w:rPr>
          <w:iCs/>
        </w:rPr>
        <w:t>;</w:t>
      </w:r>
    </w:p>
    <w:p w:rsidR="004F31D3" w:rsidRDefault="00D13D16">
      <w:pPr>
        <w:pStyle w:val="Defpara"/>
        <w:ind w:hanging="759"/>
      </w:pPr>
      <w:r>
        <w:rPr>
          <w:iCs/>
        </w:rPr>
        <w:tab/>
        <w:t>(g)</w:t>
      </w:r>
      <w:r>
        <w:rPr>
          <w:iCs/>
        </w:rPr>
        <w:tab/>
      </w:r>
      <w:r>
        <w:rPr>
          <w:i/>
        </w:rPr>
        <w:t>Occupational Therapists Act 2005</w:t>
      </w:r>
      <w:r>
        <w:rPr>
          <w:iCs/>
        </w:rPr>
        <w:t>;</w:t>
      </w:r>
    </w:p>
    <w:p w:rsidR="004F31D3" w:rsidRDefault="00D13D16">
      <w:pPr>
        <w:pStyle w:val="Defpara"/>
        <w:ind w:hanging="759"/>
      </w:pPr>
      <w:r>
        <w:tab/>
        <w:t>(h)</w:t>
      </w:r>
      <w:r>
        <w:tab/>
      </w:r>
      <w:r>
        <w:rPr>
          <w:i/>
        </w:rPr>
        <w:t>Optometrists Act 2005</w:t>
      </w:r>
      <w:r>
        <w:t>;</w:t>
      </w:r>
    </w:p>
    <w:p w:rsidR="004F31D3" w:rsidRDefault="00D13D16">
      <w:pPr>
        <w:pStyle w:val="Defpara"/>
        <w:ind w:hanging="759"/>
      </w:pPr>
      <w:r>
        <w:tab/>
        <w:t>(i)</w:t>
      </w:r>
      <w:r>
        <w:tab/>
      </w:r>
      <w:r>
        <w:rPr>
          <w:i/>
          <w:iCs/>
        </w:rPr>
        <w:t>Osteopaths Act 2005</w:t>
      </w:r>
      <w:r>
        <w:t>;</w:t>
      </w:r>
    </w:p>
    <w:p w:rsidR="004F31D3" w:rsidRDefault="00D13D16">
      <w:pPr>
        <w:pStyle w:val="Defpara"/>
        <w:ind w:hanging="759"/>
      </w:pPr>
      <w:r>
        <w:tab/>
        <w:t>(j)</w:t>
      </w:r>
      <w:r>
        <w:tab/>
      </w:r>
      <w:r>
        <w:rPr>
          <w:i/>
          <w:iCs/>
        </w:rPr>
        <w:t>Pharmacy Act 1964</w:t>
      </w:r>
      <w:r>
        <w:t>;</w:t>
      </w:r>
    </w:p>
    <w:p w:rsidR="004F31D3" w:rsidRDefault="00D13D16">
      <w:pPr>
        <w:pStyle w:val="Defpara"/>
        <w:ind w:hanging="759"/>
        <w:rPr>
          <w:i/>
          <w:iCs/>
        </w:rPr>
      </w:pPr>
      <w:r>
        <w:tab/>
        <w:t>(k)</w:t>
      </w:r>
      <w:r>
        <w:tab/>
      </w:r>
      <w:r>
        <w:rPr>
          <w:i/>
        </w:rPr>
        <w:t>Physiotherapists Act 2005</w:t>
      </w:r>
      <w:r>
        <w:t>;</w:t>
      </w:r>
    </w:p>
    <w:p w:rsidR="004F31D3" w:rsidRDefault="00D13D16">
      <w:pPr>
        <w:pStyle w:val="Defpara"/>
        <w:ind w:hanging="759"/>
      </w:pPr>
      <w:r>
        <w:tab/>
        <w:t>(l)</w:t>
      </w:r>
      <w:r>
        <w:tab/>
      </w:r>
      <w:r>
        <w:rPr>
          <w:i/>
          <w:iCs/>
        </w:rPr>
        <w:t>Podiatrists Act 2005</w:t>
      </w:r>
      <w:r>
        <w:t>;</w:t>
      </w:r>
    </w:p>
    <w:p w:rsidR="004F31D3" w:rsidRDefault="00D13D16">
      <w:pPr>
        <w:pStyle w:val="Defpara"/>
        <w:ind w:hanging="759"/>
      </w:pPr>
      <w:r>
        <w:tab/>
        <w:t>(m)</w:t>
      </w:r>
      <w:r>
        <w:tab/>
      </w:r>
      <w:r>
        <w:rPr>
          <w:i/>
          <w:iCs/>
        </w:rPr>
        <w:t>Psychologists Act 2005</w:t>
      </w:r>
      <w:r>
        <w:t>;</w:t>
      </w:r>
    </w:p>
    <w:p w:rsidR="004F31D3" w:rsidRDefault="00D13D16">
      <w:pPr>
        <w:pStyle w:val="Defstart"/>
      </w:pPr>
      <w:r>
        <w:rPr>
          <w:b/>
        </w:rPr>
        <w:tab/>
      </w:r>
      <w:r>
        <w:rPr>
          <w:rStyle w:val="CharDefText"/>
        </w:rPr>
        <w:t>prepare</w:t>
      </w:r>
      <w:r>
        <w:t xml:space="preserve"> includes train, practise, rehearse and acclimatize;</w:t>
      </w:r>
    </w:p>
    <w:p w:rsidR="004F31D3" w:rsidRDefault="00D13D16">
      <w:pPr>
        <w:pStyle w:val="Defstart"/>
      </w:pPr>
      <w:r>
        <w:rPr>
          <w:b/>
        </w:rPr>
        <w:tab/>
      </w:r>
      <w:r>
        <w:rPr>
          <w:rStyle w:val="CharDefText"/>
        </w:rPr>
        <w:t>registered</w:t>
      </w:r>
      <w:r>
        <w:t xml:space="preserve"> means registered, licensed or enrolled under a Health Registration Act, or deemed to be so registered, licensed or enrolled;</w:t>
      </w:r>
    </w:p>
    <w:p w:rsidR="004F31D3" w:rsidRDefault="00D13D16">
      <w:pPr>
        <w:pStyle w:val="Defstart"/>
      </w:pPr>
      <w:r>
        <w:rPr>
          <w:b/>
        </w:rPr>
        <w:tab/>
      </w:r>
      <w:r>
        <w:rPr>
          <w:rStyle w:val="CharDefText"/>
        </w:rPr>
        <w:t>restricted substance</w:t>
      </w:r>
      <w:r>
        <w:t xml:space="preserve"> means a substance included in Schedule 4 in Appendix A to the </w:t>
      </w:r>
      <w:r>
        <w:rPr>
          <w:i/>
        </w:rPr>
        <w:t>Poisons Act 1964</w:t>
      </w:r>
      <w:r>
        <w:t>;</w:t>
      </w:r>
    </w:p>
    <w:p w:rsidR="004F31D3" w:rsidRDefault="00D13D16">
      <w:pPr>
        <w:pStyle w:val="Defstart"/>
      </w:pPr>
      <w:r>
        <w:rPr>
          <w:b/>
        </w:rPr>
        <w:tab/>
      </w:r>
      <w:r>
        <w:rPr>
          <w:rStyle w:val="CharDefText"/>
        </w:rPr>
        <w:t>special event</w:t>
      </w:r>
      <w:r>
        <w:t xml:space="preserve"> means an event, or class of event, that is declared to be a special event by order under section 6;</w:t>
      </w:r>
    </w:p>
    <w:p w:rsidR="004F31D3" w:rsidRDefault="00D13D16">
      <w:pPr>
        <w:pStyle w:val="Defstart"/>
      </w:pPr>
      <w:r>
        <w:rPr>
          <w:b/>
        </w:rPr>
        <w:tab/>
      </w:r>
      <w:r>
        <w:rPr>
          <w:rStyle w:val="CharDefText"/>
        </w:rPr>
        <w:t>substance</w:t>
      </w:r>
      <w:r>
        <w:t xml:space="preserve"> has the meaning given by the </w:t>
      </w:r>
      <w:r>
        <w:rPr>
          <w:i/>
        </w:rPr>
        <w:t>Poisons Act 1964</w:t>
      </w:r>
      <w:r>
        <w:t>;</w:t>
      </w:r>
    </w:p>
    <w:p w:rsidR="004F31D3" w:rsidRDefault="00D13D16">
      <w:pPr>
        <w:pStyle w:val="Defstart"/>
      </w:pPr>
      <w:r>
        <w:rPr>
          <w:b/>
        </w:rPr>
        <w:tab/>
      </w:r>
      <w:r>
        <w:rPr>
          <w:rStyle w:val="CharDefText"/>
        </w:rPr>
        <w:t>visiting health professional</w:t>
      </w:r>
      <w:r>
        <w:t xml:space="preserve"> has the meaning given by section 5;</w:t>
      </w:r>
    </w:p>
    <w:p w:rsidR="004F31D3" w:rsidRDefault="00D13D16">
      <w:pPr>
        <w:pStyle w:val="Defstart"/>
      </w:pPr>
      <w:r>
        <w:rPr>
          <w:b/>
        </w:rPr>
        <w:tab/>
      </w:r>
      <w:r>
        <w:rPr>
          <w:rStyle w:val="CharDefText"/>
        </w:rPr>
        <w:t>visitor</w:t>
      </w:r>
      <w:r>
        <w:t xml:space="preserve"> has the meaning given by section 4.</w:t>
      </w:r>
    </w:p>
    <w:p w:rsidR="004F31D3" w:rsidRDefault="00D13D16">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4F31D3" w:rsidRDefault="00D13D16">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w:t>
      </w:r>
    </w:p>
    <w:p w:rsidR="004F31D3" w:rsidRDefault="00D13D16">
      <w:pPr>
        <w:pStyle w:val="Heading5"/>
        <w:rPr>
          <w:snapToGrid w:val="0"/>
        </w:rPr>
      </w:pPr>
      <w:bookmarkStart w:id="45" w:name="_Toc479743295"/>
      <w:bookmarkStart w:id="46" w:name="_Toc122252519"/>
      <w:bookmarkStart w:id="47" w:name="_Toc122252625"/>
      <w:bookmarkStart w:id="48" w:name="_Toc272150269"/>
      <w:r>
        <w:rPr>
          <w:rStyle w:val="CharSectno"/>
        </w:rPr>
        <w:t>4</w:t>
      </w:r>
      <w:r>
        <w:rPr>
          <w:snapToGrid w:val="0"/>
        </w:rPr>
        <w:t>.</w:t>
      </w:r>
      <w:r>
        <w:rPr>
          <w:snapToGrid w:val="0"/>
        </w:rPr>
        <w:tab/>
        <w:t>Meaning of “visitor”</w:t>
      </w:r>
      <w:bookmarkEnd w:id="45"/>
      <w:bookmarkEnd w:id="46"/>
      <w:bookmarkEnd w:id="47"/>
      <w:bookmarkEnd w:id="48"/>
      <w:r>
        <w:rPr>
          <w:snapToGrid w:val="0"/>
        </w:rPr>
        <w:t xml:space="preserve"> </w:t>
      </w:r>
    </w:p>
    <w:p w:rsidR="004F31D3" w:rsidRDefault="00D13D16">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rsidR="004F31D3" w:rsidRDefault="00D13D16">
      <w:pPr>
        <w:pStyle w:val="Indenta"/>
        <w:rPr>
          <w:snapToGrid w:val="0"/>
        </w:rPr>
      </w:pPr>
      <w:r>
        <w:rPr>
          <w:snapToGrid w:val="0"/>
        </w:rPr>
        <w:tab/>
        <w:t>(a)</w:t>
      </w:r>
      <w:r>
        <w:rPr>
          <w:snapToGrid w:val="0"/>
        </w:rPr>
        <w:tab/>
        <w:t>the person is a resident of another country who is in the State for the purpose of — </w:t>
      </w:r>
    </w:p>
    <w:p w:rsidR="004F31D3" w:rsidRDefault="00D13D16">
      <w:pPr>
        <w:pStyle w:val="Indenti"/>
        <w:rPr>
          <w:snapToGrid w:val="0"/>
        </w:rPr>
      </w:pPr>
      <w:r>
        <w:rPr>
          <w:snapToGrid w:val="0"/>
        </w:rPr>
        <w:tab/>
        <w:t>(i)</w:t>
      </w:r>
      <w:r>
        <w:rPr>
          <w:snapToGrid w:val="0"/>
        </w:rPr>
        <w:tab/>
        <w:t>officially participating in a special event; or</w:t>
      </w:r>
    </w:p>
    <w:p w:rsidR="004F31D3" w:rsidRDefault="00D13D16">
      <w:pPr>
        <w:pStyle w:val="Indenti"/>
        <w:rPr>
          <w:snapToGrid w:val="0"/>
        </w:rPr>
      </w:pPr>
      <w:r>
        <w:rPr>
          <w:snapToGrid w:val="0"/>
        </w:rPr>
        <w:tab/>
        <w:t>(ii)</w:t>
      </w:r>
      <w:r>
        <w:rPr>
          <w:snapToGrid w:val="0"/>
        </w:rPr>
        <w:tab/>
        <w:t xml:space="preserve">preparing for official participation in a special event; </w:t>
      </w:r>
    </w:p>
    <w:p w:rsidR="004F31D3" w:rsidRDefault="00D13D16">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4F31D3" w:rsidRDefault="00D13D16">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4F31D3" w:rsidRDefault="00D13D16">
      <w:pPr>
        <w:pStyle w:val="Heading5"/>
        <w:rPr>
          <w:snapToGrid w:val="0"/>
        </w:rPr>
      </w:pPr>
      <w:bookmarkStart w:id="49" w:name="_Toc479743296"/>
      <w:bookmarkStart w:id="50" w:name="_Toc122252520"/>
      <w:bookmarkStart w:id="51" w:name="_Toc122252626"/>
      <w:bookmarkStart w:id="52" w:name="_Toc272150270"/>
      <w:r>
        <w:rPr>
          <w:rStyle w:val="CharSectno"/>
        </w:rPr>
        <w:t>5</w:t>
      </w:r>
      <w:r>
        <w:rPr>
          <w:snapToGrid w:val="0"/>
        </w:rPr>
        <w:t>.</w:t>
      </w:r>
      <w:r>
        <w:rPr>
          <w:snapToGrid w:val="0"/>
        </w:rPr>
        <w:tab/>
        <w:t>Meaning of “visiting health professional”</w:t>
      </w:r>
      <w:bookmarkEnd w:id="49"/>
      <w:bookmarkEnd w:id="50"/>
      <w:bookmarkEnd w:id="51"/>
      <w:bookmarkEnd w:id="52"/>
      <w:r>
        <w:rPr>
          <w:snapToGrid w:val="0"/>
        </w:rPr>
        <w:t xml:space="preserve"> </w:t>
      </w:r>
    </w:p>
    <w:p w:rsidR="004F31D3" w:rsidRDefault="00D13D16">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rsidR="004F31D3" w:rsidRDefault="00D13D16">
      <w:pPr>
        <w:pStyle w:val="Indenta"/>
        <w:rPr>
          <w:snapToGrid w:val="0"/>
        </w:rPr>
      </w:pPr>
      <w:r>
        <w:rPr>
          <w:snapToGrid w:val="0"/>
        </w:rPr>
        <w:tab/>
        <w:t>(a)</w:t>
      </w:r>
      <w:r>
        <w:rPr>
          <w:snapToGrid w:val="0"/>
        </w:rPr>
        <w:tab/>
        <w:t>the person is an individual who is a resident of another country;</w:t>
      </w:r>
    </w:p>
    <w:p w:rsidR="004F31D3" w:rsidRDefault="00D13D16">
      <w:pPr>
        <w:pStyle w:val="Indenta"/>
        <w:rPr>
          <w:snapToGrid w:val="0"/>
        </w:rPr>
      </w:pPr>
      <w:r>
        <w:rPr>
          <w:snapToGrid w:val="0"/>
        </w:rPr>
        <w:tab/>
        <w:t>(b)</w:t>
      </w:r>
      <w:r>
        <w:rPr>
          <w:snapToGrid w:val="0"/>
        </w:rPr>
        <w:tab/>
        <w:t>the person is appointed, employed, contracted or otherwise engaged to provide health care services to a visitor;</w:t>
      </w:r>
    </w:p>
    <w:p w:rsidR="004F31D3" w:rsidRDefault="00D13D16">
      <w:pPr>
        <w:pStyle w:val="Indenta"/>
        <w:rPr>
          <w:snapToGrid w:val="0"/>
        </w:rPr>
      </w:pPr>
      <w:r>
        <w:rPr>
          <w:snapToGrid w:val="0"/>
        </w:rPr>
        <w:tab/>
        <w:t>(c)</w:t>
      </w:r>
      <w:r>
        <w:rPr>
          <w:snapToGrid w:val="0"/>
        </w:rPr>
        <w:tab/>
      </w:r>
      <w:r>
        <w:t>the person is not registered;</w:t>
      </w:r>
      <w:r>
        <w:rPr>
          <w:snapToGrid w:val="0"/>
        </w:rPr>
        <w:t xml:space="preserve"> and</w:t>
      </w:r>
    </w:p>
    <w:p w:rsidR="004F31D3" w:rsidRDefault="00D13D16">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4F31D3" w:rsidRDefault="00D13D16">
      <w:pPr>
        <w:pStyle w:val="Heading2"/>
      </w:pPr>
      <w:bookmarkStart w:id="53" w:name="_Toc122252407"/>
      <w:bookmarkStart w:id="54" w:name="_Toc122252495"/>
      <w:bookmarkStart w:id="55" w:name="_Toc122252521"/>
      <w:bookmarkStart w:id="56" w:name="_Toc122252604"/>
      <w:bookmarkStart w:id="57" w:name="_Toc122252627"/>
      <w:bookmarkStart w:id="58" w:name="_Toc122252730"/>
      <w:bookmarkStart w:id="59" w:name="_Toc122852211"/>
      <w:bookmarkStart w:id="60" w:name="_Toc122853543"/>
      <w:bookmarkStart w:id="61" w:name="_Toc122854049"/>
      <w:bookmarkStart w:id="62" w:name="_Toc122926405"/>
      <w:bookmarkStart w:id="63" w:name="_Toc122940324"/>
      <w:bookmarkStart w:id="64" w:name="_Toc135132390"/>
      <w:bookmarkStart w:id="65" w:name="_Toc159746489"/>
      <w:bookmarkStart w:id="66" w:name="_Toc165446611"/>
      <w:bookmarkStart w:id="67" w:name="_Toc165709268"/>
      <w:bookmarkStart w:id="68" w:name="_Toc165969575"/>
      <w:bookmarkStart w:id="69" w:name="_Toc168128409"/>
      <w:bookmarkStart w:id="70" w:name="_Toc170787017"/>
      <w:bookmarkStart w:id="71" w:name="_Toc170787356"/>
      <w:bookmarkStart w:id="72" w:name="_Toc173644230"/>
      <w:bookmarkStart w:id="73" w:name="_Toc173731357"/>
      <w:bookmarkStart w:id="74" w:name="_Toc175726818"/>
      <w:bookmarkStart w:id="75" w:name="_Toc175731251"/>
      <w:bookmarkStart w:id="76" w:name="_Toc178144669"/>
      <w:bookmarkStart w:id="77" w:name="_Toc179601143"/>
      <w:bookmarkStart w:id="78" w:name="_Toc181523004"/>
      <w:bookmarkStart w:id="79" w:name="_Toc199816909"/>
      <w:bookmarkStart w:id="80" w:name="_Toc215483937"/>
      <w:bookmarkStart w:id="81" w:name="_Toc268262224"/>
      <w:bookmarkStart w:id="82" w:name="_Toc272150271"/>
      <w:r>
        <w:rPr>
          <w:rStyle w:val="CharPartNo"/>
        </w:rPr>
        <w:t>Part 2</w:t>
      </w:r>
      <w:r>
        <w:rPr>
          <w:rStyle w:val="CharDivNo"/>
        </w:rPr>
        <w:t> </w:t>
      </w:r>
      <w:r>
        <w:t>—</w:t>
      </w:r>
      <w:r>
        <w:rPr>
          <w:rStyle w:val="CharDivText"/>
        </w:rPr>
        <w:t> </w:t>
      </w:r>
      <w:r>
        <w:rPr>
          <w:rStyle w:val="CharPartText"/>
        </w:rPr>
        <w:t>Special events exemptions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4F31D3" w:rsidRDefault="00D13D16">
      <w:pPr>
        <w:pStyle w:val="Heading5"/>
        <w:rPr>
          <w:snapToGrid w:val="0"/>
        </w:rPr>
      </w:pPr>
      <w:bookmarkStart w:id="83" w:name="_Toc479743297"/>
      <w:bookmarkStart w:id="84" w:name="_Toc122252522"/>
      <w:bookmarkStart w:id="85" w:name="_Toc122252628"/>
      <w:bookmarkStart w:id="86" w:name="_Toc272150272"/>
      <w:r>
        <w:rPr>
          <w:rStyle w:val="CharSectno"/>
        </w:rPr>
        <w:t>6</w:t>
      </w:r>
      <w:r>
        <w:rPr>
          <w:snapToGrid w:val="0"/>
        </w:rPr>
        <w:t>.</w:t>
      </w:r>
      <w:r>
        <w:rPr>
          <w:snapToGrid w:val="0"/>
        </w:rPr>
        <w:tab/>
        <w:t>Special events</w:t>
      </w:r>
      <w:bookmarkEnd w:id="83"/>
      <w:bookmarkEnd w:id="84"/>
      <w:bookmarkEnd w:id="85"/>
      <w:bookmarkEnd w:id="86"/>
      <w:r>
        <w:rPr>
          <w:snapToGrid w:val="0"/>
        </w:rPr>
        <w:t xml:space="preserve"> </w:t>
      </w:r>
    </w:p>
    <w:p w:rsidR="004F31D3" w:rsidRDefault="00D13D16">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4F31D3" w:rsidRDefault="00D13D16">
      <w:pPr>
        <w:pStyle w:val="Subsection"/>
        <w:rPr>
          <w:snapToGrid w:val="0"/>
        </w:rPr>
      </w:pPr>
      <w:r>
        <w:rPr>
          <w:snapToGrid w:val="0"/>
        </w:rPr>
        <w:tab/>
        <w:t>(2)</w:t>
      </w:r>
      <w:r>
        <w:rPr>
          <w:snapToGrid w:val="0"/>
        </w:rPr>
        <w:tab/>
        <w:t>An order may be made in relation to — </w:t>
      </w:r>
    </w:p>
    <w:p w:rsidR="004F31D3" w:rsidRDefault="00D13D16">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4F31D3" w:rsidRDefault="00D13D16">
      <w:pPr>
        <w:pStyle w:val="Indenta"/>
        <w:rPr>
          <w:snapToGrid w:val="0"/>
        </w:rPr>
      </w:pPr>
      <w:r>
        <w:rPr>
          <w:snapToGrid w:val="0"/>
        </w:rPr>
        <w:tab/>
        <w:t>(b)</w:t>
      </w:r>
      <w:r>
        <w:rPr>
          <w:snapToGrid w:val="0"/>
        </w:rPr>
        <w:tab/>
        <w:t xml:space="preserve">any sporting, cultural or other event that — </w:t>
      </w:r>
    </w:p>
    <w:p w:rsidR="004F31D3" w:rsidRDefault="00D13D16">
      <w:pPr>
        <w:pStyle w:val="Indenti"/>
        <w:rPr>
          <w:snapToGrid w:val="0"/>
        </w:rPr>
      </w:pPr>
      <w:r>
        <w:rPr>
          <w:snapToGrid w:val="0"/>
        </w:rPr>
        <w:tab/>
        <w:t>(i)</w:t>
      </w:r>
      <w:r>
        <w:rPr>
          <w:snapToGrid w:val="0"/>
        </w:rPr>
        <w:tab/>
        <w:t>is declared to be a special event under a law of another State or Territory that corresponds to this Act; and</w:t>
      </w:r>
    </w:p>
    <w:p w:rsidR="004F31D3" w:rsidRDefault="00D13D16">
      <w:pPr>
        <w:pStyle w:val="Indenti"/>
      </w:pPr>
      <w:r>
        <w:rPr>
          <w:snapToGrid w:val="0"/>
        </w:rPr>
        <w:tab/>
        <w:t>(ii)</w:t>
      </w:r>
      <w:r>
        <w:rPr>
          <w:snapToGrid w:val="0"/>
        </w:rPr>
        <w:tab/>
      </w:r>
      <w:r>
        <w:t>in the opinion of the Minister, will attract visitors to the State.</w:t>
      </w:r>
    </w:p>
    <w:p w:rsidR="004F31D3" w:rsidRDefault="00D13D16">
      <w:pPr>
        <w:pStyle w:val="Subsection"/>
        <w:rPr>
          <w:snapToGrid w:val="0"/>
        </w:rPr>
      </w:pPr>
      <w:r>
        <w:rPr>
          <w:snapToGrid w:val="0"/>
        </w:rPr>
        <w:tab/>
        <w:t>(3)</w:t>
      </w:r>
      <w:r>
        <w:rPr>
          <w:snapToGrid w:val="0"/>
        </w:rPr>
        <w:tab/>
        <w:t>The order is to specify — </w:t>
      </w:r>
    </w:p>
    <w:p w:rsidR="004F31D3" w:rsidRDefault="00D13D16">
      <w:pPr>
        <w:pStyle w:val="Indenta"/>
        <w:rPr>
          <w:snapToGrid w:val="0"/>
        </w:rPr>
      </w:pPr>
      <w:r>
        <w:rPr>
          <w:snapToGrid w:val="0"/>
        </w:rPr>
        <w:tab/>
        <w:t>(a)</w:t>
      </w:r>
      <w:r>
        <w:rPr>
          <w:snapToGrid w:val="0"/>
        </w:rPr>
        <w:tab/>
        <w:t>the period or periods in which the exemptions under this Act have effect in respect of the special event; and</w:t>
      </w:r>
    </w:p>
    <w:p w:rsidR="004F31D3" w:rsidRDefault="00D13D16">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4F31D3" w:rsidRDefault="00D13D16">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4F31D3" w:rsidRDefault="00D13D16">
      <w:pPr>
        <w:pStyle w:val="Heading5"/>
        <w:rPr>
          <w:snapToGrid w:val="0"/>
        </w:rPr>
      </w:pPr>
      <w:bookmarkStart w:id="87" w:name="_Toc479743298"/>
      <w:bookmarkStart w:id="88" w:name="_Toc122252523"/>
      <w:bookmarkStart w:id="89" w:name="_Toc122252629"/>
      <w:bookmarkStart w:id="90" w:name="_Toc272150273"/>
      <w:r>
        <w:rPr>
          <w:rStyle w:val="CharSectno"/>
        </w:rPr>
        <w:t>7</w:t>
      </w:r>
      <w:r>
        <w:rPr>
          <w:snapToGrid w:val="0"/>
        </w:rPr>
        <w:t>.</w:t>
      </w:r>
      <w:r>
        <w:rPr>
          <w:snapToGrid w:val="0"/>
        </w:rPr>
        <w:tab/>
        <w:t>Provision of health care services by visiting health professionals authorised</w:t>
      </w:r>
      <w:bookmarkEnd w:id="87"/>
      <w:bookmarkEnd w:id="88"/>
      <w:bookmarkEnd w:id="89"/>
      <w:bookmarkEnd w:id="90"/>
      <w:r>
        <w:rPr>
          <w:snapToGrid w:val="0"/>
        </w:rPr>
        <w:t xml:space="preserve"> </w:t>
      </w:r>
    </w:p>
    <w:p w:rsidR="004F31D3" w:rsidRDefault="00D13D16">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4F31D3" w:rsidRDefault="00D13D16">
      <w:pPr>
        <w:pStyle w:val="Heading5"/>
        <w:rPr>
          <w:snapToGrid w:val="0"/>
        </w:rPr>
      </w:pPr>
      <w:bookmarkStart w:id="91" w:name="_Toc479743299"/>
      <w:bookmarkStart w:id="92" w:name="_Toc122252524"/>
      <w:bookmarkStart w:id="93" w:name="_Toc122252630"/>
      <w:bookmarkStart w:id="94" w:name="_Toc272150274"/>
      <w:r>
        <w:rPr>
          <w:rStyle w:val="CharSectno"/>
        </w:rPr>
        <w:t>8</w:t>
      </w:r>
      <w:r>
        <w:rPr>
          <w:snapToGrid w:val="0"/>
        </w:rPr>
        <w:t>.</w:t>
      </w:r>
      <w:r>
        <w:rPr>
          <w:snapToGrid w:val="0"/>
        </w:rPr>
        <w:tab/>
        <w:t>Conditions on practice by visiting health professionals</w:t>
      </w:r>
      <w:bookmarkEnd w:id="91"/>
      <w:bookmarkEnd w:id="92"/>
      <w:bookmarkEnd w:id="93"/>
      <w:bookmarkEnd w:id="94"/>
      <w:r>
        <w:rPr>
          <w:snapToGrid w:val="0"/>
        </w:rPr>
        <w:t xml:space="preserve"> </w:t>
      </w:r>
    </w:p>
    <w:p w:rsidR="004F31D3" w:rsidRDefault="00D13D16">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4F31D3" w:rsidRDefault="00D13D16">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4F31D3" w:rsidRDefault="00D13D16">
      <w:pPr>
        <w:pStyle w:val="Subsection"/>
        <w:rPr>
          <w:snapToGrid w:val="0"/>
        </w:rPr>
      </w:pPr>
      <w:r>
        <w:rPr>
          <w:snapToGrid w:val="0"/>
        </w:rPr>
        <w:tab/>
        <w:t>(3)</w:t>
      </w:r>
      <w:r>
        <w:rPr>
          <w:snapToGrid w:val="0"/>
        </w:rPr>
        <w:tab/>
        <w:t>The Minister may, by an order under section 6, do one or more of the following:</w:t>
      </w:r>
    </w:p>
    <w:p w:rsidR="004F31D3" w:rsidRDefault="00D13D16">
      <w:pPr>
        <w:pStyle w:val="Indenta"/>
        <w:rPr>
          <w:snapToGrid w:val="0"/>
        </w:rPr>
      </w:pPr>
      <w:r>
        <w:rPr>
          <w:snapToGrid w:val="0"/>
        </w:rPr>
        <w:tab/>
        <w:t>(a)</w:t>
      </w:r>
      <w:r>
        <w:rPr>
          <w:snapToGrid w:val="0"/>
        </w:rPr>
        <w:tab/>
        <w:t>impose further conditions on the provision of health care services by a visiting health professional;</w:t>
      </w:r>
    </w:p>
    <w:p w:rsidR="004F31D3" w:rsidRDefault="00D13D16">
      <w:pPr>
        <w:pStyle w:val="Indenta"/>
      </w:pPr>
      <w:r>
        <w:rPr>
          <w:snapToGrid w:val="0"/>
        </w:rPr>
        <w:tab/>
        <w:t>(b)</w:t>
      </w:r>
      <w:r>
        <w:rPr>
          <w:snapToGrid w:val="0"/>
        </w:rPr>
        <w:tab/>
      </w:r>
      <w:r>
        <w:t>exempt a visiting health professional from the condition referred to in subsection (1);</w:t>
      </w:r>
    </w:p>
    <w:p w:rsidR="004F31D3" w:rsidRDefault="00D13D16">
      <w:pPr>
        <w:pStyle w:val="Indenta"/>
      </w:pPr>
      <w:r>
        <w:rPr>
          <w:snapToGrid w:val="0"/>
        </w:rPr>
        <w:tab/>
        <w:t>(c)</w:t>
      </w:r>
      <w:r>
        <w:rPr>
          <w:snapToGrid w:val="0"/>
        </w:rPr>
        <w:tab/>
      </w:r>
      <w:r>
        <w:t>exempt a visiting health professional from the condition referred to in subsection (2).</w:t>
      </w:r>
    </w:p>
    <w:p w:rsidR="004F31D3" w:rsidRDefault="00D13D16">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4F31D3" w:rsidRDefault="00D13D16">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4F31D3" w:rsidRDefault="00D13D16">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4F31D3" w:rsidRDefault="00D13D16">
      <w:pPr>
        <w:pStyle w:val="Heading5"/>
        <w:rPr>
          <w:snapToGrid w:val="0"/>
        </w:rPr>
      </w:pPr>
      <w:bookmarkStart w:id="95" w:name="_Toc479743300"/>
      <w:bookmarkStart w:id="96" w:name="_Toc122252525"/>
      <w:bookmarkStart w:id="97" w:name="_Toc122252631"/>
      <w:bookmarkStart w:id="98" w:name="_Toc272150275"/>
      <w:r>
        <w:rPr>
          <w:rStyle w:val="CharSectno"/>
        </w:rPr>
        <w:t>9</w:t>
      </w:r>
      <w:r>
        <w:rPr>
          <w:snapToGrid w:val="0"/>
        </w:rPr>
        <w:t>.</w:t>
      </w:r>
      <w:r>
        <w:rPr>
          <w:snapToGrid w:val="0"/>
        </w:rPr>
        <w:tab/>
        <w:t>Issue of prescriptions and supply of certain substances authorised</w:t>
      </w:r>
      <w:bookmarkEnd w:id="95"/>
      <w:bookmarkEnd w:id="96"/>
      <w:bookmarkEnd w:id="97"/>
      <w:bookmarkEnd w:id="98"/>
      <w:r>
        <w:rPr>
          <w:snapToGrid w:val="0"/>
        </w:rPr>
        <w:t xml:space="preserve"> </w:t>
      </w:r>
    </w:p>
    <w:p w:rsidR="004F31D3" w:rsidRDefault="00D13D16">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4F31D3" w:rsidRDefault="00D13D16">
      <w:pPr>
        <w:pStyle w:val="Subsection"/>
        <w:rPr>
          <w:snapToGrid w:val="0"/>
        </w:rPr>
      </w:pPr>
      <w:r>
        <w:rPr>
          <w:snapToGrid w:val="0"/>
        </w:rPr>
        <w:tab/>
        <w:t>(2)</w:t>
      </w:r>
      <w:r>
        <w:rPr>
          <w:snapToGrid w:val="0"/>
        </w:rPr>
        <w:tab/>
        <w:t>The Minister may, by an order under section 6 — </w:t>
      </w:r>
    </w:p>
    <w:p w:rsidR="004F31D3" w:rsidRDefault="00D13D16">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4F31D3" w:rsidRDefault="00D13D16">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4F31D3" w:rsidRDefault="00D13D16">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4F31D3" w:rsidRDefault="00D13D16">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4F31D3" w:rsidRDefault="00D13D16">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4F31D3" w:rsidRDefault="00D13D16">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4F31D3" w:rsidRDefault="00D13D16">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4F31D3" w:rsidRDefault="00D13D16">
      <w:pPr>
        <w:pStyle w:val="Heading5"/>
        <w:rPr>
          <w:snapToGrid w:val="0"/>
        </w:rPr>
      </w:pPr>
      <w:bookmarkStart w:id="99" w:name="_Toc479743301"/>
      <w:bookmarkStart w:id="100" w:name="_Toc122252526"/>
      <w:bookmarkStart w:id="101" w:name="_Toc122252632"/>
      <w:bookmarkStart w:id="102" w:name="_Toc272150276"/>
      <w:r>
        <w:rPr>
          <w:rStyle w:val="CharSectno"/>
        </w:rPr>
        <w:t>10</w:t>
      </w:r>
      <w:r>
        <w:rPr>
          <w:snapToGrid w:val="0"/>
        </w:rPr>
        <w:t>.</w:t>
      </w:r>
      <w:r>
        <w:rPr>
          <w:snapToGrid w:val="0"/>
        </w:rPr>
        <w:tab/>
        <w:t>Request for use of irradiating apparatus etc. authorised</w:t>
      </w:r>
      <w:bookmarkEnd w:id="99"/>
      <w:bookmarkEnd w:id="100"/>
      <w:bookmarkEnd w:id="101"/>
      <w:bookmarkEnd w:id="102"/>
      <w:r>
        <w:rPr>
          <w:snapToGrid w:val="0"/>
        </w:rPr>
        <w:t xml:space="preserve"> </w:t>
      </w:r>
    </w:p>
    <w:p w:rsidR="004F31D3" w:rsidRDefault="00D13D16">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4F31D3" w:rsidRDefault="00D13D16">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4F31D3" w:rsidRDefault="00D13D16">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4F31D3" w:rsidRDefault="00D13D16">
      <w:pPr>
        <w:pStyle w:val="Heading5"/>
        <w:rPr>
          <w:snapToGrid w:val="0"/>
        </w:rPr>
      </w:pPr>
      <w:bookmarkStart w:id="103" w:name="_Toc479743302"/>
      <w:bookmarkStart w:id="104" w:name="_Toc122252527"/>
      <w:bookmarkStart w:id="105" w:name="_Toc122252633"/>
      <w:bookmarkStart w:id="106" w:name="_Toc272150277"/>
      <w:r>
        <w:rPr>
          <w:rStyle w:val="CharSectno"/>
        </w:rPr>
        <w:t>11</w:t>
      </w:r>
      <w:r>
        <w:rPr>
          <w:snapToGrid w:val="0"/>
        </w:rPr>
        <w:t>.</w:t>
      </w:r>
      <w:r>
        <w:rPr>
          <w:snapToGrid w:val="0"/>
        </w:rPr>
        <w:tab/>
        <w:t>Exemptions</w:t>
      </w:r>
      <w:bookmarkEnd w:id="103"/>
      <w:bookmarkEnd w:id="104"/>
      <w:bookmarkEnd w:id="105"/>
      <w:bookmarkEnd w:id="106"/>
      <w:r>
        <w:rPr>
          <w:snapToGrid w:val="0"/>
        </w:rPr>
        <w:t xml:space="preserve"> </w:t>
      </w:r>
    </w:p>
    <w:p w:rsidR="004F31D3" w:rsidRDefault="00D13D16">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4F31D3" w:rsidRDefault="00D13D16">
      <w:pPr>
        <w:pStyle w:val="Indenta"/>
        <w:rPr>
          <w:snapToGrid w:val="0"/>
        </w:rPr>
      </w:pPr>
      <w:r>
        <w:rPr>
          <w:snapToGrid w:val="0"/>
        </w:rPr>
        <w:tab/>
        <w:t>(a)</w:t>
      </w:r>
      <w:r>
        <w:rPr>
          <w:snapToGrid w:val="0"/>
        </w:rPr>
        <w:tab/>
        <w:t>providing health care services as authorised under this Act;</w:t>
      </w:r>
    </w:p>
    <w:p w:rsidR="004F31D3" w:rsidRDefault="00D13D16">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rsidR="004F31D3" w:rsidRDefault="00D13D16">
      <w:pPr>
        <w:pStyle w:val="Indenti"/>
        <w:rPr>
          <w:snapToGrid w:val="0"/>
        </w:rPr>
      </w:pPr>
      <w:r>
        <w:rPr>
          <w:snapToGrid w:val="0"/>
        </w:rPr>
        <w:tab/>
        <w:t>(i)</w:t>
      </w:r>
      <w:r>
        <w:rPr>
          <w:snapToGrid w:val="0"/>
        </w:rPr>
        <w:tab/>
        <w:t>lawfully imported or lawfully obtained in Australia by the visiting health professional; and</w:t>
      </w:r>
    </w:p>
    <w:p w:rsidR="004F31D3" w:rsidRDefault="00D13D16">
      <w:pPr>
        <w:pStyle w:val="Indenti"/>
        <w:tabs>
          <w:tab w:val="left" w:pos="4678"/>
        </w:tabs>
      </w:pPr>
      <w:r>
        <w:tab/>
        <w:t>(ii)</w:t>
      </w:r>
      <w:r>
        <w:tab/>
        <w:t>a substance that may be lawfully possessed, used or supplied by a registered health professional of the like profession;</w:t>
      </w:r>
    </w:p>
    <w:p w:rsidR="004F31D3" w:rsidRDefault="00D13D16">
      <w:pPr>
        <w:pStyle w:val="Indenta"/>
        <w:rPr>
          <w:snapToGrid w:val="0"/>
        </w:rPr>
      </w:pPr>
      <w:r>
        <w:rPr>
          <w:snapToGrid w:val="0"/>
        </w:rPr>
        <w:tab/>
        <w:t>(c)</w:t>
      </w:r>
      <w:r>
        <w:rPr>
          <w:snapToGrid w:val="0"/>
        </w:rPr>
        <w:tab/>
        <w:t>prescribing a substance in the course of providing those authorised health care services;</w:t>
      </w:r>
    </w:p>
    <w:p w:rsidR="004F31D3" w:rsidRDefault="00D13D16">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4F31D3" w:rsidRDefault="00D13D16">
      <w:pPr>
        <w:pStyle w:val="Indenta"/>
        <w:rPr>
          <w:snapToGrid w:val="0"/>
        </w:rPr>
      </w:pPr>
      <w:r>
        <w:rPr>
          <w:snapToGrid w:val="0"/>
        </w:rPr>
        <w:tab/>
        <w:t>(e)</w:t>
      </w:r>
      <w:r>
        <w:rPr>
          <w:snapToGrid w:val="0"/>
        </w:rPr>
        <w:tab/>
        <w:t>holding himself or herself out as being able to provide those authorised health care services; or</w:t>
      </w:r>
    </w:p>
    <w:p w:rsidR="004F31D3" w:rsidRDefault="00D13D16">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4F31D3" w:rsidRDefault="00D13D16">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4F31D3" w:rsidRDefault="00D13D16">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4F31D3" w:rsidRDefault="00D13D16">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4F31D3" w:rsidRDefault="00D13D16">
      <w:pPr>
        <w:pStyle w:val="Indenti"/>
        <w:rPr>
          <w:snapToGrid w:val="0"/>
        </w:rPr>
      </w:pPr>
      <w:r>
        <w:rPr>
          <w:snapToGrid w:val="0"/>
        </w:rPr>
        <w:tab/>
        <w:t>(i)</w:t>
      </w:r>
      <w:r>
        <w:rPr>
          <w:snapToGrid w:val="0"/>
        </w:rPr>
        <w:tab/>
        <w:t>the visiting health professional is authorised under this Act to issue the prescription;</w:t>
      </w:r>
    </w:p>
    <w:p w:rsidR="004F31D3" w:rsidRDefault="00D13D16">
      <w:pPr>
        <w:pStyle w:val="Indenti"/>
        <w:rPr>
          <w:snapToGrid w:val="0"/>
        </w:rPr>
      </w:pPr>
      <w:r>
        <w:rPr>
          <w:snapToGrid w:val="0"/>
        </w:rPr>
        <w:tab/>
        <w:t>(ii)</w:t>
      </w:r>
      <w:r>
        <w:rPr>
          <w:snapToGrid w:val="0"/>
        </w:rPr>
        <w:tab/>
        <w:t>the person is authorised under this Act to sell or supply the substance on such a prescription; and</w:t>
      </w:r>
    </w:p>
    <w:p w:rsidR="004F31D3" w:rsidRDefault="00D13D16">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4F31D3" w:rsidRDefault="00D13D16">
      <w:pPr>
        <w:pStyle w:val="Indenta"/>
        <w:rPr>
          <w:snapToGrid w:val="0"/>
        </w:rPr>
      </w:pPr>
      <w:r>
        <w:rPr>
          <w:snapToGrid w:val="0"/>
        </w:rPr>
        <w:tab/>
      </w:r>
      <w:r>
        <w:rPr>
          <w:snapToGrid w:val="0"/>
        </w:rPr>
        <w:tab/>
        <w:t>or</w:t>
      </w:r>
    </w:p>
    <w:p w:rsidR="004F31D3" w:rsidRDefault="00D13D16">
      <w:pPr>
        <w:pStyle w:val="Indenta"/>
        <w:rPr>
          <w:snapToGrid w:val="0"/>
        </w:rPr>
      </w:pPr>
      <w:r>
        <w:rPr>
          <w:snapToGrid w:val="0"/>
        </w:rPr>
        <w:tab/>
        <w:t>(b)</w:t>
      </w:r>
      <w:r>
        <w:rPr>
          <w:snapToGrid w:val="0"/>
        </w:rPr>
        <w:tab/>
        <w:t>selling any substance by wholesale to a visiting health professional if — </w:t>
      </w:r>
    </w:p>
    <w:p w:rsidR="004F31D3" w:rsidRDefault="00D13D16">
      <w:pPr>
        <w:pStyle w:val="Indenti"/>
        <w:rPr>
          <w:snapToGrid w:val="0"/>
        </w:rPr>
      </w:pPr>
      <w:r>
        <w:rPr>
          <w:snapToGrid w:val="0"/>
        </w:rPr>
        <w:tab/>
        <w:t>(i)</w:t>
      </w:r>
      <w:r>
        <w:rPr>
          <w:snapToGrid w:val="0"/>
        </w:rPr>
        <w:tab/>
        <w:t xml:space="preserve">the person is authorised under this Act to supply the substance by wholesale; </w:t>
      </w:r>
    </w:p>
    <w:p w:rsidR="004F31D3" w:rsidRDefault="00D13D16">
      <w:pPr>
        <w:pStyle w:val="Indenti"/>
        <w:rPr>
          <w:snapToGrid w:val="0"/>
        </w:rPr>
      </w:pPr>
      <w:r>
        <w:rPr>
          <w:snapToGrid w:val="0"/>
        </w:rPr>
        <w:tab/>
        <w:t>(ii)</w:t>
      </w:r>
      <w:r>
        <w:rPr>
          <w:snapToGrid w:val="0"/>
        </w:rPr>
        <w:tab/>
        <w:t>the visiting health professional is authorised under this Act to be sold the substance by wholesale; and</w:t>
      </w:r>
    </w:p>
    <w:p w:rsidR="004F31D3" w:rsidRDefault="00D13D16">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4F31D3" w:rsidRDefault="00D13D16">
      <w:pPr>
        <w:pStyle w:val="Subsection"/>
        <w:rPr>
          <w:snapToGrid w:val="0"/>
        </w:rPr>
      </w:pPr>
      <w:r>
        <w:rPr>
          <w:snapToGrid w:val="0"/>
        </w:rPr>
        <w:tab/>
        <w:t>(4)</w:t>
      </w:r>
      <w:r>
        <w:rPr>
          <w:snapToGrid w:val="0"/>
        </w:rPr>
        <w:tab/>
        <w:t>The regulations may prescribe other offences to which subsection (1), (2) or (3) applies.</w:t>
      </w:r>
    </w:p>
    <w:p w:rsidR="004F31D3" w:rsidRDefault="00D13D16">
      <w:pPr>
        <w:pStyle w:val="Heading5"/>
        <w:rPr>
          <w:snapToGrid w:val="0"/>
        </w:rPr>
      </w:pPr>
      <w:bookmarkStart w:id="107" w:name="_Toc479743303"/>
      <w:bookmarkStart w:id="108" w:name="_Toc122252528"/>
      <w:bookmarkStart w:id="109" w:name="_Toc122252634"/>
      <w:bookmarkStart w:id="110" w:name="_Toc272150278"/>
      <w:r>
        <w:rPr>
          <w:rStyle w:val="CharSectno"/>
        </w:rPr>
        <w:t>12</w:t>
      </w:r>
      <w:r>
        <w:rPr>
          <w:snapToGrid w:val="0"/>
        </w:rPr>
        <w:t>.</w:t>
      </w:r>
      <w:r>
        <w:rPr>
          <w:snapToGrid w:val="0"/>
        </w:rPr>
        <w:tab/>
        <w:t>Operation of authorisations</w:t>
      </w:r>
      <w:bookmarkEnd w:id="107"/>
      <w:bookmarkEnd w:id="108"/>
      <w:bookmarkEnd w:id="109"/>
      <w:bookmarkEnd w:id="110"/>
      <w:r>
        <w:rPr>
          <w:snapToGrid w:val="0"/>
        </w:rPr>
        <w:t xml:space="preserve"> </w:t>
      </w:r>
    </w:p>
    <w:p w:rsidR="004F31D3" w:rsidRDefault="00D13D16">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4F31D3" w:rsidRDefault="00D13D16">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4F31D3" w:rsidRDefault="00D13D16">
      <w:pPr>
        <w:pStyle w:val="Heading2"/>
      </w:pPr>
      <w:bookmarkStart w:id="111" w:name="_Toc122252415"/>
      <w:bookmarkStart w:id="112" w:name="_Toc122252503"/>
      <w:bookmarkStart w:id="113" w:name="_Toc122252529"/>
      <w:bookmarkStart w:id="114" w:name="_Toc122252612"/>
      <w:bookmarkStart w:id="115" w:name="_Toc122252635"/>
      <w:bookmarkStart w:id="116" w:name="_Toc122252738"/>
      <w:bookmarkStart w:id="117" w:name="_Toc122852219"/>
      <w:bookmarkStart w:id="118" w:name="_Toc122853551"/>
      <w:bookmarkStart w:id="119" w:name="_Toc122854057"/>
      <w:bookmarkStart w:id="120" w:name="_Toc122926413"/>
      <w:bookmarkStart w:id="121" w:name="_Toc122940332"/>
      <w:bookmarkStart w:id="122" w:name="_Toc135132398"/>
      <w:bookmarkStart w:id="123" w:name="_Toc159746497"/>
      <w:bookmarkStart w:id="124" w:name="_Toc165446619"/>
      <w:bookmarkStart w:id="125" w:name="_Toc165709276"/>
      <w:bookmarkStart w:id="126" w:name="_Toc165969583"/>
      <w:bookmarkStart w:id="127" w:name="_Toc168128417"/>
      <w:bookmarkStart w:id="128" w:name="_Toc170787025"/>
      <w:bookmarkStart w:id="129" w:name="_Toc170787364"/>
      <w:bookmarkStart w:id="130" w:name="_Toc173644238"/>
      <w:bookmarkStart w:id="131" w:name="_Toc173731365"/>
      <w:bookmarkStart w:id="132" w:name="_Toc175726826"/>
      <w:bookmarkStart w:id="133" w:name="_Toc175731259"/>
      <w:bookmarkStart w:id="134" w:name="_Toc178144677"/>
      <w:bookmarkStart w:id="135" w:name="_Toc179601151"/>
      <w:bookmarkStart w:id="136" w:name="_Toc181523012"/>
      <w:bookmarkStart w:id="137" w:name="_Toc199816917"/>
      <w:bookmarkStart w:id="138" w:name="_Toc215483945"/>
      <w:bookmarkStart w:id="139" w:name="_Toc268262232"/>
      <w:bookmarkStart w:id="140" w:name="_Toc272150279"/>
      <w:r>
        <w:rPr>
          <w:rStyle w:val="CharPartNo"/>
        </w:rPr>
        <w:t>Part 3</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rsidR="004F31D3" w:rsidRDefault="00D13D16">
      <w:pPr>
        <w:pStyle w:val="Heading5"/>
        <w:rPr>
          <w:snapToGrid w:val="0"/>
        </w:rPr>
      </w:pPr>
      <w:bookmarkStart w:id="141" w:name="_Toc479743304"/>
      <w:bookmarkStart w:id="142" w:name="_Toc122252530"/>
      <w:bookmarkStart w:id="143" w:name="_Toc122252636"/>
      <w:bookmarkStart w:id="144" w:name="_Toc272150280"/>
      <w:r>
        <w:rPr>
          <w:rStyle w:val="CharSectno"/>
        </w:rPr>
        <w:t>13</w:t>
      </w:r>
      <w:r>
        <w:rPr>
          <w:snapToGrid w:val="0"/>
        </w:rPr>
        <w:t>.</w:t>
      </w:r>
      <w:r>
        <w:rPr>
          <w:snapToGrid w:val="0"/>
        </w:rPr>
        <w:tab/>
        <w:t>Complaints about visiting health professionals</w:t>
      </w:r>
      <w:bookmarkEnd w:id="141"/>
      <w:bookmarkEnd w:id="142"/>
      <w:bookmarkEnd w:id="143"/>
      <w:bookmarkEnd w:id="144"/>
      <w:r>
        <w:rPr>
          <w:snapToGrid w:val="0"/>
        </w:rPr>
        <w:t xml:space="preserve"> </w:t>
      </w:r>
    </w:p>
    <w:p w:rsidR="004F31D3" w:rsidRDefault="00D13D16">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4F31D3" w:rsidRDefault="00D13D16">
      <w:pPr>
        <w:pStyle w:val="Subsection"/>
        <w:rPr>
          <w:snapToGrid w:val="0"/>
        </w:rPr>
      </w:pPr>
      <w:r>
        <w:rPr>
          <w:snapToGrid w:val="0"/>
        </w:rPr>
        <w:tab/>
        <w:t>(2)</w:t>
      </w:r>
      <w:r>
        <w:rPr>
          <w:snapToGrid w:val="0"/>
        </w:rPr>
        <w:tab/>
        <w:t>This section does not prevent the bringing of proceedings for an offence under an Act referred to in subsection (1).</w:t>
      </w:r>
    </w:p>
    <w:p w:rsidR="004F31D3" w:rsidRDefault="00D13D16">
      <w:pPr>
        <w:pStyle w:val="Heading5"/>
        <w:rPr>
          <w:snapToGrid w:val="0"/>
        </w:rPr>
      </w:pPr>
      <w:bookmarkStart w:id="145" w:name="_Toc479743305"/>
      <w:bookmarkStart w:id="146" w:name="_Toc122252531"/>
      <w:bookmarkStart w:id="147" w:name="_Toc122252637"/>
      <w:bookmarkStart w:id="148" w:name="_Toc272150281"/>
      <w:r>
        <w:rPr>
          <w:rStyle w:val="CharSectno"/>
        </w:rPr>
        <w:t>14</w:t>
      </w:r>
      <w:r>
        <w:rPr>
          <w:snapToGrid w:val="0"/>
        </w:rPr>
        <w:t>.</w:t>
      </w:r>
      <w:r>
        <w:rPr>
          <w:snapToGrid w:val="0"/>
        </w:rPr>
        <w:tab/>
        <w:t>Application of Act to particular persons</w:t>
      </w:r>
      <w:bookmarkEnd w:id="145"/>
      <w:bookmarkEnd w:id="146"/>
      <w:bookmarkEnd w:id="147"/>
      <w:bookmarkEnd w:id="148"/>
      <w:r>
        <w:rPr>
          <w:snapToGrid w:val="0"/>
        </w:rPr>
        <w:t xml:space="preserve"> </w:t>
      </w:r>
    </w:p>
    <w:p w:rsidR="004F31D3" w:rsidRDefault="00D13D16">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4F31D3" w:rsidRDefault="00D13D16">
      <w:pPr>
        <w:pStyle w:val="Heading5"/>
        <w:rPr>
          <w:snapToGrid w:val="0"/>
        </w:rPr>
      </w:pPr>
      <w:bookmarkStart w:id="149" w:name="_Toc479743306"/>
      <w:bookmarkStart w:id="150" w:name="_Toc122252532"/>
      <w:bookmarkStart w:id="151" w:name="_Toc122252638"/>
      <w:bookmarkStart w:id="152" w:name="_Toc272150282"/>
      <w:r>
        <w:rPr>
          <w:rStyle w:val="CharSectno"/>
        </w:rPr>
        <w:t>15</w:t>
      </w:r>
      <w:r>
        <w:rPr>
          <w:snapToGrid w:val="0"/>
        </w:rPr>
        <w:t>.</w:t>
      </w:r>
      <w:r>
        <w:rPr>
          <w:snapToGrid w:val="0"/>
        </w:rPr>
        <w:tab/>
        <w:t>Act does not limit the practice of registered health professionals</w:t>
      </w:r>
      <w:bookmarkEnd w:id="149"/>
      <w:bookmarkEnd w:id="150"/>
      <w:bookmarkEnd w:id="151"/>
      <w:bookmarkEnd w:id="152"/>
      <w:r>
        <w:rPr>
          <w:snapToGrid w:val="0"/>
        </w:rPr>
        <w:t xml:space="preserve"> </w:t>
      </w:r>
    </w:p>
    <w:p w:rsidR="004F31D3" w:rsidRDefault="00D13D16">
      <w:pPr>
        <w:pStyle w:val="Subsection"/>
        <w:rPr>
          <w:snapToGrid w:val="0"/>
        </w:rPr>
      </w:pPr>
      <w:r>
        <w:rPr>
          <w:snapToGrid w:val="0"/>
        </w:rPr>
        <w:tab/>
      </w:r>
      <w:r>
        <w:rPr>
          <w:snapToGrid w:val="0"/>
        </w:rPr>
        <w:tab/>
        <w:t>This Act does not prejudice or affect the lawful occupation, trade or business of any person who is registered.</w:t>
      </w:r>
    </w:p>
    <w:p w:rsidR="004F31D3" w:rsidRDefault="00D13D16">
      <w:pPr>
        <w:pStyle w:val="Heading5"/>
        <w:rPr>
          <w:snapToGrid w:val="0"/>
        </w:rPr>
      </w:pPr>
      <w:bookmarkStart w:id="153" w:name="_Toc479743307"/>
      <w:bookmarkStart w:id="154" w:name="_Toc122252533"/>
      <w:bookmarkStart w:id="155" w:name="_Toc122252639"/>
      <w:bookmarkStart w:id="156" w:name="_Toc272150283"/>
      <w:r>
        <w:rPr>
          <w:rStyle w:val="CharSectno"/>
        </w:rPr>
        <w:t>16</w:t>
      </w:r>
      <w:r>
        <w:rPr>
          <w:snapToGrid w:val="0"/>
        </w:rPr>
        <w:t>.</w:t>
      </w:r>
      <w:r>
        <w:rPr>
          <w:snapToGrid w:val="0"/>
        </w:rPr>
        <w:tab/>
        <w:t>Regulations</w:t>
      </w:r>
      <w:bookmarkEnd w:id="153"/>
      <w:bookmarkEnd w:id="154"/>
      <w:bookmarkEnd w:id="155"/>
      <w:bookmarkEnd w:id="156"/>
      <w:r>
        <w:rPr>
          <w:snapToGrid w:val="0"/>
        </w:rPr>
        <w:t xml:space="preserve"> </w:t>
      </w:r>
    </w:p>
    <w:p w:rsidR="004F31D3" w:rsidRDefault="00D13D16">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4F31D3" w:rsidRDefault="00D13D16">
      <w:pPr>
        <w:pStyle w:val="Subsection"/>
        <w:rPr>
          <w:snapToGrid w:val="0"/>
        </w:rPr>
      </w:pPr>
      <w:r>
        <w:rPr>
          <w:snapToGrid w:val="0"/>
        </w:rPr>
        <w:tab/>
        <w:t>(2)</w:t>
      </w:r>
      <w:r>
        <w:rPr>
          <w:snapToGrid w:val="0"/>
        </w:rPr>
        <w:tab/>
        <w:t>A regulation may create an offence punishable by a penalty not exceeding $1 000.</w:t>
      </w:r>
    </w:p>
    <w:p w:rsidR="004F31D3" w:rsidRDefault="00D13D16">
      <w:pPr>
        <w:pStyle w:val="Heading5"/>
        <w:rPr>
          <w:snapToGrid w:val="0"/>
        </w:rPr>
      </w:pPr>
      <w:bookmarkStart w:id="157" w:name="_Toc479743308"/>
      <w:bookmarkStart w:id="158" w:name="_Toc122252534"/>
      <w:bookmarkStart w:id="159" w:name="_Toc122252640"/>
      <w:bookmarkStart w:id="160" w:name="_Toc272150284"/>
      <w:r>
        <w:rPr>
          <w:rStyle w:val="CharSectno"/>
        </w:rPr>
        <w:t>17</w:t>
      </w:r>
      <w:r>
        <w:rPr>
          <w:snapToGrid w:val="0"/>
        </w:rPr>
        <w:t>.</w:t>
      </w:r>
      <w:r>
        <w:rPr>
          <w:snapToGrid w:val="0"/>
        </w:rPr>
        <w:tab/>
        <w:t>Review of Act</w:t>
      </w:r>
      <w:bookmarkEnd w:id="157"/>
      <w:bookmarkEnd w:id="158"/>
      <w:bookmarkEnd w:id="159"/>
      <w:bookmarkEnd w:id="160"/>
      <w:r>
        <w:rPr>
          <w:snapToGrid w:val="0"/>
        </w:rPr>
        <w:t xml:space="preserve"> </w:t>
      </w:r>
    </w:p>
    <w:p w:rsidR="004F31D3" w:rsidRDefault="00D13D16">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4F31D3" w:rsidRDefault="00D13D16">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4F31D3" w:rsidRDefault="004F31D3">
      <w:pPr>
        <w:sectPr w:rsidR="004F31D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F31D3" w:rsidRDefault="00D13D16">
      <w:pPr>
        <w:pStyle w:val="nHeading2"/>
      </w:pPr>
      <w:bookmarkStart w:id="161" w:name="_Toc122252421"/>
      <w:bookmarkStart w:id="162" w:name="_Toc122252509"/>
      <w:bookmarkStart w:id="163" w:name="_Toc122252535"/>
      <w:bookmarkStart w:id="164" w:name="_Toc122252618"/>
      <w:bookmarkStart w:id="165" w:name="_Toc122252641"/>
      <w:bookmarkStart w:id="166" w:name="_Toc122252744"/>
      <w:bookmarkStart w:id="167" w:name="_Toc122852225"/>
      <w:bookmarkStart w:id="168" w:name="_Toc122853557"/>
      <w:bookmarkStart w:id="169" w:name="_Toc122854063"/>
      <w:bookmarkStart w:id="170" w:name="_Toc122926419"/>
      <w:bookmarkStart w:id="171" w:name="_Toc122940338"/>
      <w:bookmarkStart w:id="172" w:name="_Toc135132404"/>
      <w:bookmarkStart w:id="173" w:name="_Toc159746503"/>
      <w:bookmarkStart w:id="174" w:name="_Toc165446625"/>
      <w:bookmarkStart w:id="175" w:name="_Toc165709282"/>
      <w:bookmarkStart w:id="176" w:name="_Toc165969589"/>
      <w:bookmarkStart w:id="177" w:name="_Toc168128423"/>
      <w:bookmarkStart w:id="178" w:name="_Toc170787031"/>
      <w:bookmarkStart w:id="179" w:name="_Toc170787370"/>
      <w:bookmarkStart w:id="180" w:name="_Toc173644244"/>
      <w:bookmarkStart w:id="181" w:name="_Toc173731371"/>
      <w:bookmarkStart w:id="182" w:name="_Toc175726832"/>
      <w:bookmarkStart w:id="183" w:name="_Toc175731265"/>
      <w:bookmarkStart w:id="184" w:name="_Toc178144683"/>
      <w:bookmarkStart w:id="185" w:name="_Toc179601157"/>
      <w:bookmarkStart w:id="186" w:name="_Toc181523018"/>
      <w:bookmarkStart w:id="187" w:name="_Toc199816923"/>
      <w:bookmarkStart w:id="188" w:name="_Toc215483951"/>
      <w:bookmarkStart w:id="189" w:name="_Toc268262238"/>
      <w:bookmarkStart w:id="190" w:name="_Toc272150285"/>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F31D3" w:rsidRDefault="00D13D16">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F31D3" w:rsidRDefault="00D13D16">
      <w:pPr>
        <w:pStyle w:val="nHeading3"/>
        <w:rPr>
          <w:snapToGrid w:val="0"/>
        </w:rPr>
      </w:pPr>
      <w:bookmarkStart w:id="191" w:name="_Toc272150286"/>
      <w:r>
        <w:rPr>
          <w:snapToGrid w:val="0"/>
        </w:rPr>
        <w:t>Compilation table</w:t>
      </w:r>
      <w:bookmarkEnd w:id="191"/>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rsidR="004F31D3">
        <w:trPr>
          <w:gridAfter w:val="1"/>
          <w:wAfter w:w="6" w:type="dxa"/>
          <w:tblHeader/>
        </w:trPr>
        <w:tc>
          <w:tcPr>
            <w:tcW w:w="2265" w:type="dxa"/>
            <w:gridSpan w:val="2"/>
            <w:tcBorders>
              <w:top w:val="single" w:sz="8" w:space="0" w:color="auto"/>
              <w:bottom w:val="single" w:sz="8" w:space="0" w:color="auto"/>
            </w:tcBorders>
          </w:tcPr>
          <w:p w:rsidR="004F31D3" w:rsidRDefault="00D13D16">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rsidR="004F31D3" w:rsidRDefault="00D13D16">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rsidR="004F31D3" w:rsidRDefault="00D13D16">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rsidR="004F31D3" w:rsidRDefault="00D13D16">
            <w:pPr>
              <w:pStyle w:val="nTable"/>
              <w:spacing w:after="40"/>
              <w:rPr>
                <w:b/>
                <w:bCs/>
                <w:sz w:val="19"/>
              </w:rPr>
            </w:pPr>
            <w:r>
              <w:rPr>
                <w:b/>
                <w:bCs/>
                <w:sz w:val="19"/>
              </w:rPr>
              <w:t>Commencement</w:t>
            </w:r>
          </w:p>
        </w:tc>
      </w:tr>
      <w:tr w:rsidR="004F31D3">
        <w:trPr>
          <w:gridAfter w:val="1"/>
          <w:wAfter w:w="6" w:type="dxa"/>
        </w:trPr>
        <w:tc>
          <w:tcPr>
            <w:tcW w:w="2265" w:type="dxa"/>
            <w:gridSpan w:val="2"/>
            <w:tcBorders>
              <w:top w:val="single" w:sz="4" w:space="0" w:color="auto"/>
            </w:tcBorders>
          </w:tcPr>
          <w:p w:rsidR="004F31D3" w:rsidRDefault="00D13D16">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rsidR="004F31D3" w:rsidRDefault="00D13D16">
            <w:pPr>
              <w:pStyle w:val="nTable"/>
              <w:spacing w:after="40"/>
              <w:rPr>
                <w:sz w:val="19"/>
              </w:rPr>
            </w:pPr>
            <w:r>
              <w:rPr>
                <w:sz w:val="19"/>
              </w:rPr>
              <w:t>7 of 2000</w:t>
            </w:r>
          </w:p>
        </w:tc>
        <w:tc>
          <w:tcPr>
            <w:tcW w:w="1131" w:type="dxa"/>
            <w:tcBorders>
              <w:top w:val="single" w:sz="4" w:space="0" w:color="auto"/>
            </w:tcBorders>
          </w:tcPr>
          <w:p w:rsidR="004F31D3" w:rsidRDefault="00D13D16">
            <w:pPr>
              <w:pStyle w:val="nTable"/>
              <w:spacing w:after="40"/>
              <w:rPr>
                <w:sz w:val="19"/>
              </w:rPr>
            </w:pPr>
            <w:r>
              <w:rPr>
                <w:sz w:val="19"/>
              </w:rPr>
              <w:t>14 Apr 2000</w:t>
            </w:r>
          </w:p>
        </w:tc>
        <w:tc>
          <w:tcPr>
            <w:tcW w:w="2549" w:type="dxa"/>
            <w:gridSpan w:val="2"/>
            <w:tcBorders>
              <w:top w:val="single" w:sz="4" w:space="0" w:color="auto"/>
            </w:tcBorders>
          </w:tcPr>
          <w:p w:rsidR="004F31D3" w:rsidRDefault="00D13D16">
            <w:pPr>
              <w:pStyle w:val="nTable"/>
              <w:spacing w:after="40"/>
              <w:rPr>
                <w:sz w:val="19"/>
              </w:rPr>
            </w:pPr>
            <w:r>
              <w:rPr>
                <w:sz w:val="19"/>
              </w:rPr>
              <w:t>14 Apr 2000 (see s. 2)</w:t>
            </w:r>
          </w:p>
        </w:tc>
      </w:tr>
      <w:tr w:rsidR="004F31D3">
        <w:trPr>
          <w:gridAfter w:val="1"/>
          <w:wAfter w:w="6" w:type="dxa"/>
        </w:trPr>
        <w:tc>
          <w:tcPr>
            <w:tcW w:w="2265" w:type="dxa"/>
            <w:gridSpan w:val="2"/>
          </w:tcPr>
          <w:p w:rsidR="004F31D3" w:rsidRDefault="00D13D16">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rsidR="004F31D3" w:rsidRDefault="00D13D16">
            <w:pPr>
              <w:pStyle w:val="nTable"/>
              <w:spacing w:after="40"/>
              <w:rPr>
                <w:sz w:val="19"/>
              </w:rPr>
            </w:pPr>
            <w:r>
              <w:rPr>
                <w:sz w:val="19"/>
              </w:rPr>
              <w:t>28 of 2005</w:t>
            </w:r>
          </w:p>
        </w:tc>
        <w:tc>
          <w:tcPr>
            <w:tcW w:w="1131" w:type="dxa"/>
          </w:tcPr>
          <w:p w:rsidR="004F31D3" w:rsidRDefault="00D13D16">
            <w:pPr>
              <w:pStyle w:val="nTable"/>
              <w:spacing w:after="40"/>
              <w:rPr>
                <w:sz w:val="19"/>
              </w:rPr>
            </w:pPr>
            <w:r>
              <w:rPr>
                <w:sz w:val="19"/>
              </w:rPr>
              <w:t>12 Dec 2005</w:t>
            </w:r>
          </w:p>
        </w:tc>
        <w:tc>
          <w:tcPr>
            <w:tcW w:w="2549" w:type="dxa"/>
            <w:gridSpan w:val="2"/>
          </w:tcPr>
          <w:p w:rsidR="004F31D3" w:rsidRDefault="00D13D16">
            <w:pPr>
              <w:pStyle w:val="nTable"/>
              <w:spacing w:after="40"/>
              <w:rPr>
                <w:sz w:val="19"/>
              </w:rPr>
            </w:pPr>
            <w:r>
              <w:rPr>
                <w:sz w:val="19"/>
              </w:rPr>
              <w:t xml:space="preserve">4 May 2007 (see s. 2 and </w:t>
            </w:r>
            <w:r>
              <w:rPr>
                <w:i/>
                <w:iCs/>
                <w:sz w:val="19"/>
              </w:rPr>
              <w:t>Gazette</w:t>
            </w:r>
            <w:r>
              <w:rPr>
                <w:sz w:val="19"/>
              </w:rPr>
              <w:t xml:space="preserve"> 4 May 2007 p. 1963)</w:t>
            </w:r>
          </w:p>
        </w:tc>
      </w:tr>
      <w:tr w:rsidR="004F31D3">
        <w:trPr>
          <w:gridAfter w:val="1"/>
          <w:wAfter w:w="6" w:type="dxa"/>
        </w:trPr>
        <w:tc>
          <w:tcPr>
            <w:tcW w:w="2265" w:type="dxa"/>
            <w:gridSpan w:val="2"/>
          </w:tcPr>
          <w:p w:rsidR="004F31D3" w:rsidRDefault="00D13D16">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rsidR="004F31D3" w:rsidRDefault="00D13D16">
            <w:pPr>
              <w:pStyle w:val="nTable"/>
              <w:spacing w:after="40"/>
              <w:rPr>
                <w:sz w:val="19"/>
              </w:rPr>
            </w:pPr>
            <w:r>
              <w:rPr>
                <w:sz w:val="19"/>
              </w:rPr>
              <w:t>29 of 2005</w:t>
            </w:r>
          </w:p>
        </w:tc>
        <w:tc>
          <w:tcPr>
            <w:tcW w:w="1131" w:type="dxa"/>
          </w:tcPr>
          <w:p w:rsidR="004F31D3" w:rsidRDefault="00D13D16">
            <w:pPr>
              <w:pStyle w:val="nTable"/>
              <w:spacing w:after="40"/>
              <w:rPr>
                <w:sz w:val="19"/>
              </w:rPr>
            </w:pPr>
            <w:r>
              <w:rPr>
                <w:sz w:val="19"/>
              </w:rPr>
              <w:t>12 Dec 2005</w:t>
            </w:r>
          </w:p>
        </w:tc>
        <w:tc>
          <w:tcPr>
            <w:tcW w:w="2549" w:type="dxa"/>
            <w:gridSpan w:val="2"/>
          </w:tcPr>
          <w:p w:rsidR="004F31D3" w:rsidRDefault="00D13D16">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4F31D3">
        <w:trPr>
          <w:gridAfter w:val="1"/>
          <w:wAfter w:w="6" w:type="dxa"/>
        </w:trPr>
        <w:tc>
          <w:tcPr>
            <w:tcW w:w="2265" w:type="dxa"/>
            <w:gridSpan w:val="2"/>
          </w:tcPr>
          <w:p w:rsidR="004F31D3" w:rsidRDefault="00D13D16">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rsidR="004F31D3" w:rsidRDefault="00D13D16">
            <w:pPr>
              <w:pStyle w:val="nTable"/>
              <w:spacing w:after="40"/>
              <w:rPr>
                <w:sz w:val="19"/>
              </w:rPr>
            </w:pPr>
            <w:r>
              <w:rPr>
                <w:sz w:val="19"/>
              </w:rPr>
              <w:t>30 of 2005</w:t>
            </w:r>
          </w:p>
        </w:tc>
        <w:tc>
          <w:tcPr>
            <w:tcW w:w="1131" w:type="dxa"/>
          </w:tcPr>
          <w:p w:rsidR="004F31D3" w:rsidRDefault="00D13D16">
            <w:pPr>
              <w:pStyle w:val="nTable"/>
              <w:spacing w:after="40"/>
              <w:rPr>
                <w:sz w:val="19"/>
              </w:rPr>
            </w:pPr>
            <w:r>
              <w:rPr>
                <w:sz w:val="19"/>
              </w:rPr>
              <w:t>12 Dec 2005</w:t>
            </w:r>
          </w:p>
        </w:tc>
        <w:tc>
          <w:tcPr>
            <w:tcW w:w="2549" w:type="dxa"/>
            <w:gridSpan w:val="2"/>
          </w:tcPr>
          <w:p w:rsidR="004F31D3" w:rsidRDefault="00D13D16">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4F31D3">
        <w:trPr>
          <w:gridAfter w:val="1"/>
          <w:wAfter w:w="6" w:type="dxa"/>
        </w:trPr>
        <w:tc>
          <w:tcPr>
            <w:tcW w:w="2265" w:type="dxa"/>
            <w:gridSpan w:val="2"/>
          </w:tcPr>
          <w:p w:rsidR="004F31D3" w:rsidRDefault="00D13D16">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rsidR="004F31D3" w:rsidRDefault="00D13D16">
            <w:pPr>
              <w:pStyle w:val="nTable"/>
              <w:spacing w:after="40"/>
              <w:rPr>
                <w:sz w:val="19"/>
              </w:rPr>
            </w:pPr>
            <w:r>
              <w:rPr>
                <w:sz w:val="19"/>
              </w:rPr>
              <w:t>31 of 2005</w:t>
            </w:r>
          </w:p>
        </w:tc>
        <w:tc>
          <w:tcPr>
            <w:tcW w:w="1131" w:type="dxa"/>
          </w:tcPr>
          <w:p w:rsidR="004F31D3" w:rsidRDefault="00D13D16">
            <w:pPr>
              <w:pStyle w:val="nTable"/>
              <w:spacing w:after="40"/>
              <w:rPr>
                <w:sz w:val="19"/>
              </w:rPr>
            </w:pPr>
            <w:r>
              <w:rPr>
                <w:sz w:val="19"/>
              </w:rPr>
              <w:t>12 Dec 2005</w:t>
            </w:r>
          </w:p>
        </w:tc>
        <w:tc>
          <w:tcPr>
            <w:tcW w:w="2549" w:type="dxa"/>
            <w:gridSpan w:val="2"/>
          </w:tcPr>
          <w:p w:rsidR="004F31D3" w:rsidRDefault="00D13D16">
            <w:pPr>
              <w:pStyle w:val="nTable"/>
              <w:spacing w:after="40"/>
              <w:rPr>
                <w:sz w:val="19"/>
              </w:rPr>
            </w:pPr>
            <w:r>
              <w:rPr>
                <w:sz w:val="19"/>
              </w:rPr>
              <w:t>1 Aug 2007 (see s. 2 and G</w:t>
            </w:r>
            <w:r>
              <w:rPr>
                <w:i/>
                <w:iCs/>
                <w:sz w:val="19"/>
              </w:rPr>
              <w:t>azette</w:t>
            </w:r>
            <w:r>
              <w:rPr>
                <w:sz w:val="19"/>
              </w:rPr>
              <w:t xml:space="preserve"> 31 Jul 2007 p. 3789)</w:t>
            </w:r>
          </w:p>
        </w:tc>
      </w:tr>
      <w:tr w:rsidR="004F31D3">
        <w:trPr>
          <w:gridAfter w:val="1"/>
          <w:wAfter w:w="6" w:type="dxa"/>
        </w:trPr>
        <w:tc>
          <w:tcPr>
            <w:tcW w:w="2265" w:type="dxa"/>
            <w:gridSpan w:val="2"/>
          </w:tcPr>
          <w:p w:rsidR="004F31D3" w:rsidRDefault="00D13D16">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bookmarkStart w:id="192" w:name="UpToHere"/>
            <w:bookmarkEnd w:id="192"/>
          </w:p>
        </w:tc>
        <w:tc>
          <w:tcPr>
            <w:tcW w:w="1131" w:type="dxa"/>
            <w:gridSpan w:val="2"/>
          </w:tcPr>
          <w:p w:rsidR="004F31D3" w:rsidRDefault="00D13D16">
            <w:pPr>
              <w:pStyle w:val="nTable"/>
              <w:spacing w:after="40"/>
              <w:rPr>
                <w:snapToGrid w:val="0"/>
                <w:sz w:val="19"/>
                <w:lang w:val="en-US"/>
              </w:rPr>
            </w:pPr>
            <w:r>
              <w:rPr>
                <w:sz w:val="19"/>
              </w:rPr>
              <w:t>32 of 2005</w:t>
            </w:r>
          </w:p>
        </w:tc>
        <w:tc>
          <w:tcPr>
            <w:tcW w:w="1131" w:type="dxa"/>
          </w:tcPr>
          <w:p w:rsidR="004F31D3" w:rsidRDefault="00D13D16">
            <w:pPr>
              <w:pStyle w:val="nTable"/>
              <w:spacing w:after="40"/>
              <w:rPr>
                <w:snapToGrid w:val="0"/>
                <w:sz w:val="19"/>
                <w:lang w:val="en-US"/>
              </w:rPr>
            </w:pPr>
            <w:r>
              <w:rPr>
                <w:sz w:val="19"/>
              </w:rPr>
              <w:t>12 Dec 2005</w:t>
            </w:r>
          </w:p>
        </w:tc>
        <w:tc>
          <w:tcPr>
            <w:tcW w:w="2549" w:type="dxa"/>
            <w:gridSpan w:val="2"/>
          </w:tcPr>
          <w:p w:rsidR="004F31D3" w:rsidRDefault="00D13D16">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4F31D3">
        <w:trPr>
          <w:gridAfter w:val="1"/>
          <w:wAfter w:w="6" w:type="dxa"/>
        </w:trPr>
        <w:tc>
          <w:tcPr>
            <w:tcW w:w="2265" w:type="dxa"/>
            <w:gridSpan w:val="2"/>
          </w:tcPr>
          <w:p w:rsidR="004F31D3" w:rsidRDefault="00D13D16">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rsidR="004F31D3" w:rsidRDefault="00D13D16">
            <w:pPr>
              <w:pStyle w:val="nTable"/>
              <w:spacing w:after="40"/>
              <w:rPr>
                <w:sz w:val="19"/>
              </w:rPr>
            </w:pPr>
            <w:r>
              <w:rPr>
                <w:sz w:val="19"/>
              </w:rPr>
              <w:t>33 of 2005</w:t>
            </w:r>
          </w:p>
        </w:tc>
        <w:tc>
          <w:tcPr>
            <w:tcW w:w="1131" w:type="dxa"/>
          </w:tcPr>
          <w:p w:rsidR="004F31D3" w:rsidRDefault="00D13D16">
            <w:pPr>
              <w:pStyle w:val="nTable"/>
              <w:spacing w:after="40"/>
              <w:rPr>
                <w:sz w:val="19"/>
              </w:rPr>
            </w:pPr>
            <w:r>
              <w:rPr>
                <w:sz w:val="19"/>
              </w:rPr>
              <w:t>12 Dec 2005</w:t>
            </w:r>
          </w:p>
        </w:tc>
        <w:tc>
          <w:tcPr>
            <w:tcW w:w="2549" w:type="dxa"/>
            <w:gridSpan w:val="2"/>
          </w:tcPr>
          <w:p w:rsidR="004F31D3" w:rsidRDefault="00D13D16">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4F31D3">
        <w:trPr>
          <w:gridAfter w:val="1"/>
          <w:wAfter w:w="6" w:type="dxa"/>
        </w:trPr>
        <w:tc>
          <w:tcPr>
            <w:tcW w:w="2265" w:type="dxa"/>
            <w:gridSpan w:val="2"/>
          </w:tcPr>
          <w:p w:rsidR="004F31D3" w:rsidRDefault="00D13D16">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rsidR="004F31D3" w:rsidRDefault="00D13D16">
            <w:pPr>
              <w:pStyle w:val="nTable"/>
              <w:spacing w:after="40"/>
              <w:rPr>
                <w:sz w:val="19"/>
              </w:rPr>
            </w:pPr>
            <w:r>
              <w:rPr>
                <w:sz w:val="19"/>
              </w:rPr>
              <w:t>42 of 2005</w:t>
            </w:r>
          </w:p>
        </w:tc>
        <w:tc>
          <w:tcPr>
            <w:tcW w:w="1131" w:type="dxa"/>
          </w:tcPr>
          <w:p w:rsidR="004F31D3" w:rsidRDefault="00D13D16">
            <w:pPr>
              <w:pStyle w:val="nTable"/>
              <w:spacing w:after="40"/>
              <w:rPr>
                <w:sz w:val="19"/>
              </w:rPr>
            </w:pPr>
            <w:r>
              <w:rPr>
                <w:sz w:val="19"/>
              </w:rPr>
              <w:t>19 Dec 2005</w:t>
            </w:r>
          </w:p>
        </w:tc>
        <w:tc>
          <w:tcPr>
            <w:tcW w:w="2549" w:type="dxa"/>
            <w:gridSpan w:val="2"/>
          </w:tcPr>
          <w:p w:rsidR="004F31D3" w:rsidRDefault="00D13D16">
            <w:pPr>
              <w:pStyle w:val="nTable"/>
              <w:spacing w:after="40"/>
              <w:rPr>
                <w:sz w:val="19"/>
              </w:rPr>
            </w:pPr>
            <w:r>
              <w:rPr>
                <w:sz w:val="19"/>
              </w:rPr>
              <w:t>1 Aug 2007 (see s. 2 and G</w:t>
            </w:r>
            <w:r>
              <w:rPr>
                <w:i/>
                <w:iCs/>
                <w:sz w:val="19"/>
              </w:rPr>
              <w:t>azette</w:t>
            </w:r>
            <w:r>
              <w:rPr>
                <w:sz w:val="19"/>
              </w:rPr>
              <w:t xml:space="preserve"> 31 Jul 2007 p. 3789)</w:t>
            </w:r>
          </w:p>
        </w:tc>
      </w:tr>
      <w:tr w:rsidR="004F31D3">
        <w:trPr>
          <w:gridAfter w:val="1"/>
          <w:wAfter w:w="6" w:type="dxa"/>
        </w:trPr>
        <w:tc>
          <w:tcPr>
            <w:tcW w:w="2265" w:type="dxa"/>
            <w:gridSpan w:val="2"/>
          </w:tcPr>
          <w:p w:rsidR="004F31D3" w:rsidRDefault="00D13D16">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rsidR="004F31D3" w:rsidRDefault="00D13D16">
            <w:pPr>
              <w:pStyle w:val="nTable"/>
              <w:spacing w:after="40"/>
              <w:rPr>
                <w:sz w:val="19"/>
              </w:rPr>
            </w:pPr>
            <w:r>
              <w:rPr>
                <w:sz w:val="19"/>
              </w:rPr>
              <w:t>11 of 2006</w:t>
            </w:r>
          </w:p>
        </w:tc>
        <w:tc>
          <w:tcPr>
            <w:tcW w:w="1131" w:type="dxa"/>
          </w:tcPr>
          <w:p w:rsidR="004F31D3" w:rsidRDefault="00D13D16">
            <w:pPr>
              <w:pStyle w:val="nTable"/>
              <w:spacing w:after="40"/>
              <w:rPr>
                <w:sz w:val="19"/>
              </w:rPr>
            </w:pPr>
            <w:r>
              <w:rPr>
                <w:sz w:val="19"/>
              </w:rPr>
              <w:t>11 May 2006</w:t>
            </w:r>
          </w:p>
        </w:tc>
        <w:tc>
          <w:tcPr>
            <w:tcW w:w="2549" w:type="dxa"/>
            <w:gridSpan w:val="2"/>
          </w:tcPr>
          <w:p w:rsidR="004F31D3" w:rsidRDefault="00D13D16">
            <w:pPr>
              <w:pStyle w:val="nTable"/>
              <w:spacing w:after="40"/>
              <w:rPr>
                <w:sz w:val="19"/>
              </w:rPr>
            </w:pPr>
            <w:r>
              <w:rPr>
                <w:sz w:val="19"/>
              </w:rPr>
              <w:t>11 May 2006 (see s. 2)</w:t>
            </w:r>
          </w:p>
        </w:tc>
      </w:tr>
      <w:tr w:rsidR="004F31D3">
        <w:trPr>
          <w:gridAfter w:val="1"/>
          <w:wAfter w:w="6" w:type="dxa"/>
        </w:trPr>
        <w:tc>
          <w:tcPr>
            <w:tcW w:w="2265" w:type="dxa"/>
            <w:gridSpan w:val="2"/>
          </w:tcPr>
          <w:p w:rsidR="004F31D3" w:rsidRDefault="00D13D16">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rsidR="004F31D3" w:rsidRDefault="00D13D16">
            <w:pPr>
              <w:pStyle w:val="nTable"/>
              <w:spacing w:after="40"/>
              <w:rPr>
                <w:sz w:val="19"/>
              </w:rPr>
            </w:pPr>
            <w:r>
              <w:rPr>
                <w:sz w:val="19"/>
              </w:rPr>
              <w:t>21 of 2006</w:t>
            </w:r>
          </w:p>
        </w:tc>
        <w:tc>
          <w:tcPr>
            <w:tcW w:w="1131" w:type="dxa"/>
          </w:tcPr>
          <w:p w:rsidR="004F31D3" w:rsidRDefault="00D13D16">
            <w:pPr>
              <w:pStyle w:val="nTable"/>
              <w:spacing w:after="40"/>
              <w:rPr>
                <w:sz w:val="19"/>
              </w:rPr>
            </w:pPr>
            <w:r>
              <w:rPr>
                <w:sz w:val="19"/>
              </w:rPr>
              <w:t>9 Jun 2006</w:t>
            </w:r>
          </w:p>
        </w:tc>
        <w:tc>
          <w:tcPr>
            <w:tcW w:w="2549" w:type="dxa"/>
            <w:gridSpan w:val="2"/>
          </w:tcPr>
          <w:p w:rsidR="004F31D3" w:rsidRDefault="00D13D16">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4F31D3">
        <w:trPr>
          <w:gridAfter w:val="1"/>
          <w:wAfter w:w="6" w:type="dxa"/>
        </w:trPr>
        <w:tc>
          <w:tcPr>
            <w:tcW w:w="2265" w:type="dxa"/>
            <w:gridSpan w:val="2"/>
          </w:tcPr>
          <w:p w:rsidR="004F31D3" w:rsidRDefault="00D13D16">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rsidR="004F31D3" w:rsidRDefault="00D13D16">
            <w:pPr>
              <w:pStyle w:val="nTable"/>
              <w:spacing w:after="40"/>
              <w:rPr>
                <w:sz w:val="19"/>
              </w:rPr>
            </w:pPr>
            <w:r>
              <w:rPr>
                <w:snapToGrid w:val="0"/>
                <w:sz w:val="19"/>
                <w:lang w:val="en-US"/>
              </w:rPr>
              <w:t>50 of 2006</w:t>
            </w:r>
          </w:p>
        </w:tc>
        <w:tc>
          <w:tcPr>
            <w:tcW w:w="1131" w:type="dxa"/>
          </w:tcPr>
          <w:p w:rsidR="004F31D3" w:rsidRDefault="00D13D16">
            <w:pPr>
              <w:pStyle w:val="nTable"/>
              <w:spacing w:after="40"/>
              <w:rPr>
                <w:sz w:val="19"/>
              </w:rPr>
            </w:pPr>
            <w:r>
              <w:rPr>
                <w:sz w:val="19"/>
              </w:rPr>
              <w:t>6 Oct 2006</w:t>
            </w:r>
          </w:p>
        </w:tc>
        <w:tc>
          <w:tcPr>
            <w:tcW w:w="2549" w:type="dxa"/>
            <w:gridSpan w:val="2"/>
          </w:tcPr>
          <w:p w:rsidR="004F31D3" w:rsidRDefault="00D13D16">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4F31D3">
        <w:trPr>
          <w:gridAfter w:val="1"/>
          <w:wAfter w:w="6" w:type="dxa"/>
          <w:cantSplit/>
        </w:trPr>
        <w:tc>
          <w:tcPr>
            <w:tcW w:w="7076" w:type="dxa"/>
            <w:gridSpan w:val="7"/>
          </w:tcPr>
          <w:p w:rsidR="004F31D3" w:rsidRDefault="00D13D16">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rsidR="004F31D3">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rsidR="004F31D3" w:rsidRDefault="00D13D16">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rsidR="004F31D3" w:rsidRDefault="00D13D16">
            <w:pPr>
              <w:pStyle w:val="nTable"/>
              <w:spacing w:after="40"/>
              <w:rPr>
                <w:sz w:val="19"/>
              </w:rPr>
            </w:pPr>
            <w:r>
              <w:rPr>
                <w:sz w:val="19"/>
              </w:rPr>
              <w:t>22 of 2008</w:t>
            </w:r>
          </w:p>
        </w:tc>
        <w:tc>
          <w:tcPr>
            <w:tcW w:w="1161" w:type="dxa"/>
            <w:gridSpan w:val="3"/>
            <w:tcBorders>
              <w:top w:val="nil"/>
              <w:bottom w:val="nil"/>
            </w:tcBorders>
          </w:tcPr>
          <w:p w:rsidR="004F31D3" w:rsidRDefault="00D13D16">
            <w:pPr>
              <w:pStyle w:val="nTable"/>
              <w:spacing w:after="40"/>
              <w:rPr>
                <w:sz w:val="19"/>
              </w:rPr>
            </w:pPr>
            <w:r>
              <w:rPr>
                <w:sz w:val="19"/>
              </w:rPr>
              <w:t>27 May 2008</w:t>
            </w:r>
          </w:p>
        </w:tc>
        <w:tc>
          <w:tcPr>
            <w:tcW w:w="2536" w:type="dxa"/>
            <w:gridSpan w:val="2"/>
            <w:tcBorders>
              <w:top w:val="nil"/>
              <w:bottom w:val="nil"/>
            </w:tcBorders>
          </w:tcPr>
          <w:p w:rsidR="004F31D3" w:rsidRDefault="00D13D16">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4F31D3">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rsidR="004F31D3" w:rsidRDefault="00D13D16">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single" w:sz="4" w:space="0" w:color="auto"/>
            </w:tcBorders>
          </w:tcPr>
          <w:p w:rsidR="004F31D3" w:rsidRDefault="00D13D16">
            <w:pPr>
              <w:pStyle w:val="nTable"/>
              <w:spacing w:after="40"/>
              <w:rPr>
                <w:sz w:val="19"/>
              </w:rPr>
            </w:pPr>
            <w:r>
              <w:rPr>
                <w:snapToGrid w:val="0"/>
                <w:sz w:val="19"/>
                <w:lang w:val="en-US"/>
              </w:rPr>
              <w:t>19 of 2010</w:t>
            </w:r>
          </w:p>
        </w:tc>
        <w:tc>
          <w:tcPr>
            <w:tcW w:w="1161" w:type="dxa"/>
            <w:gridSpan w:val="3"/>
            <w:tcBorders>
              <w:top w:val="nil"/>
              <w:bottom w:val="single" w:sz="4" w:space="0" w:color="auto"/>
            </w:tcBorders>
          </w:tcPr>
          <w:p w:rsidR="004F31D3" w:rsidRDefault="00D13D16">
            <w:pPr>
              <w:pStyle w:val="nTable"/>
              <w:spacing w:after="40"/>
              <w:rPr>
                <w:sz w:val="19"/>
              </w:rPr>
            </w:pPr>
            <w:r>
              <w:rPr>
                <w:snapToGrid w:val="0"/>
                <w:sz w:val="19"/>
                <w:lang w:val="en-US"/>
              </w:rPr>
              <w:t>28 Jun 2010</w:t>
            </w:r>
          </w:p>
        </w:tc>
        <w:tc>
          <w:tcPr>
            <w:tcW w:w="2536" w:type="dxa"/>
            <w:gridSpan w:val="2"/>
            <w:tcBorders>
              <w:top w:val="nil"/>
              <w:bottom w:val="single" w:sz="4" w:space="0" w:color="auto"/>
            </w:tcBorders>
          </w:tcPr>
          <w:p w:rsidR="004F31D3" w:rsidRDefault="00D13D16">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4F31D3" w:rsidRDefault="004F31D3"/>
    <w:p w:rsidR="004F31D3" w:rsidRDefault="00D13D1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F31D3" w:rsidRDefault="00D13D16">
      <w:pPr>
        <w:pStyle w:val="nHeading3"/>
      </w:pPr>
      <w:bookmarkStart w:id="193" w:name="_Toc7405065"/>
      <w:bookmarkStart w:id="194" w:name="_Toc267655922"/>
      <w:bookmarkStart w:id="195" w:name="_Toc272150287"/>
      <w:r>
        <w:t>Provisions that have not come into operation</w:t>
      </w:r>
      <w:bookmarkEnd w:id="193"/>
      <w:bookmarkEnd w:id="194"/>
      <w:bookmarkEnd w:id="19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rsidR="004F31D3">
        <w:tc>
          <w:tcPr>
            <w:tcW w:w="2224" w:type="dxa"/>
            <w:tcBorders>
              <w:bottom w:val="single" w:sz="4" w:space="0" w:color="auto"/>
            </w:tcBorders>
          </w:tcPr>
          <w:p w:rsidR="004F31D3" w:rsidRDefault="00D13D16">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rsidR="004F31D3" w:rsidRDefault="00D13D16">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rsidR="004F31D3" w:rsidRDefault="00D13D16">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rsidR="004F31D3" w:rsidRDefault="00D13D16">
            <w:pPr>
              <w:pStyle w:val="nTable"/>
              <w:spacing w:after="40"/>
              <w:rPr>
                <w:b/>
                <w:snapToGrid w:val="0"/>
                <w:sz w:val="19"/>
                <w:lang w:val="en-US"/>
              </w:rPr>
            </w:pPr>
            <w:r>
              <w:rPr>
                <w:b/>
                <w:snapToGrid w:val="0"/>
                <w:sz w:val="19"/>
                <w:lang w:val="en-US"/>
              </w:rPr>
              <w:t>Commencement</w:t>
            </w:r>
          </w:p>
        </w:tc>
      </w:tr>
      <w:tr w:rsidR="004F31D3">
        <w:tblPrEx>
          <w:tblBorders>
            <w:top w:val="none" w:sz="0" w:space="0" w:color="auto"/>
            <w:bottom w:val="none" w:sz="0" w:space="0" w:color="auto"/>
            <w:insideH w:val="none" w:sz="0" w:space="0" w:color="auto"/>
          </w:tblBorders>
          <w:tblCellMar>
            <w:left w:w="56" w:type="dxa"/>
            <w:right w:w="56" w:type="dxa"/>
          </w:tblCellMar>
        </w:tblPrEx>
        <w:trPr>
          <w:cantSplit/>
        </w:trPr>
        <w:tc>
          <w:tcPr>
            <w:tcW w:w="2224" w:type="dxa"/>
            <w:tcBorders>
              <w:top w:val="single" w:sz="4" w:space="0" w:color="auto"/>
            </w:tcBorders>
          </w:tcPr>
          <w:p w:rsidR="004F31D3" w:rsidRDefault="00D13D16">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2</w:t>
            </w:r>
          </w:p>
        </w:tc>
        <w:tc>
          <w:tcPr>
            <w:tcW w:w="1109" w:type="dxa"/>
            <w:tcBorders>
              <w:top w:val="single" w:sz="4" w:space="0" w:color="auto"/>
            </w:tcBorders>
          </w:tcPr>
          <w:p w:rsidR="004F31D3" w:rsidRDefault="00D13D16">
            <w:pPr>
              <w:pStyle w:val="nTable"/>
              <w:spacing w:after="40"/>
              <w:rPr>
                <w:snapToGrid w:val="0"/>
                <w:sz w:val="19"/>
                <w:lang w:val="en-US"/>
              </w:rPr>
            </w:pPr>
            <w:r>
              <w:rPr>
                <w:snapToGrid w:val="0"/>
                <w:sz w:val="19"/>
                <w:lang w:val="en-US"/>
              </w:rPr>
              <w:t>33 of 2010</w:t>
            </w:r>
          </w:p>
        </w:tc>
        <w:tc>
          <w:tcPr>
            <w:tcW w:w="1106" w:type="dxa"/>
            <w:tcBorders>
              <w:top w:val="single" w:sz="4" w:space="0" w:color="auto"/>
            </w:tcBorders>
          </w:tcPr>
          <w:p w:rsidR="004F31D3" w:rsidRDefault="00D13D16">
            <w:pPr>
              <w:pStyle w:val="nTable"/>
              <w:spacing w:after="40"/>
              <w:rPr>
                <w:snapToGrid w:val="0"/>
                <w:sz w:val="19"/>
                <w:lang w:val="en-US"/>
              </w:rPr>
            </w:pPr>
            <w:r>
              <w:rPr>
                <w:snapToGrid w:val="0"/>
                <w:sz w:val="19"/>
                <w:lang w:val="en-US"/>
              </w:rPr>
              <w:t>30 Aug 2010</w:t>
            </w:r>
          </w:p>
        </w:tc>
        <w:tc>
          <w:tcPr>
            <w:tcW w:w="2616" w:type="dxa"/>
            <w:gridSpan w:val="2"/>
            <w:tcBorders>
              <w:top w:val="single" w:sz="4" w:space="0" w:color="auto"/>
            </w:tcBorders>
          </w:tcPr>
          <w:p w:rsidR="004F31D3" w:rsidRDefault="00D13D16">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rsidR="004F31D3">
        <w:tblPrEx>
          <w:tblCellMar>
            <w:left w:w="56" w:type="dxa"/>
            <w:right w:w="56" w:type="dxa"/>
          </w:tblCellMar>
        </w:tblPrEx>
        <w:trPr>
          <w:cantSplit/>
        </w:trPr>
        <w:tc>
          <w:tcPr>
            <w:tcW w:w="2224" w:type="dxa"/>
            <w:tcBorders>
              <w:top w:val="nil"/>
              <w:bottom w:val="single" w:sz="4" w:space="0" w:color="auto"/>
            </w:tcBorders>
          </w:tcPr>
          <w:p w:rsidR="004F31D3" w:rsidRDefault="00D13D16">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24</w:t>
            </w:r>
            <w:r>
              <w:rPr>
                <w:iCs/>
                <w:snapToGrid w:val="0"/>
                <w:sz w:val="19"/>
                <w:vertAlign w:val="superscript"/>
                <w:lang w:val="en-US"/>
              </w:rPr>
              <w:t> 3</w:t>
            </w:r>
          </w:p>
        </w:tc>
        <w:tc>
          <w:tcPr>
            <w:tcW w:w="1109" w:type="dxa"/>
            <w:tcBorders>
              <w:top w:val="nil"/>
              <w:bottom w:val="single" w:sz="4" w:space="0" w:color="auto"/>
            </w:tcBorders>
          </w:tcPr>
          <w:p w:rsidR="004F31D3" w:rsidRDefault="00D13D16">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rsidR="004F31D3" w:rsidRDefault="00D13D16">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rsidR="004F31D3" w:rsidRDefault="00D13D16">
            <w:pPr>
              <w:pStyle w:val="nTable"/>
              <w:spacing w:after="40"/>
              <w:rPr>
                <w:snapToGrid w:val="0"/>
                <w:sz w:val="19"/>
                <w:lang w:val="en-US"/>
              </w:rPr>
            </w:pPr>
            <w:r>
              <w:rPr>
                <w:snapToGrid w:val="0"/>
                <w:sz w:val="19"/>
                <w:lang w:val="en-US"/>
              </w:rPr>
              <w:t xml:space="preserve">s. 77 and 78(1): 18 Oct 2010 (see s. 2(b) and </w:t>
            </w:r>
            <w:r>
              <w:rPr>
                <w:i/>
                <w:snapToGrid w:val="0"/>
                <w:sz w:val="19"/>
                <w:lang w:val="en-US"/>
              </w:rPr>
              <w:t xml:space="preserve">Gazette </w:t>
            </w:r>
            <w:r>
              <w:rPr>
                <w:iCs/>
                <w:snapToGrid w:val="0"/>
                <w:sz w:val="19"/>
                <w:lang w:val="en-US"/>
              </w:rPr>
              <w:t>1 Oct 2010 p. 5075</w:t>
            </w:r>
            <w:r>
              <w:rPr>
                <w:snapToGrid w:val="0"/>
                <w:sz w:val="19"/>
                <w:lang w:val="en-US"/>
              </w:rPr>
              <w:t>);</w:t>
            </w:r>
            <w:r>
              <w:rPr>
                <w:snapToGrid w:val="0"/>
                <w:sz w:val="19"/>
                <w:lang w:val="en-US"/>
              </w:rPr>
              <w:br/>
              <w:t>s. 78(2): to be proclaimed (see s. 2(b))</w:t>
            </w:r>
          </w:p>
        </w:tc>
      </w:tr>
    </w:tbl>
    <w:p w:rsidR="004F31D3" w:rsidRDefault="00D13D16">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rsidR="004F31D3" w:rsidRDefault="004F31D3">
      <w:pPr>
        <w:pStyle w:val="BlankOpen"/>
      </w:pPr>
    </w:p>
    <w:p w:rsidR="004F31D3" w:rsidRDefault="00D13D16">
      <w:pPr>
        <w:pStyle w:val="nzHeading5"/>
      </w:pPr>
      <w:bookmarkStart w:id="196" w:name="_Toc270405739"/>
      <w:bookmarkStart w:id="197" w:name="_Toc271010586"/>
      <w:r>
        <w:rPr>
          <w:rStyle w:val="CharSectno"/>
        </w:rPr>
        <w:t>58</w:t>
      </w:r>
      <w:r>
        <w:t>.</w:t>
      </w:r>
      <w:r>
        <w:tab/>
      </w:r>
      <w:r>
        <w:rPr>
          <w:i/>
        </w:rPr>
        <w:t xml:space="preserve">Health Professionals (Special Events Exemption) Act 2000 </w:t>
      </w:r>
      <w:r>
        <w:t>amended</w:t>
      </w:r>
      <w:bookmarkEnd w:id="196"/>
      <w:bookmarkEnd w:id="197"/>
    </w:p>
    <w:p w:rsidR="004F31D3" w:rsidRDefault="00D13D16">
      <w:pPr>
        <w:pStyle w:val="nzSubsection"/>
      </w:pPr>
      <w:r>
        <w:tab/>
        <w:t>(1)</w:t>
      </w:r>
      <w:r>
        <w:tab/>
        <w:t xml:space="preserve">This section amends the </w:t>
      </w:r>
      <w:r>
        <w:rPr>
          <w:i/>
        </w:rPr>
        <w:t>Health Professionals (Special Events Exemption) Act 2000</w:t>
      </w:r>
      <w:r>
        <w:t>.</w:t>
      </w:r>
    </w:p>
    <w:p w:rsidR="004F31D3" w:rsidRDefault="00D13D16">
      <w:pPr>
        <w:pStyle w:val="nzSubsection"/>
      </w:pPr>
      <w:r>
        <w:tab/>
        <w:t>(2)</w:t>
      </w:r>
      <w:r>
        <w:tab/>
        <w:t>In section 13(1) delete “</w:t>
      </w:r>
      <w:r>
        <w:rPr>
          <w:i/>
        </w:rPr>
        <w:t>Health Services (Conciliation and Review) Act 1995</w:t>
      </w:r>
      <w:r>
        <w:t>” and insert:</w:t>
      </w:r>
    </w:p>
    <w:p w:rsidR="004F31D3" w:rsidRDefault="004F31D3">
      <w:pPr>
        <w:pStyle w:val="BlankOpen"/>
      </w:pPr>
    </w:p>
    <w:p w:rsidR="004F31D3" w:rsidRDefault="00D13D16">
      <w:pPr>
        <w:pStyle w:val="nzSubsection"/>
      </w:pPr>
      <w:r>
        <w:tab/>
      </w:r>
      <w:r>
        <w:tab/>
      </w:r>
      <w:r>
        <w:rPr>
          <w:i/>
          <w:iCs/>
        </w:rPr>
        <w:t>Health and Disability Services (Complaints) Act 1995</w:t>
      </w:r>
    </w:p>
    <w:p w:rsidR="004F31D3" w:rsidRDefault="004F31D3">
      <w:pPr>
        <w:pStyle w:val="BlankClose"/>
      </w:pPr>
    </w:p>
    <w:p w:rsidR="004F31D3" w:rsidRDefault="004F31D3">
      <w:pPr>
        <w:pStyle w:val="BlankClose"/>
      </w:pPr>
    </w:p>
    <w:p w:rsidR="004F31D3" w:rsidRDefault="00D13D16">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24 had not come into operation.  It reads as follows:</w:t>
      </w:r>
    </w:p>
    <w:p w:rsidR="004F31D3" w:rsidRDefault="004F31D3">
      <w:pPr>
        <w:pStyle w:val="BlankOpen"/>
      </w:pPr>
    </w:p>
    <w:p w:rsidR="004F31D3" w:rsidRDefault="00D13D16">
      <w:pPr>
        <w:pStyle w:val="nzHeading3"/>
      </w:pPr>
      <w:bookmarkStart w:id="198" w:name="_Toc262066672"/>
      <w:bookmarkStart w:id="199" w:name="_Toc270079221"/>
      <w:bookmarkStart w:id="200"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198"/>
      <w:bookmarkEnd w:id="199"/>
      <w:bookmarkEnd w:id="200"/>
    </w:p>
    <w:p w:rsidR="004F31D3" w:rsidRDefault="00D13D16">
      <w:pPr>
        <w:pStyle w:val="nzHeading5"/>
      </w:pPr>
      <w:bookmarkStart w:id="201" w:name="_Toc270349142"/>
      <w:r>
        <w:rPr>
          <w:rStyle w:val="CharSectno"/>
        </w:rPr>
        <w:t>77</w:t>
      </w:r>
      <w:r>
        <w:t>.</w:t>
      </w:r>
      <w:r>
        <w:tab/>
        <w:t>Act amended</w:t>
      </w:r>
      <w:bookmarkEnd w:id="201"/>
    </w:p>
    <w:p w:rsidR="004F31D3" w:rsidRDefault="00D13D16">
      <w:pPr>
        <w:pStyle w:val="nzSubsection"/>
      </w:pPr>
      <w:r>
        <w:tab/>
      </w:r>
      <w:r>
        <w:tab/>
        <w:t xml:space="preserve">This Division amends the </w:t>
      </w:r>
      <w:r>
        <w:rPr>
          <w:i/>
          <w:iCs/>
        </w:rPr>
        <w:t>Health Professionals (Special Events Exemption) Act 2000</w:t>
      </w:r>
      <w:r>
        <w:t>.</w:t>
      </w:r>
    </w:p>
    <w:p w:rsidR="004F31D3" w:rsidRDefault="00D13D16">
      <w:pPr>
        <w:pStyle w:val="nzHeading5"/>
      </w:pPr>
      <w:bookmarkStart w:id="202" w:name="_Toc270349143"/>
      <w:r>
        <w:rPr>
          <w:rStyle w:val="CharSectno"/>
        </w:rPr>
        <w:t>78</w:t>
      </w:r>
      <w:r>
        <w:t>.</w:t>
      </w:r>
      <w:r>
        <w:tab/>
        <w:t>Section 3 amended</w:t>
      </w:r>
      <w:bookmarkEnd w:id="202"/>
    </w:p>
    <w:p w:rsidR="004F31D3" w:rsidRDefault="00D13D16">
      <w:pPr>
        <w:pStyle w:val="nzSubsection"/>
      </w:pPr>
      <w:r>
        <w:tab/>
        <w:t>(1)</w:t>
      </w:r>
      <w:r>
        <w:tab/>
        <w:t xml:space="preserve">In section 3(1) delete the definition of </w:t>
      </w:r>
      <w:r>
        <w:rPr>
          <w:b/>
          <w:bCs/>
          <w:i/>
          <w:iCs/>
        </w:rPr>
        <w:t>Health Registration Act</w:t>
      </w:r>
      <w:r>
        <w:t xml:space="preserve"> and insert:</w:t>
      </w:r>
    </w:p>
    <w:p w:rsidR="004F31D3" w:rsidRDefault="004F31D3">
      <w:pPr>
        <w:pStyle w:val="BlankOpen"/>
      </w:pPr>
    </w:p>
    <w:p w:rsidR="004F31D3" w:rsidRDefault="00D13D16">
      <w:pPr>
        <w:pStyle w:val="nzDefstart"/>
      </w:pPr>
      <w:r>
        <w:tab/>
      </w:r>
      <w:r>
        <w:rPr>
          <w:rStyle w:val="CharDefText"/>
        </w:rPr>
        <w:t>Health Registration Act</w:t>
      </w:r>
      <w:r>
        <w:t xml:space="preserve"> means any of the following Acts — </w:t>
      </w:r>
    </w:p>
    <w:p w:rsidR="004F31D3" w:rsidRDefault="00D13D16">
      <w:pPr>
        <w:pStyle w:val="nzDefpara"/>
      </w:pPr>
      <w:r>
        <w:tab/>
        <w:t>(a)</w:t>
      </w:r>
      <w:r>
        <w:tab/>
      </w:r>
      <w:r>
        <w:rPr>
          <w:i/>
          <w:iCs/>
        </w:rPr>
        <w:t>Medical Radiation Technologists Act 2006</w:t>
      </w:r>
      <w:r>
        <w:t>;</w:t>
      </w:r>
    </w:p>
    <w:p w:rsidR="004F31D3" w:rsidRDefault="00D13D16">
      <w:pPr>
        <w:pStyle w:val="nzDefpara"/>
      </w:pPr>
      <w:r>
        <w:tab/>
        <w:t>(b)</w:t>
      </w:r>
      <w:r>
        <w:tab/>
      </w:r>
      <w:r>
        <w:rPr>
          <w:i/>
          <w:iCs/>
        </w:rPr>
        <w:t>National Health Practitioner Regulation National Law (Western Australia)</w:t>
      </w:r>
      <w:r>
        <w:t>;</w:t>
      </w:r>
    </w:p>
    <w:p w:rsidR="004F31D3" w:rsidRDefault="00D13D16">
      <w:pPr>
        <w:pStyle w:val="nzDefpara"/>
      </w:pPr>
      <w:r>
        <w:tab/>
        <w:t>(c)</w:t>
      </w:r>
      <w:r>
        <w:tab/>
      </w:r>
      <w:r>
        <w:rPr>
          <w:i/>
          <w:iCs/>
        </w:rPr>
        <w:t>Occupational Therapists Act 2005</w:t>
      </w:r>
      <w:r>
        <w:t>;</w:t>
      </w:r>
    </w:p>
    <w:p w:rsidR="004F31D3" w:rsidRDefault="004F31D3">
      <w:pPr>
        <w:pStyle w:val="BlankClose"/>
      </w:pPr>
    </w:p>
    <w:p w:rsidR="004F31D3" w:rsidRDefault="00D13D16">
      <w:pPr>
        <w:pStyle w:val="nzSubsection"/>
      </w:pPr>
      <w:r>
        <w:tab/>
        <w:t>(2)</w:t>
      </w:r>
      <w:r>
        <w:tab/>
        <w:t xml:space="preserve">In section 3(1) delete the definition of </w:t>
      </w:r>
      <w:r>
        <w:rPr>
          <w:b/>
          <w:bCs/>
          <w:i/>
          <w:iCs/>
        </w:rPr>
        <w:t>Health Registration Act</w:t>
      </w:r>
      <w:r>
        <w:t xml:space="preserve"> and insert:</w:t>
      </w:r>
    </w:p>
    <w:p w:rsidR="004F31D3" w:rsidRDefault="004F31D3">
      <w:pPr>
        <w:pStyle w:val="BlankOpen"/>
        <w:keepNext w:val="0"/>
        <w:keepLines w:val="0"/>
      </w:pPr>
    </w:p>
    <w:p w:rsidR="004F31D3" w:rsidRDefault="00D13D16">
      <w:pPr>
        <w:pStyle w:val="nzDefstart"/>
      </w:pPr>
      <w:r>
        <w:tab/>
      </w:r>
      <w:r>
        <w:rPr>
          <w:rStyle w:val="CharDefText"/>
        </w:rPr>
        <w:t>Health Registration Act</w:t>
      </w:r>
      <w:r>
        <w:t xml:space="preserve"> means the </w:t>
      </w:r>
      <w:r>
        <w:rPr>
          <w:i/>
          <w:iCs/>
        </w:rPr>
        <w:t>National Health Practitioner Regulation National Law (Western Australia)</w:t>
      </w:r>
      <w:r>
        <w:t>;</w:t>
      </w:r>
    </w:p>
    <w:p w:rsidR="004F31D3" w:rsidRDefault="004F31D3">
      <w:pPr>
        <w:pStyle w:val="BlankClose"/>
      </w:pPr>
    </w:p>
    <w:p w:rsidR="004F31D3" w:rsidRDefault="004F31D3">
      <w:pPr>
        <w:pStyle w:val="BlankClose"/>
      </w:pPr>
    </w:p>
    <w:p w:rsidR="004F31D3" w:rsidRDefault="004F31D3"/>
    <w:p w:rsidR="004F31D3" w:rsidRDefault="004F31D3">
      <w:pPr>
        <w:sectPr w:rsidR="004F31D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F31D3" w:rsidRDefault="004F31D3"/>
    <w:sectPr w:rsidR="004F31D3">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D3" w:rsidRDefault="00D13D16">
      <w:r>
        <w:separator/>
      </w:r>
    </w:p>
  </w:endnote>
  <w:endnote w:type="continuationSeparator" w:id="0">
    <w:p w:rsidR="004F31D3" w:rsidRDefault="00D1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p>
  <w:p w:rsidR="004F31D3" w:rsidRDefault="00D13D1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4F31D3" w:rsidRDefault="00D13D1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4F31D3" w:rsidRDefault="00D13D1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2EA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p>
  <w:p w:rsidR="004F31D3" w:rsidRDefault="00D13D1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F31D3" w:rsidRDefault="00D13D1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2EA8">
      <w:rPr>
        <w:rStyle w:val="PageNumber"/>
        <w:rFonts w:ascii="Arial" w:hAnsi="Arial" w:cs="Arial"/>
        <w:noProof/>
      </w:rPr>
      <w:t>i</w:t>
    </w:r>
    <w:r>
      <w:rPr>
        <w:rStyle w:val="PageNumber"/>
        <w:rFonts w:ascii="Arial" w:hAnsi="Arial" w:cs="Arial"/>
      </w:rPr>
      <w:fldChar w:fldCharType="end"/>
    </w:r>
  </w:p>
  <w:p w:rsidR="004F31D3" w:rsidRDefault="00D13D1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EA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4F31D3" w:rsidRDefault="00D13D1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EA8">
      <w:rPr>
        <w:rStyle w:val="CharPageNo"/>
        <w:rFonts w:ascii="Arial" w:hAnsi="Arial"/>
        <w:noProof/>
      </w:rPr>
      <w:t>15</w:t>
    </w:r>
    <w:r>
      <w:rPr>
        <w:rStyle w:val="CharPageNo"/>
        <w:rFonts w:ascii="Arial" w:hAnsi="Arial"/>
      </w:rPr>
      <w:fldChar w:fldCharType="end"/>
    </w:r>
  </w:p>
  <w:p w:rsidR="004F31D3" w:rsidRDefault="00D13D1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Footer"/>
      <w:tabs>
        <w:tab w:val="clear" w:pos="4153"/>
        <w:tab w:val="right" w:pos="7088"/>
      </w:tabs>
      <w:rPr>
        <w:rStyle w:val="PageNumber"/>
      </w:rPr>
    </w:pPr>
  </w:p>
  <w:p w:rsidR="004F31D3" w:rsidRDefault="00D13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EA8">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EA8">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EA8">
      <w:rPr>
        <w:rStyle w:val="CharPageNo"/>
        <w:rFonts w:ascii="Arial" w:hAnsi="Arial"/>
        <w:noProof/>
      </w:rPr>
      <w:t>1</w:t>
    </w:r>
    <w:r>
      <w:rPr>
        <w:rStyle w:val="CharPageNo"/>
        <w:rFonts w:ascii="Arial" w:hAnsi="Arial"/>
      </w:rPr>
      <w:fldChar w:fldCharType="end"/>
    </w:r>
  </w:p>
  <w:p w:rsidR="004F31D3" w:rsidRDefault="00D13D1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D3" w:rsidRDefault="00D13D16">
      <w:r>
        <w:separator/>
      </w:r>
    </w:p>
  </w:footnote>
  <w:footnote w:type="continuationSeparator" w:id="0">
    <w:p w:rsidR="004F31D3" w:rsidRDefault="00D1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F31D3">
      <w:trPr>
        <w:cantSplit/>
      </w:trPr>
      <w:tc>
        <w:tcPr>
          <w:tcW w:w="7160" w:type="dxa"/>
          <w:gridSpan w:val="2"/>
        </w:tcPr>
        <w:p w:rsidR="004F31D3" w:rsidRDefault="00D13D16">
          <w:pPr>
            <w:pStyle w:val="HeaderActNameRight"/>
          </w:pPr>
          <w:fldSimple w:instr=" Styleref &quot;Name of Act/Reg&quot; ">
            <w:r w:rsidR="00652EA8">
              <w:rPr>
                <w:noProof/>
              </w:rPr>
              <w:t>Health Professionals (Special Events Exemption) Act 2000</w:t>
            </w:r>
          </w:fldSimple>
        </w:p>
      </w:tc>
    </w:tr>
    <w:tr w:rsidR="004F31D3">
      <w:tc>
        <w:tcPr>
          <w:tcW w:w="5760" w:type="dxa"/>
        </w:tcPr>
        <w:p w:rsidR="004F31D3" w:rsidRDefault="004F31D3">
          <w:pPr>
            <w:pStyle w:val="HeaderTextRight"/>
          </w:pPr>
        </w:p>
      </w:tc>
      <w:tc>
        <w:tcPr>
          <w:tcW w:w="1400" w:type="dxa"/>
        </w:tcPr>
        <w:p w:rsidR="004F31D3" w:rsidRDefault="004F31D3">
          <w:pPr>
            <w:pStyle w:val="HeaderNumberRight"/>
          </w:pPr>
        </w:p>
      </w:tc>
    </w:tr>
    <w:tr w:rsidR="004F31D3">
      <w:tc>
        <w:tcPr>
          <w:tcW w:w="5760" w:type="dxa"/>
        </w:tcPr>
        <w:p w:rsidR="004F31D3" w:rsidRDefault="004F31D3">
          <w:pPr>
            <w:pStyle w:val="HeaderTextRight"/>
          </w:pPr>
        </w:p>
      </w:tc>
      <w:tc>
        <w:tcPr>
          <w:tcW w:w="1400" w:type="dxa"/>
        </w:tcPr>
        <w:p w:rsidR="004F31D3" w:rsidRDefault="004F31D3">
          <w:pPr>
            <w:pStyle w:val="HeaderNumberRight"/>
          </w:pPr>
        </w:p>
      </w:tc>
    </w:tr>
    <w:tr w:rsidR="004F31D3">
      <w:trPr>
        <w:cantSplit/>
      </w:trPr>
      <w:tc>
        <w:tcPr>
          <w:tcW w:w="7160" w:type="dxa"/>
          <w:gridSpan w:val="2"/>
        </w:tcPr>
        <w:p w:rsidR="004F31D3" w:rsidRDefault="004F31D3">
          <w:pPr>
            <w:pStyle w:val="HeaderSectionRight"/>
          </w:pPr>
        </w:p>
      </w:tc>
    </w:tr>
  </w:tbl>
  <w:p w:rsidR="004F31D3" w:rsidRDefault="004F31D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D13D16">
    <w:pPr>
      <w:pStyle w:val="headerpartodd"/>
      <w:ind w:left="0" w:firstLine="0"/>
      <w:rPr>
        <w:i/>
      </w:rPr>
    </w:pPr>
    <w:r>
      <w:rPr>
        <w:i/>
      </w:rPr>
      <w:fldChar w:fldCharType="begin"/>
    </w:r>
    <w:r>
      <w:rPr>
        <w:i/>
      </w:rPr>
      <w:instrText xml:space="preserve"> Styleref "Name of Act/Reg" </w:instrText>
    </w:r>
    <w:r>
      <w:rPr>
        <w:i/>
      </w:rPr>
      <w:fldChar w:fldCharType="separate"/>
    </w:r>
    <w:r w:rsidR="00652EA8">
      <w:rPr>
        <w:i/>
        <w:noProof/>
      </w:rPr>
      <w:t>Health Professionals (Special Events Exemption) Act 2000</w:t>
    </w:r>
    <w:r>
      <w:rPr>
        <w:i/>
      </w:rPr>
      <w:fldChar w:fldCharType="end"/>
    </w:r>
  </w:p>
  <w:p w:rsidR="004F31D3" w:rsidRDefault="004F31D3">
    <w:pPr>
      <w:pStyle w:val="headerpartodd"/>
      <w:ind w:left="0" w:firstLine="0"/>
      <w:rPr>
        <w:b w:val="0"/>
        <w:i/>
      </w:rPr>
    </w:pPr>
  </w:p>
  <w:p w:rsidR="004F31D3" w:rsidRDefault="004F31D3">
    <w:pPr>
      <w:pStyle w:val="headerpart"/>
    </w:pPr>
  </w:p>
  <w:p w:rsidR="004F31D3" w:rsidRDefault="004F31D3">
    <w:pPr>
      <w:pStyle w:val="headerpart"/>
    </w:pPr>
  </w:p>
  <w:p w:rsidR="004F31D3" w:rsidRDefault="004F31D3">
    <w:pPr>
      <w:pBdr>
        <w:bottom w:val="single" w:sz="6" w:space="1" w:color="auto"/>
      </w:pBdr>
      <w:rPr>
        <w:b/>
      </w:rPr>
    </w:pPr>
  </w:p>
  <w:p w:rsidR="004F31D3" w:rsidRDefault="004F31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D13D16">
    <w:pPr>
      <w:pStyle w:val="headerpartodd"/>
      <w:ind w:left="0" w:firstLine="0"/>
      <w:jc w:val="right"/>
      <w:rPr>
        <w:i/>
      </w:rPr>
    </w:pPr>
    <w:r>
      <w:rPr>
        <w:i/>
      </w:rPr>
      <w:fldChar w:fldCharType="begin"/>
    </w:r>
    <w:r>
      <w:rPr>
        <w:i/>
      </w:rPr>
      <w:instrText xml:space="preserve"> Styleref "Name of Act/Reg" </w:instrText>
    </w:r>
    <w:r>
      <w:rPr>
        <w:i/>
      </w:rPr>
      <w:fldChar w:fldCharType="separate"/>
    </w:r>
    <w:r w:rsidR="00652EA8">
      <w:rPr>
        <w:i/>
        <w:noProof/>
      </w:rPr>
      <w:t>Health Professionals (Special Events Exemption) Act 2000</w:t>
    </w:r>
    <w:r>
      <w:rPr>
        <w:i/>
      </w:rPr>
      <w:fldChar w:fldCharType="end"/>
    </w:r>
  </w:p>
  <w:p w:rsidR="004F31D3" w:rsidRDefault="004F31D3">
    <w:pPr>
      <w:pStyle w:val="headerpartodd"/>
      <w:ind w:left="0" w:firstLine="0"/>
      <w:jc w:val="right"/>
      <w:rPr>
        <w:b w:val="0"/>
        <w:i/>
      </w:rPr>
    </w:pPr>
  </w:p>
  <w:p w:rsidR="004F31D3" w:rsidRDefault="004F31D3">
    <w:pPr>
      <w:pStyle w:val="headerpart"/>
      <w:jc w:val="right"/>
    </w:pPr>
  </w:p>
  <w:p w:rsidR="004F31D3" w:rsidRDefault="004F31D3">
    <w:pPr>
      <w:pStyle w:val="headerpart"/>
      <w:jc w:val="right"/>
    </w:pPr>
  </w:p>
  <w:p w:rsidR="004F31D3" w:rsidRDefault="004F31D3">
    <w:pPr>
      <w:pBdr>
        <w:bottom w:val="single" w:sz="6" w:space="1" w:color="auto"/>
      </w:pBdr>
      <w:jc w:val="right"/>
      <w:rPr>
        <w:b/>
      </w:rPr>
    </w:pPr>
  </w:p>
  <w:p w:rsidR="004F31D3" w:rsidRDefault="004F31D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31D3">
      <w:trPr>
        <w:cantSplit/>
      </w:trPr>
      <w:tc>
        <w:tcPr>
          <w:tcW w:w="7258" w:type="dxa"/>
          <w:gridSpan w:val="2"/>
        </w:tcPr>
        <w:p w:rsidR="004F31D3" w:rsidRDefault="00D13D16">
          <w:pPr>
            <w:pStyle w:val="HeaderActNameLeft"/>
          </w:pPr>
          <w:fldSimple w:instr=" Styleref &quot;Name of Act/Reg&quot; ">
            <w:r w:rsidR="00652EA8">
              <w:rPr>
                <w:noProof/>
              </w:rPr>
              <w:t>Health Professionals (Special Events Exemption) Act 2000</w:t>
            </w:r>
          </w:fldSimple>
        </w:p>
      </w:tc>
    </w:tr>
    <w:tr w:rsidR="004F31D3">
      <w:tc>
        <w:tcPr>
          <w:tcW w:w="1548" w:type="dxa"/>
        </w:tcPr>
        <w:p w:rsidR="004F31D3" w:rsidRDefault="004F31D3">
          <w:pPr>
            <w:pStyle w:val="HeaderNumberLeft"/>
          </w:pPr>
        </w:p>
      </w:tc>
      <w:tc>
        <w:tcPr>
          <w:tcW w:w="5715" w:type="dxa"/>
        </w:tcPr>
        <w:p w:rsidR="004F31D3" w:rsidRDefault="004F31D3">
          <w:pPr>
            <w:pStyle w:val="HeaderTextLeft"/>
          </w:pPr>
        </w:p>
      </w:tc>
    </w:tr>
    <w:tr w:rsidR="004F31D3">
      <w:tc>
        <w:tcPr>
          <w:tcW w:w="1548" w:type="dxa"/>
        </w:tcPr>
        <w:p w:rsidR="004F31D3" w:rsidRDefault="004F31D3">
          <w:pPr>
            <w:pStyle w:val="HeaderNumberLeft"/>
          </w:pPr>
        </w:p>
      </w:tc>
      <w:tc>
        <w:tcPr>
          <w:tcW w:w="5715" w:type="dxa"/>
        </w:tcPr>
        <w:p w:rsidR="004F31D3" w:rsidRDefault="004F31D3">
          <w:pPr>
            <w:pStyle w:val="HeaderTextLeft"/>
          </w:pPr>
        </w:p>
      </w:tc>
    </w:tr>
    <w:tr w:rsidR="004F31D3">
      <w:trPr>
        <w:cantSplit/>
      </w:trPr>
      <w:tc>
        <w:tcPr>
          <w:tcW w:w="7258" w:type="dxa"/>
          <w:gridSpan w:val="2"/>
        </w:tcPr>
        <w:p w:rsidR="004F31D3" w:rsidRDefault="00D13D16">
          <w:pPr>
            <w:pStyle w:val="HeaderSectionLeft"/>
            <w:rPr>
              <w:b w:val="0"/>
            </w:rPr>
          </w:pPr>
          <w:r>
            <w:rPr>
              <w:b w:val="0"/>
            </w:rPr>
            <w:t>Contents</w:t>
          </w:r>
        </w:p>
      </w:tc>
    </w:tr>
  </w:tbl>
  <w:p w:rsidR="004F31D3" w:rsidRDefault="004F31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31D3">
      <w:trPr>
        <w:cantSplit/>
      </w:trPr>
      <w:tc>
        <w:tcPr>
          <w:tcW w:w="7258" w:type="dxa"/>
          <w:gridSpan w:val="2"/>
        </w:tcPr>
        <w:p w:rsidR="004F31D3" w:rsidRDefault="00D13D16">
          <w:pPr>
            <w:pStyle w:val="HeaderActNameRight"/>
            <w:ind w:right="17"/>
          </w:pPr>
          <w:fldSimple w:instr=" Styleref &quot;Name of Act/Reg&quot; ">
            <w:r w:rsidR="00652EA8">
              <w:rPr>
                <w:noProof/>
              </w:rPr>
              <w:t>Health Professionals (Special Events Exemption) Act 2000</w:t>
            </w:r>
          </w:fldSimple>
        </w:p>
      </w:tc>
    </w:tr>
    <w:tr w:rsidR="004F31D3">
      <w:tc>
        <w:tcPr>
          <w:tcW w:w="5715" w:type="dxa"/>
        </w:tcPr>
        <w:p w:rsidR="004F31D3" w:rsidRDefault="004F31D3">
          <w:pPr>
            <w:pStyle w:val="HeaderTextRight"/>
          </w:pPr>
        </w:p>
      </w:tc>
      <w:tc>
        <w:tcPr>
          <w:tcW w:w="1548" w:type="dxa"/>
        </w:tcPr>
        <w:p w:rsidR="004F31D3" w:rsidRDefault="004F31D3">
          <w:pPr>
            <w:pStyle w:val="HeaderNumberRight"/>
            <w:ind w:right="17"/>
          </w:pPr>
        </w:p>
      </w:tc>
    </w:tr>
    <w:tr w:rsidR="004F31D3">
      <w:tc>
        <w:tcPr>
          <w:tcW w:w="5715" w:type="dxa"/>
        </w:tcPr>
        <w:p w:rsidR="004F31D3" w:rsidRDefault="004F31D3">
          <w:pPr>
            <w:pStyle w:val="HeaderTextRight"/>
          </w:pPr>
        </w:p>
      </w:tc>
      <w:tc>
        <w:tcPr>
          <w:tcW w:w="1548" w:type="dxa"/>
        </w:tcPr>
        <w:p w:rsidR="004F31D3" w:rsidRDefault="004F31D3">
          <w:pPr>
            <w:pStyle w:val="HeaderNumberRight"/>
            <w:ind w:right="17"/>
          </w:pPr>
        </w:p>
      </w:tc>
    </w:tr>
    <w:tr w:rsidR="004F31D3">
      <w:trPr>
        <w:cantSplit/>
      </w:trPr>
      <w:tc>
        <w:tcPr>
          <w:tcW w:w="7258" w:type="dxa"/>
          <w:gridSpan w:val="2"/>
        </w:tcPr>
        <w:p w:rsidR="004F31D3" w:rsidRDefault="00D13D16">
          <w:pPr>
            <w:pStyle w:val="HeaderSectionRight"/>
            <w:ind w:right="17"/>
            <w:rPr>
              <w:b w:val="0"/>
            </w:rPr>
          </w:pPr>
          <w:r>
            <w:rPr>
              <w:b w:val="0"/>
            </w:rPr>
            <w:t>Contents</w:t>
          </w:r>
        </w:p>
      </w:tc>
    </w:tr>
  </w:tbl>
  <w:p w:rsidR="004F31D3" w:rsidRDefault="004F31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31D3">
      <w:trPr>
        <w:cantSplit/>
      </w:trPr>
      <w:tc>
        <w:tcPr>
          <w:tcW w:w="7258" w:type="dxa"/>
          <w:gridSpan w:val="2"/>
        </w:tcPr>
        <w:p w:rsidR="004F31D3" w:rsidRDefault="00D13D16">
          <w:pPr>
            <w:pStyle w:val="HeaderActNameLeft"/>
          </w:pPr>
          <w:fldSimple w:instr=" Styleref &quot;Name of Act/Reg&quot; ">
            <w:r w:rsidR="00652EA8">
              <w:rPr>
                <w:noProof/>
              </w:rPr>
              <w:t>Health Professionals (Special Events Exemption) Act 2000</w:t>
            </w:r>
          </w:fldSimple>
        </w:p>
      </w:tc>
    </w:tr>
    <w:tr w:rsidR="004F31D3">
      <w:tc>
        <w:tcPr>
          <w:tcW w:w="1548" w:type="dxa"/>
        </w:tcPr>
        <w:p w:rsidR="004F31D3" w:rsidRDefault="00D13D16">
          <w:pPr>
            <w:pStyle w:val="HeaderNumberLeft"/>
          </w:pPr>
          <w:r>
            <w:fldChar w:fldCharType="begin"/>
          </w:r>
          <w:r>
            <w:instrText xml:space="preserve"> styleref CharPartNo </w:instrText>
          </w:r>
          <w:r>
            <w:fldChar w:fldCharType="end"/>
          </w:r>
        </w:p>
      </w:tc>
      <w:tc>
        <w:tcPr>
          <w:tcW w:w="5715" w:type="dxa"/>
        </w:tcPr>
        <w:p w:rsidR="004F31D3" w:rsidRDefault="00D13D16">
          <w:pPr>
            <w:pStyle w:val="HeaderTextLeft"/>
          </w:pPr>
          <w:r>
            <w:fldChar w:fldCharType="begin"/>
          </w:r>
          <w:r>
            <w:instrText xml:space="preserve"> styleref CharPartText </w:instrText>
          </w:r>
          <w:r>
            <w:fldChar w:fldCharType="end"/>
          </w:r>
        </w:p>
      </w:tc>
    </w:tr>
    <w:tr w:rsidR="004F31D3">
      <w:tc>
        <w:tcPr>
          <w:tcW w:w="1548" w:type="dxa"/>
        </w:tcPr>
        <w:p w:rsidR="004F31D3" w:rsidRDefault="00D13D16">
          <w:pPr>
            <w:pStyle w:val="HeaderNumberLeft"/>
          </w:pPr>
          <w:r>
            <w:fldChar w:fldCharType="begin"/>
          </w:r>
          <w:r>
            <w:instrText xml:space="preserve"> styleref CharDivNo </w:instrText>
          </w:r>
          <w:r>
            <w:fldChar w:fldCharType="end"/>
          </w:r>
        </w:p>
      </w:tc>
      <w:tc>
        <w:tcPr>
          <w:tcW w:w="5715" w:type="dxa"/>
        </w:tcPr>
        <w:p w:rsidR="004F31D3" w:rsidRDefault="00D13D16">
          <w:pPr>
            <w:pStyle w:val="HeaderTextLeft"/>
          </w:pPr>
          <w:r>
            <w:fldChar w:fldCharType="begin"/>
          </w:r>
          <w:r>
            <w:instrText xml:space="preserve"> styleref CharDivText </w:instrText>
          </w:r>
          <w:r>
            <w:fldChar w:fldCharType="end"/>
          </w:r>
        </w:p>
      </w:tc>
    </w:tr>
    <w:tr w:rsidR="004F31D3">
      <w:trPr>
        <w:cantSplit/>
      </w:trPr>
      <w:tc>
        <w:tcPr>
          <w:tcW w:w="7258" w:type="dxa"/>
          <w:gridSpan w:val="2"/>
        </w:tcPr>
        <w:p w:rsidR="004F31D3" w:rsidRDefault="00D13D16">
          <w:pPr>
            <w:pStyle w:val="HeaderSectionLeft"/>
          </w:pPr>
          <w:r>
            <w:t xml:space="preserve">s. </w:t>
          </w:r>
          <w:fldSimple w:instr=" styleref CharSectno ">
            <w:r w:rsidR="00652EA8">
              <w:rPr>
                <w:noProof/>
              </w:rPr>
              <w:t>1</w:t>
            </w:r>
          </w:fldSimple>
        </w:p>
      </w:tc>
    </w:tr>
  </w:tbl>
  <w:p w:rsidR="004F31D3" w:rsidRDefault="004F31D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31D3">
      <w:trPr>
        <w:cantSplit/>
      </w:trPr>
      <w:tc>
        <w:tcPr>
          <w:tcW w:w="7258" w:type="dxa"/>
          <w:gridSpan w:val="2"/>
        </w:tcPr>
        <w:p w:rsidR="004F31D3" w:rsidRDefault="00D13D16">
          <w:pPr>
            <w:pStyle w:val="HeaderActNameRight"/>
            <w:ind w:right="17"/>
          </w:pPr>
          <w:fldSimple w:instr=" Styleref &quot;Name of Act/Reg&quot; ">
            <w:r w:rsidR="00652EA8">
              <w:rPr>
                <w:noProof/>
              </w:rPr>
              <w:t>Health Professionals (Special Events Exemption) Act 2000</w:t>
            </w:r>
          </w:fldSimple>
        </w:p>
      </w:tc>
    </w:tr>
    <w:tr w:rsidR="004F31D3">
      <w:tc>
        <w:tcPr>
          <w:tcW w:w="5715" w:type="dxa"/>
        </w:tcPr>
        <w:p w:rsidR="004F31D3" w:rsidRDefault="00D13D16">
          <w:pPr>
            <w:pStyle w:val="HeaderTextRight"/>
          </w:pPr>
          <w:r>
            <w:fldChar w:fldCharType="begin"/>
          </w:r>
          <w:r>
            <w:instrText xml:space="preserve"> styleref CharPartText </w:instrText>
          </w:r>
          <w:r>
            <w:fldChar w:fldCharType="end"/>
          </w:r>
        </w:p>
      </w:tc>
      <w:tc>
        <w:tcPr>
          <w:tcW w:w="1548" w:type="dxa"/>
        </w:tcPr>
        <w:p w:rsidR="004F31D3" w:rsidRDefault="00D13D16">
          <w:pPr>
            <w:pStyle w:val="HeaderNumberRight"/>
            <w:ind w:right="17"/>
          </w:pPr>
          <w:r>
            <w:fldChar w:fldCharType="begin"/>
          </w:r>
          <w:r>
            <w:instrText xml:space="preserve"> styleref CharPartNo </w:instrText>
          </w:r>
          <w:r>
            <w:fldChar w:fldCharType="end"/>
          </w:r>
        </w:p>
      </w:tc>
    </w:tr>
    <w:tr w:rsidR="004F31D3">
      <w:tc>
        <w:tcPr>
          <w:tcW w:w="5715" w:type="dxa"/>
        </w:tcPr>
        <w:p w:rsidR="004F31D3" w:rsidRDefault="00D13D16">
          <w:pPr>
            <w:pStyle w:val="HeaderTextRight"/>
          </w:pPr>
          <w:r>
            <w:fldChar w:fldCharType="begin"/>
          </w:r>
          <w:r>
            <w:instrText xml:space="preserve"> styleref CharDivText </w:instrText>
          </w:r>
          <w:r>
            <w:fldChar w:fldCharType="end"/>
          </w:r>
        </w:p>
      </w:tc>
      <w:tc>
        <w:tcPr>
          <w:tcW w:w="1548" w:type="dxa"/>
        </w:tcPr>
        <w:p w:rsidR="004F31D3" w:rsidRDefault="00D13D16">
          <w:pPr>
            <w:pStyle w:val="HeaderNumberRight"/>
            <w:ind w:right="17"/>
          </w:pPr>
          <w:r>
            <w:fldChar w:fldCharType="begin"/>
          </w:r>
          <w:r>
            <w:instrText xml:space="preserve"> styleref CharDivNo </w:instrText>
          </w:r>
          <w:r>
            <w:fldChar w:fldCharType="end"/>
          </w:r>
        </w:p>
      </w:tc>
    </w:tr>
    <w:tr w:rsidR="004F31D3">
      <w:trPr>
        <w:cantSplit/>
      </w:trPr>
      <w:tc>
        <w:tcPr>
          <w:tcW w:w="7258" w:type="dxa"/>
          <w:gridSpan w:val="2"/>
        </w:tcPr>
        <w:p w:rsidR="004F31D3" w:rsidRDefault="00D13D16">
          <w:pPr>
            <w:pStyle w:val="HeaderSectionRight"/>
            <w:ind w:right="17"/>
          </w:pPr>
          <w:r>
            <w:t xml:space="preserve">s. </w:t>
          </w:r>
          <w:fldSimple w:instr=" styleref CharSectno ">
            <w:r w:rsidR="00652EA8">
              <w:rPr>
                <w:noProof/>
              </w:rPr>
              <w:t>1</w:t>
            </w:r>
          </w:fldSimple>
        </w:p>
      </w:tc>
    </w:tr>
  </w:tbl>
  <w:p w:rsidR="004F31D3" w:rsidRDefault="004F31D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D3" w:rsidRDefault="004F31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F31D3">
      <w:trPr>
        <w:cantSplit/>
      </w:trPr>
      <w:tc>
        <w:tcPr>
          <w:tcW w:w="7160" w:type="dxa"/>
          <w:gridSpan w:val="2"/>
        </w:tcPr>
        <w:p w:rsidR="004F31D3" w:rsidRDefault="00D13D16">
          <w:pPr>
            <w:pStyle w:val="HeaderActNameLeft"/>
          </w:pPr>
          <w:fldSimple w:instr=" Styleref &quot;Name of Act/Reg&quot; ">
            <w:r w:rsidR="00652EA8">
              <w:rPr>
                <w:noProof/>
              </w:rPr>
              <w:t>Health Professionals (Special Events Exemption) Act 2000</w:t>
            </w:r>
          </w:fldSimple>
        </w:p>
      </w:tc>
    </w:tr>
    <w:tr w:rsidR="004F31D3">
      <w:tc>
        <w:tcPr>
          <w:tcW w:w="1548" w:type="dxa"/>
        </w:tcPr>
        <w:p w:rsidR="004F31D3" w:rsidRDefault="004F31D3">
          <w:pPr>
            <w:pStyle w:val="HeaderNumberLeft"/>
          </w:pPr>
        </w:p>
      </w:tc>
      <w:tc>
        <w:tcPr>
          <w:tcW w:w="5612" w:type="dxa"/>
        </w:tcPr>
        <w:p w:rsidR="004F31D3" w:rsidRDefault="004F31D3">
          <w:pPr>
            <w:pStyle w:val="HeaderTextLeft"/>
          </w:pPr>
        </w:p>
      </w:tc>
    </w:tr>
    <w:tr w:rsidR="004F31D3">
      <w:tc>
        <w:tcPr>
          <w:tcW w:w="1548" w:type="dxa"/>
        </w:tcPr>
        <w:p w:rsidR="004F31D3" w:rsidRDefault="004F31D3">
          <w:pPr>
            <w:pStyle w:val="HeaderNumberLeft"/>
          </w:pPr>
        </w:p>
      </w:tc>
      <w:tc>
        <w:tcPr>
          <w:tcW w:w="5612" w:type="dxa"/>
        </w:tcPr>
        <w:p w:rsidR="004F31D3" w:rsidRDefault="004F31D3">
          <w:pPr>
            <w:pStyle w:val="HeaderTextLeft"/>
          </w:pPr>
        </w:p>
      </w:tc>
    </w:tr>
    <w:tr w:rsidR="004F31D3">
      <w:trPr>
        <w:cantSplit/>
      </w:trPr>
      <w:tc>
        <w:tcPr>
          <w:tcW w:w="7160" w:type="dxa"/>
          <w:gridSpan w:val="2"/>
        </w:tcPr>
        <w:p w:rsidR="004F31D3" w:rsidRDefault="004F31D3">
          <w:pPr>
            <w:pStyle w:val="HeaderSectionLeft"/>
          </w:pPr>
        </w:p>
      </w:tc>
    </w:tr>
  </w:tbl>
  <w:p w:rsidR="004F31D3" w:rsidRDefault="004F31D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16"/>
    <w:rsid w:val="00006047"/>
    <w:rsid w:val="004F31D3"/>
    <w:rsid w:val="00652EA8"/>
    <w:rsid w:val="00D13D16"/>
    <w:rsid w:val="00FE5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3582</Words>
  <Characters>17445</Characters>
  <Application>Microsoft Office Word</Application>
  <DocSecurity>0</DocSecurity>
  <Lines>545</Lines>
  <Paragraphs>313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20714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2000 - 01-h0-01</dc:title>
  <dc:subject>Bills and Amendments</dc:subject>
  <dc:creator>Matthew Pether</dc:creator>
  <cp:keywords/>
  <cp:lastModifiedBy>svcMRProcess</cp:lastModifiedBy>
  <cp:revision>4</cp:revision>
  <cp:lastPrinted>2007-10-08T02:04:00Z</cp:lastPrinted>
  <dcterms:created xsi:type="dcterms:W3CDTF">2013-02-16T19:15:00Z</dcterms:created>
  <dcterms:modified xsi:type="dcterms:W3CDTF">2013-02-16T19:15:00Z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01 Oct 2010</vt:lpwstr>
  </property>
  <property fmtid="{D5CDD505-2E9C-101B-9397-08002B2CF9AE}" pid="8" name="Suffix">
    <vt:lpwstr>01-h0-01</vt:lpwstr>
  </property>
</Properties>
</file>