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Physiotherapists Act 2005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Physiotherapists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_Toc271202556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_Toc271202557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_Toc271202558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_Toc271202559 \h </w:instrText>
      </w:r>
      <w:r>
        <w:fldChar w:fldCharType="separate"/>
      </w:r>
      <w:r>
        <w:t>2</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_Toc271202560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_Toc271202561 \h </w:instrText>
      </w:r>
      <w:r>
        <w:fldChar w:fldCharType="separate"/>
      </w:r>
      <w:r>
        <w:t>8</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_Toc271202562 \h </w:instrText>
      </w:r>
      <w:r>
        <w:fldChar w:fldCharType="separate"/>
      </w:r>
      <w:r>
        <w:t>8</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_Toc271202563 \h </w:instrText>
      </w:r>
      <w:r>
        <w:fldChar w:fldCharType="separate"/>
      </w:r>
      <w:r>
        <w:t>9</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_Toc271202564 \h </w:instrText>
      </w:r>
      <w:r>
        <w:fldChar w:fldCharType="separate"/>
      </w:r>
      <w:r>
        <w:t>9</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_Toc271202565 \h </w:instrText>
      </w:r>
      <w:r>
        <w:fldChar w:fldCharType="separate"/>
      </w:r>
      <w:r>
        <w:t>9</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_Toc271202566 \h </w:instrText>
      </w:r>
      <w:r>
        <w:fldChar w:fldCharType="separate"/>
      </w:r>
      <w:r>
        <w:t>9</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_Toc271202567 \h </w:instrText>
      </w:r>
      <w:r>
        <w:fldChar w:fldCharType="separate"/>
      </w:r>
      <w:r>
        <w:t>10</w:t>
      </w:r>
      <w:r>
        <w:fldChar w:fldCharType="end"/>
      </w:r>
    </w:p>
    <w:p>
      <w:pPr>
        <w:pStyle w:val="TOC8"/>
        <w:rPr>
          <w:sz w:val="24"/>
          <w:szCs w:val="24"/>
        </w:rPr>
      </w:pPr>
      <w:r>
        <w:rPr>
          <w:szCs w:val="24"/>
        </w:rPr>
        <w:t>13.</w:t>
      </w:r>
      <w:r>
        <w:rPr>
          <w:szCs w:val="24"/>
        </w:rPr>
        <w:tab/>
        <w:t>Advertising</w:t>
      </w:r>
      <w:r>
        <w:tab/>
      </w:r>
      <w:r>
        <w:fldChar w:fldCharType="begin"/>
      </w:r>
      <w:r>
        <w:instrText xml:space="preserve"> PAGEREF _Toc271202568 \h </w:instrText>
      </w:r>
      <w:r>
        <w:fldChar w:fldCharType="separate"/>
      </w:r>
      <w:r>
        <w:t>10</w:t>
      </w:r>
      <w:r>
        <w:fldChar w:fldCharType="end"/>
      </w:r>
    </w:p>
    <w:p>
      <w:pPr>
        <w:pStyle w:val="TOC8"/>
        <w:rPr>
          <w:sz w:val="24"/>
          <w:szCs w:val="24"/>
        </w:rPr>
      </w:pPr>
      <w:r>
        <w:rPr>
          <w:szCs w:val="24"/>
        </w:rPr>
        <w:t>14.</w:t>
      </w:r>
      <w:r>
        <w:rPr>
          <w:szCs w:val="24"/>
        </w:rPr>
        <w:tab/>
        <w:t>Fees</w:t>
      </w:r>
      <w:r>
        <w:tab/>
      </w:r>
      <w:r>
        <w:fldChar w:fldCharType="begin"/>
      </w:r>
      <w:r>
        <w:instrText xml:space="preserve"> PAGEREF _Toc271202569 \h </w:instrText>
      </w:r>
      <w:r>
        <w:fldChar w:fldCharType="separate"/>
      </w:r>
      <w:r>
        <w:t>11</w:t>
      </w:r>
      <w:r>
        <w:fldChar w:fldCharType="end"/>
      </w:r>
    </w:p>
    <w:p>
      <w:pPr>
        <w:pStyle w:val="TOC8"/>
        <w:rPr>
          <w:sz w:val="24"/>
          <w:szCs w:val="24"/>
        </w:rPr>
      </w:pPr>
      <w:r>
        <w:rPr>
          <w:szCs w:val="24"/>
        </w:rPr>
        <w:t>15.</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_Toc271202570 \h </w:instrText>
      </w:r>
      <w:r>
        <w:fldChar w:fldCharType="separate"/>
      </w:r>
      <w:r>
        <w:t>11</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_Toc271202571 \h </w:instrText>
      </w:r>
      <w:r>
        <w:fldChar w:fldCharType="separate"/>
      </w:r>
      <w:r>
        <w:t>12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 xml:space="preserve">Mutual Recognition (Western Australia) Act 2001 </w:t>
      </w:r>
      <w:r>
        <w:rPr>
          <w:szCs w:val="28"/>
        </w:rPr>
        <w:t>or</w:t>
      </w:r>
      <w:r>
        <w:rPr>
          <w:i/>
          <w:iCs/>
          <w:szCs w:val="28"/>
        </w:rPr>
        <w:t xml:space="preserve"> </w:t>
      </w:r>
      <w:r>
        <w:rPr>
          <w:i/>
          <w:iCs/>
          <w:szCs w:val="28"/>
        </w:rPr>
        <w:lastRenderedPageBreak/>
        <w:t>Trans</w:t>
      </w:r>
      <w:r>
        <w:rPr>
          <w:i/>
          <w:iCs/>
          <w:szCs w:val="28"/>
        </w:rPr>
        <w:noBreakHyphen/>
        <w:t>Tasman Mutual Recognition (Western Australia) Act 2007</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_Toc271202576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_Toc271202577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7120255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7120255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71202558"/>
      <w:r>
        <w:rPr>
          <w:rStyle w:val="CharSectno"/>
        </w:rPr>
        <w:t>3</w:t>
      </w:r>
      <w:r>
        <w:t>.</w:t>
      </w:r>
      <w:r>
        <w:tab/>
        <w:t>Physiotherapy: methods of treatment</w:t>
      </w:r>
      <w:bookmarkEnd w:id="20"/>
      <w:bookmarkEnd w:id="21"/>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71202559"/>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71202560"/>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71202561"/>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71202562"/>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71202563"/>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71202564"/>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71202565"/>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71202566"/>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71202567"/>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71202568"/>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71202569"/>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271202570"/>
      <w:bookmarkStart w:id="55" w:name="_Toc143479358"/>
      <w:bookmarkStart w:id="56"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4"/>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57" w:name="_Toc271202571"/>
      <w:r>
        <w:rPr>
          <w:rStyle w:val="CharSectno"/>
        </w:rPr>
        <w:t>16</w:t>
      </w:r>
      <w:r>
        <w:t>.</w:t>
      </w:r>
      <w:r>
        <w:tab/>
        <w:t>Reduction, waiver or refund of fees</w:t>
      </w:r>
      <w:bookmarkEnd w:id="55"/>
      <w:bookmarkEnd w:id="56"/>
      <w:bookmarkEnd w:id="57"/>
    </w:p>
    <w:p>
      <w:pPr>
        <w:pStyle w:val="Subsection"/>
      </w:pPr>
      <w:r>
        <w:tab/>
      </w:r>
      <w:r>
        <w:tab/>
        <w:t>The Board may authorise the reduction, waiver or refund of any fee provided for in these regulations if the Board considers it appropriate to do so.</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 w:name="_Toc150155211"/>
      <w:bookmarkStart w:id="59" w:name="_Toc150155228"/>
      <w:bookmarkStart w:id="60" w:name="_Toc150155305"/>
      <w:bookmarkStart w:id="61" w:name="_Toc150160538"/>
      <w:bookmarkStart w:id="62" w:name="_Toc150225159"/>
      <w:bookmarkStart w:id="63" w:name="_Toc150225182"/>
      <w:bookmarkStart w:id="64" w:name="_Toc150227222"/>
      <w:bookmarkStart w:id="65" w:name="_Toc150227391"/>
      <w:bookmarkStart w:id="66" w:name="_Toc150227720"/>
      <w:bookmarkStart w:id="67" w:name="_Toc150227774"/>
      <w:bookmarkStart w:id="68" w:name="_Toc150237237"/>
      <w:bookmarkStart w:id="69" w:name="_Toc150237451"/>
      <w:bookmarkStart w:id="70" w:name="_Toc150237515"/>
      <w:bookmarkStart w:id="71" w:name="_Toc150237650"/>
      <w:bookmarkStart w:id="72" w:name="_Toc152394011"/>
      <w:bookmarkStart w:id="73" w:name="_Toc152396652"/>
      <w:bookmarkStart w:id="74" w:name="_Toc152397320"/>
      <w:bookmarkStart w:id="75" w:name="_Toc152397388"/>
      <w:bookmarkStart w:id="76" w:name="_Toc152397410"/>
      <w:bookmarkStart w:id="77" w:name="_Toc152410703"/>
      <w:bookmarkStart w:id="78" w:name="_Toc152410755"/>
      <w:bookmarkStart w:id="79" w:name="_Toc152410794"/>
      <w:bookmarkStart w:id="80" w:name="_Toc152411012"/>
      <w:bookmarkStart w:id="81" w:name="_Toc152555134"/>
      <w:bookmarkStart w:id="82" w:name="_Toc152555167"/>
      <w:bookmarkStart w:id="83" w:name="_Toc152562070"/>
      <w:bookmarkStart w:id="84" w:name="_Toc153694054"/>
      <w:bookmarkStart w:id="85" w:name="_Toc153701082"/>
      <w:bookmarkStart w:id="86" w:name="_Toc153701134"/>
      <w:bookmarkStart w:id="87" w:name="_Toc153701199"/>
      <w:bookmarkStart w:id="88" w:name="_Toc153704170"/>
      <w:bookmarkStart w:id="89" w:name="_Toc153704228"/>
      <w:bookmarkStart w:id="90" w:name="_Toc153704596"/>
      <w:bookmarkStart w:id="91" w:name="_Toc153704746"/>
      <w:bookmarkStart w:id="92" w:name="_Toc153704765"/>
      <w:bookmarkStart w:id="93" w:name="_Toc153770851"/>
      <w:bookmarkStart w:id="94" w:name="_Toc153847809"/>
      <w:bookmarkStart w:id="95" w:name="_Toc153850833"/>
      <w:bookmarkStart w:id="96" w:name="_Toc153860417"/>
    </w:p>
    <w:p>
      <w:pPr>
        <w:pStyle w:val="yScheduleHeading"/>
      </w:pPr>
      <w:bookmarkStart w:id="97" w:name="_Toc159748502"/>
      <w:bookmarkStart w:id="98" w:name="_Toc181434883"/>
      <w:bookmarkStart w:id="99" w:name="_Toc181434925"/>
      <w:bookmarkStart w:id="100" w:name="_Toc181498096"/>
      <w:bookmarkStart w:id="101" w:name="_Toc198617402"/>
      <w:bookmarkStart w:id="102" w:name="_Toc198628164"/>
      <w:bookmarkStart w:id="103" w:name="_Toc224035076"/>
      <w:bookmarkStart w:id="104" w:name="_Toc235601099"/>
      <w:bookmarkStart w:id="105" w:name="_Toc235601320"/>
      <w:bookmarkStart w:id="106" w:name="_Toc236449978"/>
      <w:bookmarkStart w:id="107" w:name="_Toc236451005"/>
      <w:bookmarkStart w:id="108" w:name="_Toc238012117"/>
      <w:bookmarkStart w:id="109" w:name="_Toc249175817"/>
      <w:bookmarkStart w:id="110" w:name="_Toc271202572"/>
      <w:r>
        <w:rPr>
          <w:rStyle w:val="CharSchNo"/>
        </w:rPr>
        <w:t>Schedule 1</w:t>
      </w:r>
      <w:r>
        <w:rPr>
          <w:rStyle w:val="CharSDivNo"/>
        </w:rPr>
        <w:t> </w:t>
      </w:r>
      <w:r>
        <w:t>—</w:t>
      </w:r>
      <w:bookmarkStart w:id="111" w:name="AutoSch"/>
      <w:bookmarkEnd w:id="111"/>
      <w:r>
        <w:rPr>
          <w:rStyle w:val="CharSDivText"/>
        </w:rPr>
        <w:t>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12" w:name="_Toc129573084"/>
      <w:bookmarkStart w:id="113" w:name="_Toc129574125"/>
      <w:bookmarkStart w:id="114" w:name="_Toc129574142"/>
      <w:bookmarkStart w:id="115" w:name="_Toc129574310"/>
      <w:bookmarkStart w:id="116" w:name="_Toc129574945"/>
      <w:bookmarkStart w:id="117" w:name="_Toc129588692"/>
      <w:bookmarkStart w:id="118" w:name="_Toc129594457"/>
      <w:bookmarkStart w:id="119" w:name="_Toc129653865"/>
      <w:bookmarkStart w:id="120" w:name="_Toc129653904"/>
      <w:bookmarkStart w:id="121" w:name="_Toc129686702"/>
      <w:bookmarkStart w:id="122" w:name="_Toc129755983"/>
      <w:bookmarkStart w:id="123" w:name="_Toc129759181"/>
      <w:bookmarkStart w:id="124" w:name="_Toc129759459"/>
      <w:bookmarkStart w:id="125" w:name="_Toc131569474"/>
      <w:bookmarkStart w:id="126" w:name="_Toc135616732"/>
      <w:bookmarkStart w:id="127" w:name="_Toc135618141"/>
      <w:bookmarkStart w:id="128" w:name="_Toc136325393"/>
      <w:bookmarkStart w:id="129" w:name="_Toc136325412"/>
      <w:bookmarkStart w:id="130" w:name="_Toc136325446"/>
      <w:bookmarkStart w:id="131" w:name="_Toc136758365"/>
      <w:bookmarkStart w:id="132" w:name="_Toc136758563"/>
      <w:bookmarkStart w:id="133" w:name="_Toc136829282"/>
      <w:bookmarkStart w:id="134" w:name="_Toc136831127"/>
      <w:bookmarkStart w:id="135" w:name="_Toc136831148"/>
      <w:bookmarkStart w:id="136" w:name="_Toc136831272"/>
      <w:bookmarkStart w:id="137" w:name="_Toc143409470"/>
      <w:bookmarkStart w:id="138" w:name="_Toc143415729"/>
      <w:bookmarkStart w:id="139" w:name="_Toc143477234"/>
      <w:bookmarkStart w:id="140" w:name="_Toc143479360"/>
      <w:bookmarkStart w:id="141" w:name="_Toc150155212"/>
      <w:bookmarkStart w:id="142" w:name="_Toc150155229"/>
      <w:bookmarkStart w:id="143" w:name="_Toc150155306"/>
      <w:bookmarkStart w:id="144" w:name="_Toc150160539"/>
      <w:bookmarkStart w:id="145" w:name="_Toc150225160"/>
      <w:bookmarkStart w:id="146" w:name="_Toc150225183"/>
      <w:bookmarkStart w:id="147" w:name="_Toc150227223"/>
      <w:bookmarkStart w:id="148" w:name="_Toc150227392"/>
      <w:bookmarkStart w:id="149" w:name="_Toc150227721"/>
      <w:bookmarkStart w:id="150" w:name="_Toc150227775"/>
      <w:bookmarkStart w:id="151" w:name="_Toc150237238"/>
      <w:bookmarkStart w:id="152" w:name="_Toc150237452"/>
      <w:bookmarkStart w:id="153" w:name="_Toc150237516"/>
      <w:bookmarkStart w:id="154" w:name="_Toc150237651"/>
      <w:bookmarkStart w:id="155" w:name="_Toc152394012"/>
      <w:bookmarkStart w:id="156" w:name="_Toc152396653"/>
      <w:bookmarkStart w:id="157" w:name="_Toc152397321"/>
      <w:bookmarkStart w:id="158" w:name="_Toc152397389"/>
      <w:bookmarkStart w:id="159" w:name="_Toc152397411"/>
      <w:bookmarkStart w:id="160" w:name="_Toc152410704"/>
      <w:bookmarkStart w:id="161" w:name="_Toc152410756"/>
      <w:bookmarkStart w:id="162" w:name="_Toc152410795"/>
      <w:bookmarkStart w:id="163" w:name="_Toc152411013"/>
      <w:bookmarkStart w:id="164" w:name="_Toc152555135"/>
      <w:bookmarkStart w:id="165" w:name="_Toc152555168"/>
      <w:bookmarkStart w:id="166" w:name="_Toc152562071"/>
      <w:bookmarkStart w:id="167" w:name="_Toc153694055"/>
      <w:bookmarkStart w:id="168" w:name="_Toc153701083"/>
      <w:bookmarkStart w:id="169" w:name="_Toc153701135"/>
      <w:bookmarkStart w:id="170" w:name="_Toc153701200"/>
      <w:bookmarkStart w:id="171" w:name="_Toc153704229"/>
      <w:bookmarkStart w:id="172" w:name="_Toc153704597"/>
      <w:bookmarkStart w:id="173" w:name="_Toc153704747"/>
      <w:bookmarkStart w:id="174" w:name="_Toc153704766"/>
      <w:bookmarkStart w:id="175" w:name="_Toc153770852"/>
      <w:bookmarkStart w:id="176" w:name="_Toc153847810"/>
      <w:bookmarkStart w:id="177" w:name="_Toc153850834"/>
      <w:bookmarkStart w:id="178" w:name="_Toc153860418"/>
      <w:bookmarkStart w:id="179" w:name="_Toc159748503"/>
      <w:bookmarkStart w:id="180" w:name="_Toc181434884"/>
      <w:bookmarkStart w:id="181" w:name="_Toc181434926"/>
      <w:bookmarkStart w:id="182" w:name="_Toc181498097"/>
      <w:bookmarkStart w:id="183" w:name="_Toc198617403"/>
      <w:bookmarkStart w:id="184" w:name="_Toc198628165"/>
      <w:bookmarkStart w:id="185" w:name="_Toc224035077"/>
      <w:r>
        <w:tab/>
        <w:t>[Schedule 1 amended in Gazette 12 Jun 2009 p. 2108.]</w:t>
      </w:r>
    </w:p>
    <w:p>
      <w:pPr>
        <w:pStyle w:val="yScheduleHeading"/>
      </w:pPr>
      <w:bookmarkStart w:id="186" w:name="_Toc249175818"/>
      <w:bookmarkStart w:id="187" w:name="_Toc271202573"/>
      <w:bookmarkStart w:id="188" w:name="_Toc152396654"/>
      <w:bookmarkStart w:id="189" w:name="_Toc152397322"/>
      <w:bookmarkStart w:id="190" w:name="_Toc152397390"/>
      <w:bookmarkStart w:id="191" w:name="_Toc152397412"/>
      <w:bookmarkStart w:id="192" w:name="_Toc152410705"/>
      <w:bookmarkStart w:id="193" w:name="_Toc152410757"/>
      <w:bookmarkStart w:id="194" w:name="_Toc152410796"/>
      <w:bookmarkStart w:id="195" w:name="_Toc152411014"/>
      <w:bookmarkStart w:id="196" w:name="_Toc152555136"/>
      <w:bookmarkStart w:id="197" w:name="_Toc152555169"/>
      <w:bookmarkStart w:id="198" w:name="_Toc152562072"/>
      <w:bookmarkStart w:id="199" w:name="_Toc153694056"/>
      <w:bookmarkStart w:id="200" w:name="_Toc153701084"/>
      <w:bookmarkStart w:id="201" w:name="_Toc153701136"/>
      <w:bookmarkStart w:id="202" w:name="_Toc153701201"/>
      <w:bookmarkStart w:id="203" w:name="_Toc153704172"/>
      <w:bookmarkStart w:id="204" w:name="_Toc153704230"/>
      <w:bookmarkStart w:id="205" w:name="_Toc153704598"/>
      <w:bookmarkStart w:id="206" w:name="_Toc153704748"/>
      <w:bookmarkStart w:id="207" w:name="_Toc153704767"/>
      <w:bookmarkStart w:id="208" w:name="_Toc153770853"/>
      <w:bookmarkStart w:id="209" w:name="_Toc153847811"/>
      <w:bookmarkStart w:id="210" w:name="_Toc153850835"/>
      <w:bookmarkStart w:id="211" w:name="_Toc153860419"/>
      <w:bookmarkStart w:id="212" w:name="_Toc159748504"/>
      <w:bookmarkStart w:id="213" w:name="_Toc181434885"/>
      <w:bookmarkStart w:id="214" w:name="_Toc181434927"/>
      <w:bookmarkStart w:id="215" w:name="_Toc181498098"/>
      <w:bookmarkStart w:id="216" w:name="_Toc198617404"/>
      <w:bookmarkStart w:id="217" w:name="_Toc198628166"/>
      <w:bookmarkStart w:id="218" w:name="_Toc224035078"/>
      <w:bookmarkStart w:id="219" w:name="_Toc235601101"/>
      <w:bookmarkStart w:id="220" w:name="_Toc235601322"/>
      <w:bookmarkStart w:id="221" w:name="_Toc236449980"/>
      <w:bookmarkStart w:id="222" w:name="_Toc236451007"/>
      <w:bookmarkStart w:id="223" w:name="_Toc23801211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86"/>
      <w:bookmarkEnd w:id="187"/>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24" w:name="_Toc249175819"/>
      <w:bookmarkStart w:id="225" w:name="_Toc271202574"/>
      <w:r>
        <w:rPr>
          <w:rStyle w:val="CharSchNo"/>
        </w:rPr>
        <w:t>Schedule 3</w:t>
      </w:r>
      <w:r>
        <w:rPr>
          <w:rStyle w:val="CharSDivNo"/>
        </w:rPr>
        <w:t> </w:t>
      </w:r>
      <w:r>
        <w:t>—</w:t>
      </w:r>
      <w:r>
        <w:rPr>
          <w:rStyle w:val="CharSDivText"/>
        </w:rPr>
        <w:t> </w:t>
      </w:r>
      <w:r>
        <w:rPr>
          <w:rStyle w:val="CharSchText"/>
        </w:rPr>
        <w:t>Fee for examination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6(3)]</w:t>
      </w:r>
    </w:p>
    <w:p>
      <w:pPr>
        <w:pStyle w:val="yMiscellaneousBody"/>
        <w:rPr>
          <w:spacing w:val="-2"/>
        </w:rPr>
      </w:pPr>
      <w:r>
        <w:t>The fee to sit an examination is $275.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26" w:name="_Toc113695922"/>
      <w:bookmarkStart w:id="227" w:name="_Toc156374179"/>
      <w:bookmarkStart w:id="228" w:name="_Toc156375436"/>
    </w:p>
    <w:p>
      <w:pPr>
        <w:pStyle w:val="nHeading2"/>
      </w:pPr>
      <w:bookmarkStart w:id="229" w:name="_Toc159748505"/>
      <w:bookmarkStart w:id="230" w:name="_Toc181434886"/>
      <w:bookmarkStart w:id="231" w:name="_Toc181434928"/>
      <w:bookmarkStart w:id="232" w:name="_Toc181498099"/>
      <w:bookmarkStart w:id="233" w:name="_Toc198617405"/>
      <w:bookmarkStart w:id="234" w:name="_Toc198628167"/>
      <w:bookmarkStart w:id="235" w:name="_Toc224035079"/>
      <w:bookmarkStart w:id="236" w:name="_Toc235601102"/>
      <w:bookmarkStart w:id="237" w:name="_Toc235601323"/>
      <w:bookmarkStart w:id="238" w:name="_Toc236449981"/>
      <w:bookmarkStart w:id="239" w:name="_Toc236451008"/>
      <w:bookmarkStart w:id="240" w:name="_Toc238012120"/>
      <w:bookmarkStart w:id="241" w:name="_Toc249175820"/>
      <w:bookmarkStart w:id="242" w:name="_Toc271202575"/>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3" w:name="_Toc271202576"/>
      <w:r>
        <w:t>Compilation table</w:t>
      </w:r>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i/>
                <w:noProof/>
                <w:snapToGrid w:val="0"/>
                <w:sz w:val="19"/>
              </w:rPr>
            </w:pPr>
            <w:r>
              <w:rPr>
                <w:i/>
                <w:sz w:val="19"/>
              </w:rPr>
              <w:t>Physiotherapists Amendment Regulations (No. 3) 2009</w:t>
            </w:r>
          </w:p>
        </w:tc>
        <w:tc>
          <w:tcPr>
            <w:tcW w:w="1276" w:type="dxa"/>
            <w:tcBorders>
              <w:top w:val="nil"/>
              <w:bottom w:val="single" w:sz="4" w:space="0" w:color="auto"/>
            </w:tcBorders>
          </w:tcPr>
          <w:p>
            <w:pPr>
              <w:pStyle w:val="nTable"/>
              <w:spacing w:after="40"/>
              <w:rPr>
                <w:sz w:val="19"/>
              </w:rPr>
            </w:pPr>
            <w:r>
              <w:rPr>
                <w:sz w:val="19"/>
              </w:rPr>
              <w:t>22 Dec 2009 p. 5265-6</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 w:name="_Toc7405065"/>
      <w:bookmarkStart w:id="245" w:name="_Toc271202577"/>
      <w:r>
        <w:t>Provisions that have not come into operation</w:t>
      </w:r>
      <w:bookmarkEnd w:id="244"/>
      <w:bookmarkEnd w:id="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15(2)(l) </w:t>
            </w:r>
            <w:r>
              <w:rPr>
                <w:iCs/>
                <w:snapToGrid w:val="0"/>
                <w:sz w:val="19"/>
                <w:vertAlign w:val="superscript"/>
              </w:rPr>
              <w:t>3</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bookmarkStart w:id="246" w:name="UpToHere"/>
      <w:bookmarkEnd w:id="246"/>
      <w:r>
        <w:rPr>
          <w:vertAlign w:val="superscript"/>
        </w:rPr>
        <w:t>2</w:t>
      </w:r>
      <w:r>
        <w:tab/>
        <w:t xml:space="preserve">Repealed by the </w:t>
      </w:r>
      <w:r>
        <w:rPr>
          <w:i/>
          <w:iCs/>
        </w:rPr>
        <w:t>Physiotherapists Act 2005</w:t>
      </w: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15(2)(l)</w:t>
      </w:r>
      <w:r>
        <w:rPr>
          <w:snapToGrid w:val="0"/>
        </w:rPr>
        <w:t xml:space="preserve"> had not come into operation.  It reads as follows:</w:t>
      </w:r>
    </w:p>
    <w:p>
      <w:pPr>
        <w:pStyle w:val="BlankOpen"/>
      </w:pPr>
    </w:p>
    <w:p>
      <w:pPr>
        <w:pStyle w:val="nzHeading5"/>
      </w:pPr>
      <w:bookmarkStart w:id="247" w:name="_Toc270349053"/>
      <w:r>
        <w:rPr>
          <w:rStyle w:val="CharSectno"/>
        </w:rPr>
        <w:t>15</w:t>
      </w:r>
      <w:r>
        <w:t>.</w:t>
      </w:r>
      <w:r>
        <w:tab/>
        <w:t>Codes of practice, regulations and rules repealed</w:t>
      </w:r>
      <w:bookmarkEnd w:id="247"/>
    </w:p>
    <w:p>
      <w:pPr>
        <w:pStyle w:val="nzSubsection"/>
      </w:pPr>
      <w:r>
        <w:tab/>
        <w:t>(2)</w:t>
      </w:r>
      <w:r>
        <w:tab/>
        <w:t>These regulations are repealed:</w:t>
      </w:r>
    </w:p>
    <w:p>
      <w:pPr>
        <w:pStyle w:val="nzIndenta"/>
      </w:pPr>
      <w:r>
        <w:tab/>
        <w:t>(l)</w:t>
      </w:r>
      <w:r>
        <w:tab/>
        <w:t xml:space="preserve">the </w:t>
      </w:r>
      <w:r>
        <w:rPr>
          <w:i/>
        </w:rPr>
        <w:t>Physiotherapists Regulations 2006</w:t>
      </w:r>
      <w:r>
        <w:t>;</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00"/>
    <w:docVar w:name="WAFER_20151208160100" w:val="RemoveTrackChanges"/>
    <w:docVar w:name="WAFER_20151208160100_GUID" w:val="3447f341-104d-476c-a7ed-a4c4afb30c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3077</Words>
  <Characters>16682</Characters>
  <Application>Microsoft Office Word</Application>
  <DocSecurity>0</DocSecurity>
  <Lines>758</Lines>
  <Paragraphs>420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19339</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2006 - 01-d0-02</dc:title>
  <dc:subject/>
  <dc:creator/>
  <cp:keywords/>
  <dc:description/>
  <cp:lastModifiedBy>svcMRProcess</cp:lastModifiedBy>
  <cp:revision>4</cp:revision>
  <cp:lastPrinted>2009-08-14T03:20:00Z</cp:lastPrinted>
  <dcterms:created xsi:type="dcterms:W3CDTF">2015-12-12T05:39:00Z</dcterms:created>
  <dcterms:modified xsi:type="dcterms:W3CDTF">2015-12-12T05:39:00Z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39275</vt:i4>
  </property>
  <property fmtid="{D5CDD505-2E9C-101B-9397-08002B2CF9AE}" pid="6" name="AsAtDate">
    <vt:lpwstr>01 Oct 2010</vt:lpwstr>
  </property>
  <property fmtid="{D5CDD505-2E9C-101B-9397-08002B2CF9AE}" pid="7" name="Suffix">
    <vt:lpwstr>01-d0-02</vt:lpwstr>
  </property>
  <property fmtid="{D5CDD505-2E9C-101B-9397-08002B2CF9AE}" pid="8" name="ReprintNo">
    <vt:lpwstr>1</vt:lpwstr>
  </property>
</Properties>
</file>