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_Toc271192953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_Toc271192954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_Toc271192955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_Toc271192956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_Toc271192957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_Toc271192958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_Toc271192959 \h </w:instrText>
      </w:r>
      <w:r>
        <w:fldChar w:fldCharType="separate"/>
      </w:r>
      <w:r>
        <w:t>6</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_Toc271192961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_Toc271192962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_Toc271192963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_Toc271192964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_Toc271192965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_Toc271192966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_Toc271192967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_Toc271192968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_Toc271192969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_Toc271192970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_Toc271192971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_Toc271192972 \h </w:instrText>
      </w:r>
      <w:r>
        <w:fldChar w:fldCharType="separate"/>
      </w:r>
      <w:r>
        <w:t>13</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_Toc271192975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_Toc271192976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_Toc271192977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_Toc271192978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_Toc271192979 \h </w:instrText>
      </w:r>
      <w:r>
        <w:fldChar w:fldCharType="separate"/>
      </w:r>
      <w:r>
        <w:t>17</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_Toc271192980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_Toc271192982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_Toc271192983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_Toc271192984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_Toc271192985 \h </w:instrText>
      </w:r>
      <w:r>
        <w:fldChar w:fldCharType="separate"/>
      </w:r>
      <w:r>
        <w:t>21</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_Toc271192986 \h </w:instrText>
      </w:r>
      <w:r>
        <w:fldChar w:fldCharType="separate"/>
      </w:r>
      <w:r>
        <w:t>22</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_Toc271192987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_Toc271192988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_Toc271192989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_Toc271192990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_Toc271192991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_Toc271192993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_Toc271192994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_Toc271192995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_Toc271192996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_Toc271192997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_Toc271192998 \h </w:instrText>
      </w:r>
      <w:r>
        <w:fldChar w:fldCharType="separate"/>
      </w:r>
      <w:r>
        <w:t>26</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_Toc271192999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_Toc271193000 \h </w:instrText>
      </w:r>
      <w:r>
        <w:fldChar w:fldCharType="separate"/>
      </w:r>
      <w:r>
        <w:t>27</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_Toc271193002 \h </w:instrText>
      </w:r>
      <w:r>
        <w:fldChar w:fldCharType="separate"/>
      </w:r>
      <w:r>
        <w:t>29</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_Toc271193003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_Toc271193004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_Toc271193005 \h </w:instrText>
      </w:r>
      <w:r>
        <w:fldChar w:fldCharType="separate"/>
      </w:r>
      <w:r>
        <w:t>31</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_Toc271193007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_Toc271193008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_Toc271193009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_Toc271193010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_Toc271193011 \h </w:instrText>
      </w:r>
      <w:r>
        <w:fldChar w:fldCharType="separate"/>
      </w:r>
      <w:r>
        <w:t>34</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_Toc271193013 \h </w:instrText>
      </w:r>
      <w:r>
        <w:fldChar w:fldCharType="separate"/>
      </w:r>
      <w:r>
        <w:t>35</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_Toc271193014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_Toc271193015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_Toc271193016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_Toc271193017 \h </w:instrText>
      </w:r>
      <w:r>
        <w:fldChar w:fldCharType="separate"/>
      </w:r>
      <w:r>
        <w:t>37</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_Toc271193018 \h </w:instrText>
      </w:r>
      <w:r>
        <w:fldChar w:fldCharType="separate"/>
      </w:r>
      <w:r>
        <w:t>38</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_Toc271193019 \h </w:instrText>
      </w:r>
      <w:r>
        <w:fldChar w:fldCharType="separate"/>
      </w:r>
      <w:r>
        <w:t>38</w:t>
      </w:r>
      <w:r>
        <w:fldChar w:fldCharType="end"/>
      </w:r>
    </w:p>
    <w:p>
      <w:pPr>
        <w:pStyle w:val="TOC8"/>
        <w:rPr>
          <w:sz w:val="24"/>
          <w:szCs w:val="24"/>
        </w:rPr>
      </w:pPr>
      <w:r>
        <w:rPr>
          <w:szCs w:val="24"/>
        </w:rPr>
        <w:t>55C</w:t>
      </w:r>
      <w:r>
        <w:rPr>
          <w:snapToGrid w:val="0"/>
          <w:szCs w:val="24"/>
        </w:rPr>
        <w:t>.</w:t>
      </w:r>
      <w:r>
        <w:rPr>
          <w:snapToGrid w:val="0"/>
          <w:szCs w:val="24"/>
        </w:rPr>
        <w:tab/>
        <w:t xml:space="preserve">Sections 54 to 55A do not derogate from the </w:t>
      </w:r>
      <w:r>
        <w:rPr>
          <w:i/>
          <w:snapToGrid w:val="0"/>
          <w:szCs w:val="24"/>
        </w:rPr>
        <w:t>Misuse of Drugs Act 1981</w:t>
      </w:r>
      <w:r>
        <w:tab/>
      </w:r>
      <w:r>
        <w:fldChar w:fldCharType="begin"/>
      </w:r>
      <w:r>
        <w:instrText xml:space="preserve"> PAGEREF _Toc271193020 \h </w:instrText>
      </w:r>
      <w:r>
        <w:fldChar w:fldCharType="separate"/>
      </w:r>
      <w:r>
        <w:t>39</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_Toc271193021 \h </w:instrText>
      </w:r>
      <w:r>
        <w:fldChar w:fldCharType="separate"/>
      </w:r>
      <w:r>
        <w:t>39</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_Toc271193022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_Toc271193023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_Toc271193024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_Toc271193025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_Toc271193026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_Toc271193027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Evidence of qualifications</w:t>
      </w:r>
      <w:r>
        <w:tab/>
      </w:r>
      <w:r>
        <w:fldChar w:fldCharType="begin"/>
      </w:r>
      <w:r>
        <w:instrText xml:space="preserve"> PAGEREF _Toc271193028 \h </w:instrText>
      </w:r>
      <w:r>
        <w:fldChar w:fldCharType="separate"/>
      </w:r>
      <w:r>
        <w:t>44</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_Toc271193029 \h </w:instrText>
      </w:r>
      <w:r>
        <w:fldChar w:fldCharType="separate"/>
      </w:r>
      <w:r>
        <w:t>45</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_Toc271193030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_Toc271193031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_Toc271193032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_Toc271193033 \h </w:instrText>
      </w:r>
      <w:r>
        <w:fldChar w:fldCharType="separate"/>
      </w:r>
      <w:r>
        <w:t>46</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_Toc271193034 \h </w:instrText>
      </w:r>
      <w:r>
        <w:fldChar w:fldCharType="separate"/>
      </w:r>
      <w:r>
        <w:t>51</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_Toc271193035 \h </w:instrText>
      </w:r>
      <w:r>
        <w:fldChar w:fldCharType="separate"/>
      </w:r>
      <w:r>
        <w:t>52</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SUSDP</w:t>
      </w:r>
      <w:r>
        <w:tab/>
      </w:r>
      <w:r>
        <w:fldChar w:fldCharType="begin"/>
      </w:r>
      <w:r>
        <w:instrText xml:space="preserve"> PAGEREF _Toc271193037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_Toc271193050 \h </w:instrText>
      </w:r>
      <w:r>
        <w:fldChar w:fldCharType="separate"/>
      </w:r>
      <w:r>
        <w:t>59</w:t>
      </w:r>
      <w:r>
        <w:fldChar w:fldCharType="end"/>
      </w:r>
    </w:p>
    <w:p>
      <w:pPr>
        <w:pStyle w:val="TOC8"/>
        <w:rPr>
          <w:sz w:val="24"/>
        </w:rPr>
      </w:pPr>
      <w:r>
        <w:rPr>
          <w:snapToGrid w:val="0"/>
        </w:rPr>
        <w:tab/>
        <w:t>Provisions that have not come into operation</w:t>
      </w:r>
      <w:r>
        <w:tab/>
      </w:r>
      <w:r>
        <w:fldChar w:fldCharType="begin"/>
      </w:r>
      <w:r>
        <w:instrText xml:space="preserve"> PAGEREF _Toc271193051 \h </w:instrText>
      </w:r>
      <w:r>
        <w:fldChar w:fldCharType="separate"/>
      </w:r>
      <w:r>
        <w:t>66</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5025852"/>
      <w:bookmarkStart w:id="45" w:name="_Toc102960624"/>
      <w:bookmarkStart w:id="46" w:name="_Toc271192953"/>
      <w:r>
        <w:rPr>
          <w:rStyle w:val="CharSectno"/>
        </w:rPr>
        <w:t>1</w:t>
      </w:r>
      <w:r>
        <w:rPr>
          <w:snapToGrid w:val="0"/>
        </w:rPr>
        <w:t>.</w:t>
      </w:r>
      <w:r>
        <w:rPr>
          <w:snapToGrid w:val="0"/>
        </w:rPr>
        <w:tab/>
        <w:t>Short title</w:t>
      </w:r>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7" w:name="_Toc525025853"/>
      <w:bookmarkStart w:id="48" w:name="_Toc102960625"/>
      <w:bookmarkStart w:id="49" w:name="_Toc271192954"/>
      <w:r>
        <w:rPr>
          <w:rStyle w:val="CharSectno"/>
        </w:rPr>
        <w:t>2</w:t>
      </w:r>
      <w:r>
        <w:rPr>
          <w:snapToGrid w:val="0"/>
        </w:rPr>
        <w:t>.</w:t>
      </w:r>
      <w:r>
        <w:rPr>
          <w:snapToGrid w:val="0"/>
        </w:rPr>
        <w:tab/>
        <w:t>Commencement</w:t>
      </w:r>
      <w:bookmarkEnd w:id="47"/>
      <w:bookmarkEnd w:id="48"/>
      <w:bookmarkEnd w:id="4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0" w:name="_Toc525025854"/>
      <w:bookmarkStart w:id="51" w:name="_Toc102960626"/>
      <w:bookmarkStart w:id="52" w:name="_Toc271192955"/>
      <w:r>
        <w:rPr>
          <w:rStyle w:val="CharSectno"/>
        </w:rPr>
        <w:t>5</w:t>
      </w:r>
      <w:r>
        <w:rPr>
          <w:snapToGrid w:val="0"/>
        </w:rPr>
        <w:t>.</w:t>
      </w:r>
      <w:r>
        <w:rPr>
          <w:snapToGrid w:val="0"/>
        </w:rPr>
        <w:tab/>
      </w:r>
      <w:bookmarkEnd w:id="50"/>
      <w:bookmarkEnd w:id="51"/>
      <w:r>
        <w:rPr>
          <w:snapToGrid w:val="0"/>
        </w:rPr>
        <w:t>Terms used</w:t>
      </w:r>
      <w:bookmarkEnd w:id="5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3" w:name="_Toc525025855"/>
      <w:bookmarkStart w:id="54" w:name="_Toc102960627"/>
      <w:bookmarkStart w:id="55" w:name="_Toc271192956"/>
      <w:r>
        <w:rPr>
          <w:rStyle w:val="CharSectno"/>
        </w:rPr>
        <w:t>6</w:t>
      </w:r>
      <w:r>
        <w:rPr>
          <w:snapToGrid w:val="0"/>
        </w:rPr>
        <w:t>.</w:t>
      </w:r>
      <w:r>
        <w:rPr>
          <w:snapToGrid w:val="0"/>
        </w:rPr>
        <w:tab/>
        <w:t>Construction</w:t>
      </w:r>
      <w:bookmarkEnd w:id="53"/>
      <w:bookmarkEnd w:id="54"/>
      <w:bookmarkEnd w:id="55"/>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6" w:name="_Toc525025856"/>
      <w:bookmarkStart w:id="57" w:name="_Toc102960628"/>
      <w:bookmarkStart w:id="58" w:name="_Toc271192957"/>
      <w:r>
        <w:rPr>
          <w:rStyle w:val="CharSectno"/>
        </w:rPr>
        <w:t>6A</w:t>
      </w:r>
      <w:r>
        <w:rPr>
          <w:snapToGrid w:val="0"/>
        </w:rPr>
        <w:t>.</w:t>
      </w:r>
      <w:r>
        <w:rPr>
          <w:snapToGrid w:val="0"/>
        </w:rPr>
        <w:tab/>
        <w:t>Crown bound</w:t>
      </w:r>
      <w:bookmarkEnd w:id="56"/>
      <w:bookmarkEnd w:id="57"/>
      <w:bookmarkEnd w:id="5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9" w:name="_Toc525025857"/>
      <w:bookmarkStart w:id="60" w:name="_Toc102960629"/>
      <w:bookmarkStart w:id="61" w:name="_Toc271192958"/>
      <w:r>
        <w:rPr>
          <w:rStyle w:val="CharSectno"/>
        </w:rPr>
        <w:t>7</w:t>
      </w:r>
      <w:r>
        <w:rPr>
          <w:snapToGrid w:val="0"/>
        </w:rPr>
        <w:t>.</w:t>
      </w:r>
      <w:r>
        <w:rPr>
          <w:snapToGrid w:val="0"/>
        </w:rPr>
        <w:tab/>
        <w:t>Administration</w:t>
      </w:r>
      <w:bookmarkEnd w:id="59"/>
      <w:bookmarkEnd w:id="60"/>
      <w:bookmarkEnd w:id="61"/>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2" w:name="_Toc102960630"/>
      <w:bookmarkStart w:id="63" w:name="_Toc271192959"/>
      <w:bookmarkStart w:id="64" w:name="_Toc72642713"/>
      <w:r>
        <w:rPr>
          <w:rStyle w:val="CharSectno"/>
        </w:rPr>
        <w:t>7A</w:t>
      </w:r>
      <w:r>
        <w:t>.</w:t>
      </w:r>
      <w:r>
        <w:tab/>
        <w:t>Application: industrial hemp, industrial hemp seed and processed industrial hemp</w:t>
      </w:r>
      <w:bookmarkEnd w:id="62"/>
      <w:bookmarkEnd w:id="6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5" w:name="_Toc80504742"/>
      <w:bookmarkStart w:id="66" w:name="_Toc80504840"/>
      <w:bookmarkStart w:id="67" w:name="_Toc80521456"/>
      <w:bookmarkStart w:id="68" w:name="_Toc80521565"/>
      <w:bookmarkStart w:id="69" w:name="_Toc81794929"/>
      <w:bookmarkStart w:id="70" w:name="_Toc82408304"/>
      <w:bookmarkStart w:id="71" w:name="_Toc84998091"/>
      <w:bookmarkStart w:id="72" w:name="_Toc89492905"/>
      <w:bookmarkStart w:id="73" w:name="_Toc89512271"/>
      <w:bookmarkStart w:id="74" w:name="_Toc91316644"/>
      <w:bookmarkStart w:id="75" w:name="_Toc92698869"/>
      <w:bookmarkStart w:id="76" w:name="_Toc96999704"/>
      <w:bookmarkStart w:id="77" w:name="_Toc102960631"/>
      <w:bookmarkStart w:id="78" w:name="_Toc139433709"/>
      <w:bookmarkStart w:id="79" w:name="_Toc139434790"/>
      <w:bookmarkStart w:id="80" w:name="_Toc139770915"/>
      <w:bookmarkStart w:id="81" w:name="_Toc141858339"/>
      <w:bookmarkStart w:id="82" w:name="_Toc142274931"/>
      <w:bookmarkStart w:id="83" w:name="_Toc144521443"/>
      <w:bookmarkStart w:id="84" w:name="_Toc144538450"/>
      <w:bookmarkStart w:id="85" w:name="_Toc146532803"/>
      <w:bookmarkStart w:id="86" w:name="_Toc148237750"/>
      <w:bookmarkStart w:id="87" w:name="_Toc151800637"/>
      <w:bookmarkStart w:id="88" w:name="_Toc170718623"/>
      <w:bookmarkStart w:id="89" w:name="_Toc171070254"/>
      <w:bookmarkStart w:id="90" w:name="_Toc171158371"/>
      <w:bookmarkStart w:id="91" w:name="_Toc171229490"/>
      <w:bookmarkStart w:id="92" w:name="_Toc173229823"/>
      <w:bookmarkStart w:id="93" w:name="_Toc177878209"/>
      <w:bookmarkStart w:id="94" w:name="_Toc181007161"/>
      <w:bookmarkStart w:id="95" w:name="_Toc196803186"/>
      <w:bookmarkStart w:id="96" w:name="_Toc199817414"/>
      <w:bookmarkStart w:id="97" w:name="_Toc215548448"/>
      <w:bookmarkStart w:id="98" w:name="_Toc216579216"/>
      <w:bookmarkStart w:id="99" w:name="_Toc221595374"/>
      <w:bookmarkStart w:id="100" w:name="_Toc221694029"/>
      <w:bookmarkStart w:id="101" w:name="_Toc222632740"/>
      <w:bookmarkStart w:id="102" w:name="_Toc222632875"/>
      <w:bookmarkStart w:id="103" w:name="_Toc224032472"/>
      <w:bookmarkStart w:id="104" w:name="_Toc241055685"/>
      <w:bookmarkStart w:id="105" w:name="_Toc271125262"/>
      <w:bookmarkStart w:id="106" w:name="_Toc271192960"/>
      <w:r>
        <w:rPr>
          <w:rStyle w:val="CharPartNo"/>
        </w:rPr>
        <w:t>Part II</w:t>
      </w:r>
      <w:r>
        <w:rPr>
          <w:rStyle w:val="CharDivNo"/>
        </w:rPr>
        <w:t> </w:t>
      </w:r>
      <w:r>
        <w:t>—</w:t>
      </w:r>
      <w:r>
        <w:rPr>
          <w:rStyle w:val="CharDivText"/>
        </w:rPr>
        <w:t> </w:t>
      </w:r>
      <w:r>
        <w:rPr>
          <w:rStyle w:val="CharPartText"/>
        </w:rPr>
        <w:t>Poisons Advisory Committee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25025858"/>
      <w:bookmarkStart w:id="108" w:name="_Toc102960632"/>
      <w:bookmarkStart w:id="109" w:name="_Toc271192961"/>
      <w:r>
        <w:rPr>
          <w:rStyle w:val="CharSectno"/>
        </w:rPr>
        <w:t>8</w:t>
      </w:r>
      <w:r>
        <w:rPr>
          <w:snapToGrid w:val="0"/>
        </w:rPr>
        <w:t>.</w:t>
      </w:r>
      <w:r>
        <w:rPr>
          <w:snapToGrid w:val="0"/>
        </w:rPr>
        <w:tab/>
        <w:t>Constitution of Poisons Advisory Committee</w:t>
      </w:r>
      <w:bookmarkEnd w:id="107"/>
      <w:bookmarkEnd w:id="108"/>
      <w:bookmarkEnd w:id="109"/>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10" w:name="_Toc525025859"/>
      <w:bookmarkStart w:id="111" w:name="_Toc102960633"/>
      <w:bookmarkStart w:id="112" w:name="_Toc271192962"/>
      <w:r>
        <w:rPr>
          <w:rStyle w:val="CharSectno"/>
        </w:rPr>
        <w:t>9</w:t>
      </w:r>
      <w:r>
        <w:rPr>
          <w:snapToGrid w:val="0"/>
        </w:rPr>
        <w:t>.</w:t>
      </w:r>
      <w:r>
        <w:rPr>
          <w:snapToGrid w:val="0"/>
        </w:rPr>
        <w:tab/>
        <w:t>Procedure on default of nomination</w:t>
      </w:r>
      <w:bookmarkEnd w:id="110"/>
      <w:bookmarkEnd w:id="111"/>
      <w:bookmarkEnd w:id="112"/>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3" w:name="_Toc525025860"/>
      <w:bookmarkStart w:id="114" w:name="_Toc102960634"/>
      <w:bookmarkStart w:id="115" w:name="_Toc271192963"/>
      <w:r>
        <w:rPr>
          <w:rStyle w:val="CharSectno"/>
        </w:rPr>
        <w:t>10</w:t>
      </w:r>
      <w:r>
        <w:rPr>
          <w:snapToGrid w:val="0"/>
        </w:rPr>
        <w:t>.</w:t>
      </w:r>
      <w:r>
        <w:rPr>
          <w:snapToGrid w:val="0"/>
        </w:rPr>
        <w:tab/>
        <w:t>Term of office of nominee member</w:t>
      </w:r>
      <w:bookmarkEnd w:id="113"/>
      <w:bookmarkEnd w:id="114"/>
      <w:bookmarkEnd w:id="11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6" w:name="_Toc525025861"/>
      <w:bookmarkStart w:id="117" w:name="_Toc102960635"/>
      <w:bookmarkStart w:id="118" w:name="_Toc271192964"/>
      <w:r>
        <w:rPr>
          <w:rStyle w:val="CharSectno"/>
        </w:rPr>
        <w:t>11</w:t>
      </w:r>
      <w:r>
        <w:rPr>
          <w:snapToGrid w:val="0"/>
        </w:rPr>
        <w:t>.</w:t>
      </w:r>
      <w:r>
        <w:rPr>
          <w:snapToGrid w:val="0"/>
        </w:rPr>
        <w:tab/>
        <w:t>Vacation of office</w:t>
      </w:r>
      <w:bookmarkEnd w:id="116"/>
      <w:bookmarkEnd w:id="117"/>
      <w:bookmarkEnd w:id="11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19" w:name="_Toc525025862"/>
      <w:bookmarkStart w:id="120" w:name="_Toc102960636"/>
      <w:bookmarkStart w:id="121" w:name="_Toc271192965"/>
      <w:r>
        <w:rPr>
          <w:rStyle w:val="CharSectno"/>
        </w:rPr>
        <w:t>12</w:t>
      </w:r>
      <w:r>
        <w:rPr>
          <w:snapToGrid w:val="0"/>
        </w:rPr>
        <w:t>.</w:t>
      </w:r>
      <w:r>
        <w:rPr>
          <w:snapToGrid w:val="0"/>
        </w:rPr>
        <w:tab/>
        <w:t>Dismissal of members</w:t>
      </w:r>
      <w:bookmarkEnd w:id="119"/>
      <w:bookmarkEnd w:id="120"/>
      <w:bookmarkEnd w:id="12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2" w:name="_Toc525025863"/>
      <w:bookmarkStart w:id="123" w:name="_Toc102960637"/>
      <w:bookmarkStart w:id="124" w:name="_Toc271192966"/>
      <w:r>
        <w:rPr>
          <w:rStyle w:val="CharSectno"/>
        </w:rPr>
        <w:t>13</w:t>
      </w:r>
      <w:r>
        <w:rPr>
          <w:snapToGrid w:val="0"/>
        </w:rPr>
        <w:t>.</w:t>
      </w:r>
      <w:r>
        <w:rPr>
          <w:snapToGrid w:val="0"/>
        </w:rPr>
        <w:tab/>
        <w:t>Leave of absence</w:t>
      </w:r>
      <w:bookmarkEnd w:id="122"/>
      <w:bookmarkEnd w:id="123"/>
      <w:bookmarkEnd w:id="124"/>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5" w:name="_Toc525025864"/>
      <w:bookmarkStart w:id="126" w:name="_Toc102960638"/>
      <w:bookmarkStart w:id="127" w:name="_Toc271192967"/>
      <w:r>
        <w:rPr>
          <w:rStyle w:val="CharSectno"/>
        </w:rPr>
        <w:t>14</w:t>
      </w:r>
      <w:r>
        <w:rPr>
          <w:snapToGrid w:val="0"/>
        </w:rPr>
        <w:t>.</w:t>
      </w:r>
      <w:r>
        <w:rPr>
          <w:snapToGrid w:val="0"/>
        </w:rPr>
        <w:tab/>
        <w:t>Deputies of members</w:t>
      </w:r>
      <w:bookmarkEnd w:id="125"/>
      <w:bookmarkEnd w:id="126"/>
      <w:bookmarkEnd w:id="12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8" w:name="_Toc525025865"/>
      <w:bookmarkStart w:id="129" w:name="_Toc102960639"/>
      <w:bookmarkStart w:id="130" w:name="_Toc271192968"/>
      <w:r>
        <w:rPr>
          <w:rStyle w:val="CharSectno"/>
        </w:rPr>
        <w:t>15</w:t>
      </w:r>
      <w:r>
        <w:rPr>
          <w:snapToGrid w:val="0"/>
        </w:rPr>
        <w:t>.</w:t>
      </w:r>
      <w:r>
        <w:rPr>
          <w:snapToGrid w:val="0"/>
        </w:rPr>
        <w:tab/>
        <w:t>Acceptance of office</w:t>
      </w:r>
      <w:bookmarkEnd w:id="128"/>
      <w:bookmarkEnd w:id="129"/>
      <w:bookmarkEnd w:id="13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1" w:name="_Toc525025866"/>
      <w:bookmarkStart w:id="132" w:name="_Toc102960640"/>
      <w:bookmarkStart w:id="133" w:name="_Toc271192969"/>
      <w:r>
        <w:rPr>
          <w:rStyle w:val="CharSectno"/>
        </w:rPr>
        <w:t>16</w:t>
      </w:r>
      <w:r>
        <w:rPr>
          <w:snapToGrid w:val="0"/>
        </w:rPr>
        <w:t>.</w:t>
      </w:r>
      <w:r>
        <w:rPr>
          <w:snapToGrid w:val="0"/>
        </w:rPr>
        <w:tab/>
        <w:t>Remuneration of members</w:t>
      </w:r>
      <w:bookmarkEnd w:id="131"/>
      <w:bookmarkEnd w:id="132"/>
      <w:bookmarkEnd w:id="13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4" w:name="_Toc525025867"/>
      <w:bookmarkStart w:id="135" w:name="_Toc102960641"/>
      <w:bookmarkStart w:id="136" w:name="_Toc271192970"/>
      <w:r>
        <w:rPr>
          <w:rStyle w:val="CharSectno"/>
        </w:rPr>
        <w:t>17</w:t>
      </w:r>
      <w:r>
        <w:rPr>
          <w:snapToGrid w:val="0"/>
        </w:rPr>
        <w:t>.</w:t>
      </w:r>
      <w:r>
        <w:rPr>
          <w:snapToGrid w:val="0"/>
        </w:rPr>
        <w:tab/>
        <w:t>Meetings of Advisory Committee</w:t>
      </w:r>
      <w:bookmarkEnd w:id="134"/>
      <w:bookmarkEnd w:id="135"/>
      <w:bookmarkEnd w:id="136"/>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7" w:name="_Toc525025868"/>
      <w:bookmarkStart w:id="138" w:name="_Toc102960642"/>
      <w:bookmarkStart w:id="139" w:name="_Toc271192971"/>
      <w:r>
        <w:rPr>
          <w:rStyle w:val="CharSectno"/>
        </w:rPr>
        <w:t>18</w:t>
      </w:r>
      <w:r>
        <w:rPr>
          <w:snapToGrid w:val="0"/>
        </w:rPr>
        <w:t>.</w:t>
      </w:r>
      <w:r>
        <w:rPr>
          <w:snapToGrid w:val="0"/>
        </w:rPr>
        <w:tab/>
        <w:t>Officers of Advisory Committee</w:t>
      </w:r>
      <w:bookmarkEnd w:id="137"/>
      <w:bookmarkEnd w:id="138"/>
      <w:bookmarkEnd w:id="139"/>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0" w:name="_Toc525025869"/>
      <w:bookmarkStart w:id="141" w:name="_Toc102960643"/>
      <w:bookmarkStart w:id="142" w:name="_Toc271192972"/>
      <w:r>
        <w:rPr>
          <w:rStyle w:val="CharSectno"/>
        </w:rPr>
        <w:t>19</w:t>
      </w:r>
      <w:r>
        <w:rPr>
          <w:snapToGrid w:val="0"/>
        </w:rPr>
        <w:t>.</w:t>
      </w:r>
      <w:r>
        <w:rPr>
          <w:snapToGrid w:val="0"/>
        </w:rPr>
        <w:tab/>
        <w:t>Functions of Advisory Committee</w:t>
      </w:r>
      <w:bookmarkEnd w:id="140"/>
      <w:bookmarkEnd w:id="141"/>
      <w:bookmarkEnd w:id="142"/>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3" w:name="_Toc72642726"/>
      <w:bookmarkStart w:id="144" w:name="_Toc80504755"/>
      <w:bookmarkStart w:id="145" w:name="_Toc80504853"/>
      <w:bookmarkStart w:id="146" w:name="_Toc80521469"/>
      <w:bookmarkStart w:id="147" w:name="_Toc80521578"/>
      <w:bookmarkStart w:id="148" w:name="_Toc81794942"/>
      <w:bookmarkStart w:id="149" w:name="_Toc82408317"/>
      <w:bookmarkStart w:id="150" w:name="_Toc84998104"/>
      <w:bookmarkStart w:id="151" w:name="_Toc89492918"/>
      <w:bookmarkStart w:id="152" w:name="_Toc89512284"/>
      <w:bookmarkStart w:id="153" w:name="_Toc91316657"/>
      <w:bookmarkStart w:id="154" w:name="_Toc92698882"/>
      <w:bookmarkStart w:id="155" w:name="_Toc96999717"/>
      <w:bookmarkStart w:id="156" w:name="_Toc102960644"/>
      <w:bookmarkStart w:id="157" w:name="_Toc139433722"/>
      <w:bookmarkStart w:id="158" w:name="_Toc139434803"/>
      <w:bookmarkStart w:id="159" w:name="_Toc139770928"/>
      <w:bookmarkStart w:id="160" w:name="_Toc141858352"/>
      <w:bookmarkStart w:id="161" w:name="_Toc142274944"/>
      <w:bookmarkStart w:id="162" w:name="_Toc144521456"/>
      <w:bookmarkStart w:id="163" w:name="_Toc144538463"/>
      <w:bookmarkStart w:id="164" w:name="_Toc146532816"/>
      <w:bookmarkStart w:id="165" w:name="_Toc148237763"/>
      <w:bookmarkStart w:id="166" w:name="_Toc151800650"/>
      <w:bookmarkStart w:id="167" w:name="_Toc170718636"/>
      <w:bookmarkStart w:id="168" w:name="_Toc171070267"/>
      <w:bookmarkStart w:id="169" w:name="_Toc171158384"/>
      <w:bookmarkStart w:id="170" w:name="_Toc171229503"/>
      <w:bookmarkStart w:id="171" w:name="_Toc173229836"/>
      <w:bookmarkStart w:id="172" w:name="_Toc177878222"/>
      <w:bookmarkStart w:id="173" w:name="_Toc181007174"/>
      <w:bookmarkStart w:id="174" w:name="_Toc196803199"/>
      <w:bookmarkStart w:id="175" w:name="_Toc199817427"/>
      <w:bookmarkStart w:id="176" w:name="_Toc215548461"/>
      <w:bookmarkStart w:id="177" w:name="_Toc216579229"/>
      <w:bookmarkStart w:id="178" w:name="_Toc221595387"/>
      <w:bookmarkStart w:id="179" w:name="_Toc221694042"/>
      <w:bookmarkStart w:id="180" w:name="_Toc222632753"/>
      <w:bookmarkStart w:id="181" w:name="_Toc222632888"/>
      <w:bookmarkStart w:id="182" w:name="_Toc224032485"/>
      <w:bookmarkStart w:id="183" w:name="_Toc241055698"/>
      <w:bookmarkStart w:id="184" w:name="_Toc271125275"/>
      <w:bookmarkStart w:id="185" w:name="_Toc271192973"/>
      <w:r>
        <w:rPr>
          <w:rStyle w:val="CharPartNo"/>
        </w:rPr>
        <w:t>Part III</w:t>
      </w:r>
      <w:r>
        <w:t> — </w:t>
      </w:r>
      <w:r>
        <w:rPr>
          <w:rStyle w:val="CharPartText"/>
        </w:rPr>
        <w:t>Poisons and other substances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72642727"/>
      <w:bookmarkStart w:id="187" w:name="_Toc80504756"/>
      <w:bookmarkStart w:id="188" w:name="_Toc80504854"/>
      <w:bookmarkStart w:id="189" w:name="_Toc80521470"/>
      <w:bookmarkStart w:id="190" w:name="_Toc80521579"/>
      <w:bookmarkStart w:id="191" w:name="_Toc81794943"/>
      <w:bookmarkStart w:id="192" w:name="_Toc82408318"/>
      <w:bookmarkStart w:id="193" w:name="_Toc84998105"/>
      <w:bookmarkStart w:id="194" w:name="_Toc89492919"/>
      <w:bookmarkStart w:id="195" w:name="_Toc89512285"/>
      <w:bookmarkStart w:id="196" w:name="_Toc91316658"/>
      <w:bookmarkStart w:id="197" w:name="_Toc92698883"/>
      <w:bookmarkStart w:id="198" w:name="_Toc96999718"/>
      <w:bookmarkStart w:id="199" w:name="_Toc102960645"/>
      <w:bookmarkStart w:id="200" w:name="_Toc139433723"/>
      <w:bookmarkStart w:id="201" w:name="_Toc139434804"/>
      <w:bookmarkStart w:id="202" w:name="_Toc139770929"/>
      <w:bookmarkStart w:id="203" w:name="_Toc141858353"/>
      <w:bookmarkStart w:id="204" w:name="_Toc142274945"/>
      <w:bookmarkStart w:id="205" w:name="_Toc144521457"/>
      <w:bookmarkStart w:id="206" w:name="_Toc144538464"/>
      <w:bookmarkStart w:id="207" w:name="_Toc146532817"/>
      <w:bookmarkStart w:id="208" w:name="_Toc148237764"/>
      <w:bookmarkStart w:id="209" w:name="_Toc151800651"/>
      <w:bookmarkStart w:id="210" w:name="_Toc170718637"/>
      <w:bookmarkStart w:id="211" w:name="_Toc171070268"/>
      <w:bookmarkStart w:id="212" w:name="_Toc171158385"/>
      <w:bookmarkStart w:id="213" w:name="_Toc171229504"/>
      <w:bookmarkStart w:id="214" w:name="_Toc173229837"/>
      <w:bookmarkStart w:id="215" w:name="_Toc177878223"/>
      <w:bookmarkStart w:id="216" w:name="_Toc181007175"/>
      <w:bookmarkStart w:id="217" w:name="_Toc196803200"/>
      <w:bookmarkStart w:id="218" w:name="_Toc199817428"/>
      <w:bookmarkStart w:id="219" w:name="_Toc215548462"/>
      <w:bookmarkStart w:id="220" w:name="_Toc216579230"/>
      <w:bookmarkStart w:id="221" w:name="_Toc221595388"/>
      <w:bookmarkStart w:id="222" w:name="_Toc221694043"/>
      <w:bookmarkStart w:id="223" w:name="_Toc222632754"/>
      <w:bookmarkStart w:id="224" w:name="_Toc222632889"/>
      <w:bookmarkStart w:id="225" w:name="_Toc224032486"/>
      <w:bookmarkStart w:id="226" w:name="_Toc241055699"/>
      <w:bookmarkStart w:id="227" w:name="_Toc271125276"/>
      <w:bookmarkStart w:id="228" w:name="_Toc271192974"/>
      <w:r>
        <w:rPr>
          <w:rStyle w:val="CharDivNo"/>
        </w:rPr>
        <w:t>Division 1</w:t>
      </w:r>
      <w:r>
        <w:rPr>
          <w:snapToGrid w:val="0"/>
        </w:rPr>
        <w:t> — </w:t>
      </w:r>
      <w:r>
        <w:rPr>
          <w:rStyle w:val="CharDivText"/>
        </w:rPr>
        <w:t>Classification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25025870"/>
      <w:bookmarkStart w:id="230" w:name="_Toc102960646"/>
      <w:bookmarkStart w:id="231" w:name="_Toc271192975"/>
      <w:r>
        <w:rPr>
          <w:rStyle w:val="CharSectno"/>
        </w:rPr>
        <w:t>20</w:t>
      </w:r>
      <w:r>
        <w:rPr>
          <w:snapToGrid w:val="0"/>
        </w:rPr>
        <w:t>.</w:t>
      </w:r>
      <w:r>
        <w:rPr>
          <w:snapToGrid w:val="0"/>
        </w:rPr>
        <w:tab/>
        <w:t>Declaration of poisons</w:t>
      </w:r>
      <w:bookmarkEnd w:id="229"/>
      <w:bookmarkEnd w:id="230"/>
      <w:bookmarkEnd w:id="231"/>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32" w:name="_Toc525025871"/>
      <w:bookmarkStart w:id="233" w:name="_Toc102960647"/>
      <w:bookmarkStart w:id="234" w:name="_Toc271192976"/>
      <w:r>
        <w:rPr>
          <w:rStyle w:val="CharSectno"/>
        </w:rPr>
        <w:t>20A</w:t>
      </w:r>
      <w:r>
        <w:rPr>
          <w:snapToGrid w:val="0"/>
        </w:rPr>
        <w:t>.</w:t>
      </w:r>
      <w:r>
        <w:rPr>
          <w:snapToGrid w:val="0"/>
        </w:rPr>
        <w:tab/>
        <w:t>How poisons may be identified in Schedules</w:t>
      </w:r>
      <w:bookmarkEnd w:id="232"/>
      <w:bookmarkEnd w:id="233"/>
      <w:bookmarkEnd w:id="234"/>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35" w:name="_Toc525025872"/>
      <w:bookmarkStart w:id="236" w:name="_Toc102960648"/>
      <w:bookmarkStart w:id="237" w:name="_Toc271192977"/>
      <w:r>
        <w:rPr>
          <w:rStyle w:val="CharSectno"/>
        </w:rPr>
        <w:t>21</w:t>
      </w:r>
      <w:r>
        <w:rPr>
          <w:snapToGrid w:val="0"/>
        </w:rPr>
        <w:t>.</w:t>
      </w:r>
      <w:r>
        <w:rPr>
          <w:snapToGrid w:val="0"/>
        </w:rPr>
        <w:tab/>
        <w:t>Amendment of Appendix A</w:t>
      </w:r>
      <w:bookmarkEnd w:id="235"/>
      <w:bookmarkEnd w:id="236"/>
      <w:bookmarkEnd w:id="2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38" w:name="_Toc525025873"/>
      <w:bookmarkStart w:id="239" w:name="_Toc102960649"/>
      <w:bookmarkStart w:id="240" w:name="_Toc271192978"/>
      <w:r>
        <w:rPr>
          <w:rStyle w:val="CharSectno"/>
        </w:rPr>
        <w:t>21A</w:t>
      </w:r>
      <w:r>
        <w:rPr>
          <w:snapToGrid w:val="0"/>
        </w:rPr>
        <w:t>.</w:t>
      </w:r>
      <w:r>
        <w:rPr>
          <w:snapToGrid w:val="0"/>
        </w:rPr>
        <w:tab/>
        <w:t>Exemption of substances from Act</w:t>
      </w:r>
      <w:bookmarkEnd w:id="238"/>
      <w:bookmarkEnd w:id="239"/>
      <w:bookmarkEnd w:id="240"/>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1" w:name="_Toc525025874"/>
      <w:bookmarkStart w:id="242" w:name="_Toc102960650"/>
      <w:bookmarkStart w:id="243" w:name="_Toc271192979"/>
      <w:r>
        <w:rPr>
          <w:rStyle w:val="CharSectno"/>
        </w:rPr>
        <w:t>22</w:t>
      </w:r>
      <w:r>
        <w:rPr>
          <w:snapToGrid w:val="0"/>
        </w:rPr>
        <w:t>.</w:t>
      </w:r>
      <w:r>
        <w:rPr>
          <w:snapToGrid w:val="0"/>
        </w:rPr>
        <w:tab/>
        <w:t>Sale of any poison may be prohibited</w:t>
      </w:r>
      <w:bookmarkEnd w:id="241"/>
      <w:bookmarkEnd w:id="242"/>
      <w:bookmarkEnd w:id="243"/>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44" w:name="_Toc525025875"/>
      <w:bookmarkStart w:id="245" w:name="_Toc102960651"/>
      <w:bookmarkStart w:id="246" w:name="_Toc271192980"/>
      <w:r>
        <w:rPr>
          <w:rStyle w:val="CharSectno"/>
        </w:rPr>
        <w:t>22A</w:t>
      </w:r>
      <w:r>
        <w:rPr>
          <w:snapToGrid w:val="0"/>
        </w:rPr>
        <w:t>.</w:t>
      </w:r>
      <w:r>
        <w:rPr>
          <w:snapToGrid w:val="0"/>
        </w:rPr>
        <w:tab/>
        <w:t>Specified drugs</w:t>
      </w:r>
      <w:bookmarkEnd w:id="244"/>
      <w:bookmarkEnd w:id="245"/>
      <w:bookmarkEnd w:id="246"/>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47" w:name="_Toc72642734"/>
      <w:bookmarkStart w:id="248" w:name="_Toc80504763"/>
      <w:bookmarkStart w:id="249" w:name="_Toc80504861"/>
      <w:bookmarkStart w:id="250" w:name="_Toc80521477"/>
      <w:bookmarkStart w:id="251" w:name="_Toc80521586"/>
      <w:bookmarkStart w:id="252" w:name="_Toc81794950"/>
      <w:bookmarkStart w:id="253" w:name="_Toc82408325"/>
      <w:bookmarkStart w:id="254" w:name="_Toc84998112"/>
      <w:bookmarkStart w:id="255" w:name="_Toc89492926"/>
      <w:bookmarkStart w:id="256" w:name="_Toc89512292"/>
      <w:bookmarkStart w:id="257" w:name="_Toc91316665"/>
      <w:bookmarkStart w:id="258" w:name="_Toc92698890"/>
      <w:bookmarkStart w:id="259" w:name="_Toc96999725"/>
      <w:bookmarkStart w:id="260" w:name="_Toc102960652"/>
      <w:bookmarkStart w:id="261" w:name="_Toc139433730"/>
      <w:bookmarkStart w:id="262" w:name="_Toc139434811"/>
      <w:bookmarkStart w:id="263" w:name="_Toc139770936"/>
      <w:bookmarkStart w:id="264" w:name="_Toc141858360"/>
      <w:bookmarkStart w:id="265" w:name="_Toc142274952"/>
      <w:bookmarkStart w:id="266" w:name="_Toc144521464"/>
      <w:bookmarkStart w:id="267" w:name="_Toc144538471"/>
      <w:bookmarkStart w:id="268" w:name="_Toc146532824"/>
      <w:bookmarkStart w:id="269" w:name="_Toc148237771"/>
      <w:bookmarkStart w:id="270" w:name="_Toc151800658"/>
      <w:bookmarkStart w:id="271" w:name="_Toc170718644"/>
      <w:bookmarkStart w:id="272" w:name="_Toc171070275"/>
      <w:bookmarkStart w:id="273" w:name="_Toc171158392"/>
      <w:bookmarkStart w:id="274" w:name="_Toc171229511"/>
      <w:bookmarkStart w:id="275" w:name="_Toc173229844"/>
      <w:bookmarkStart w:id="276" w:name="_Toc177878230"/>
      <w:bookmarkStart w:id="277" w:name="_Toc181007182"/>
      <w:bookmarkStart w:id="278" w:name="_Toc196803207"/>
      <w:bookmarkStart w:id="279" w:name="_Toc199817435"/>
      <w:bookmarkStart w:id="280" w:name="_Toc215548469"/>
      <w:bookmarkStart w:id="281" w:name="_Toc216579237"/>
      <w:bookmarkStart w:id="282" w:name="_Toc221595395"/>
      <w:bookmarkStart w:id="283" w:name="_Toc221694050"/>
      <w:bookmarkStart w:id="284" w:name="_Toc222632761"/>
      <w:bookmarkStart w:id="285" w:name="_Toc222632896"/>
      <w:bookmarkStart w:id="286" w:name="_Toc224032493"/>
      <w:bookmarkStart w:id="287" w:name="_Toc241055706"/>
      <w:bookmarkStart w:id="288" w:name="_Toc271125283"/>
      <w:bookmarkStart w:id="289" w:name="_Toc271192981"/>
      <w:r>
        <w:rPr>
          <w:rStyle w:val="CharDivNo"/>
        </w:rPr>
        <w:t>Division 2</w:t>
      </w:r>
      <w:r>
        <w:rPr>
          <w:snapToGrid w:val="0"/>
        </w:rPr>
        <w:t> — </w:t>
      </w:r>
      <w:r>
        <w:rPr>
          <w:rStyle w:val="CharDivText"/>
        </w:rPr>
        <w:t>Sale of poisons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525025876"/>
      <w:bookmarkStart w:id="291" w:name="_Toc102960653"/>
      <w:bookmarkStart w:id="292" w:name="_Toc271192982"/>
      <w:r>
        <w:rPr>
          <w:rStyle w:val="CharSectno"/>
        </w:rPr>
        <w:t>23</w:t>
      </w:r>
      <w:r>
        <w:rPr>
          <w:snapToGrid w:val="0"/>
        </w:rPr>
        <w:t>.</w:t>
      </w:r>
      <w:r>
        <w:rPr>
          <w:snapToGrid w:val="0"/>
        </w:rPr>
        <w:tab/>
        <w:t>Persons authorised to sell poisons</w:t>
      </w:r>
      <w:bookmarkEnd w:id="290"/>
      <w:bookmarkEnd w:id="291"/>
      <w:bookmarkEnd w:id="29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93" w:name="_Toc525025877"/>
      <w:bookmarkStart w:id="294" w:name="_Toc102960654"/>
      <w:bookmarkStart w:id="295" w:name="_Toc271192983"/>
      <w:r>
        <w:rPr>
          <w:rStyle w:val="CharSectno"/>
        </w:rPr>
        <w:t>24</w:t>
      </w:r>
      <w:r>
        <w:rPr>
          <w:snapToGrid w:val="0"/>
        </w:rPr>
        <w:t>.</w:t>
      </w:r>
      <w:r>
        <w:rPr>
          <w:snapToGrid w:val="0"/>
        </w:rPr>
        <w:tab/>
        <w:t>Licences to sell poisons</w:t>
      </w:r>
      <w:bookmarkEnd w:id="293"/>
      <w:bookmarkEnd w:id="294"/>
      <w:bookmarkEnd w:id="29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96" w:name="_Toc525025878"/>
      <w:bookmarkStart w:id="297" w:name="_Toc102960655"/>
      <w:bookmarkStart w:id="298" w:name="_Toc271192984"/>
      <w:r>
        <w:rPr>
          <w:rStyle w:val="CharSectno"/>
        </w:rPr>
        <w:t>25</w:t>
      </w:r>
      <w:r>
        <w:rPr>
          <w:snapToGrid w:val="0"/>
        </w:rPr>
        <w:t>.</w:t>
      </w:r>
      <w:r>
        <w:rPr>
          <w:snapToGrid w:val="0"/>
        </w:rPr>
        <w:tab/>
        <w:t>Permits to purchase poisons for specified purposes</w:t>
      </w:r>
      <w:bookmarkEnd w:id="296"/>
      <w:bookmarkEnd w:id="297"/>
      <w:bookmarkEnd w:id="29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99" w:name="_Toc525025879"/>
      <w:bookmarkStart w:id="300" w:name="_Toc102960656"/>
      <w:bookmarkStart w:id="301" w:name="_Toc271192985"/>
      <w:r>
        <w:rPr>
          <w:rStyle w:val="CharSectno"/>
        </w:rPr>
        <w:t>26</w:t>
      </w:r>
      <w:r>
        <w:rPr>
          <w:snapToGrid w:val="0"/>
        </w:rPr>
        <w:t>.</w:t>
      </w:r>
      <w:r>
        <w:rPr>
          <w:snapToGrid w:val="0"/>
        </w:rPr>
        <w:tab/>
        <w:t>Form of licences and permits</w:t>
      </w:r>
      <w:bookmarkEnd w:id="299"/>
      <w:bookmarkEnd w:id="300"/>
      <w:bookmarkEnd w:id="30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02" w:name="_Toc525025880"/>
      <w:bookmarkStart w:id="303" w:name="_Toc102960657"/>
      <w:bookmarkStart w:id="304" w:name="_Toc271192986"/>
      <w:r>
        <w:rPr>
          <w:rStyle w:val="CharSectno"/>
        </w:rPr>
        <w:t>26A</w:t>
      </w:r>
      <w:r>
        <w:rPr>
          <w:snapToGrid w:val="0"/>
        </w:rPr>
        <w:t>.</w:t>
      </w:r>
      <w:r>
        <w:rPr>
          <w:snapToGrid w:val="0"/>
        </w:rPr>
        <w:tab/>
        <w:t>Conditions</w:t>
      </w:r>
      <w:bookmarkEnd w:id="302"/>
      <w:bookmarkEnd w:id="303"/>
      <w:bookmarkEnd w:id="30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05" w:name="_Toc525025881"/>
      <w:bookmarkStart w:id="306" w:name="_Toc102960658"/>
      <w:bookmarkStart w:id="307" w:name="_Toc271192987"/>
      <w:r>
        <w:rPr>
          <w:rStyle w:val="CharSectno"/>
        </w:rPr>
        <w:t>26B</w:t>
      </w:r>
      <w:r>
        <w:rPr>
          <w:snapToGrid w:val="0"/>
        </w:rPr>
        <w:t>.</w:t>
      </w:r>
      <w:r>
        <w:rPr>
          <w:snapToGrid w:val="0"/>
        </w:rPr>
        <w:tab/>
        <w:t>Duration of licences and permits</w:t>
      </w:r>
      <w:bookmarkEnd w:id="305"/>
      <w:bookmarkEnd w:id="306"/>
      <w:bookmarkEnd w:id="30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08" w:name="_Toc525025882"/>
      <w:bookmarkStart w:id="309" w:name="_Toc102960659"/>
      <w:bookmarkStart w:id="310" w:name="_Toc271192988"/>
      <w:r>
        <w:rPr>
          <w:rStyle w:val="CharSectno"/>
        </w:rPr>
        <w:t>27</w:t>
      </w:r>
      <w:r>
        <w:rPr>
          <w:snapToGrid w:val="0"/>
        </w:rPr>
        <w:t>.</w:t>
      </w:r>
      <w:r>
        <w:rPr>
          <w:snapToGrid w:val="0"/>
        </w:rPr>
        <w:tab/>
        <w:t>Fees for licences, permits and renewals</w:t>
      </w:r>
      <w:bookmarkEnd w:id="308"/>
      <w:bookmarkEnd w:id="309"/>
      <w:bookmarkEnd w:id="31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11" w:name="_Toc525025883"/>
      <w:bookmarkStart w:id="312" w:name="_Toc102960660"/>
      <w:bookmarkStart w:id="313" w:name="_Toc271192989"/>
      <w:r>
        <w:rPr>
          <w:rStyle w:val="CharSectno"/>
        </w:rPr>
        <w:t>28</w:t>
      </w:r>
      <w:r>
        <w:rPr>
          <w:snapToGrid w:val="0"/>
        </w:rPr>
        <w:t>.</w:t>
      </w:r>
      <w:r>
        <w:rPr>
          <w:snapToGrid w:val="0"/>
        </w:rPr>
        <w:tab/>
      </w:r>
      <w:r>
        <w:t xml:space="preserve">CEO </w:t>
      </w:r>
      <w:r>
        <w:rPr>
          <w:snapToGrid w:val="0"/>
        </w:rPr>
        <w:t>may cancel, suspend or revoke licence or permit</w:t>
      </w:r>
      <w:bookmarkEnd w:id="311"/>
      <w:bookmarkEnd w:id="312"/>
      <w:bookmarkEnd w:id="31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14" w:name="_Toc525025884"/>
      <w:bookmarkStart w:id="315" w:name="_Toc102960661"/>
      <w:bookmarkStart w:id="316" w:name="_Toc271192990"/>
      <w:r>
        <w:rPr>
          <w:rStyle w:val="CharSectno"/>
        </w:rPr>
        <w:t>29</w:t>
      </w:r>
      <w:r>
        <w:rPr>
          <w:snapToGrid w:val="0"/>
        </w:rPr>
        <w:t>.</w:t>
      </w:r>
      <w:r>
        <w:rPr>
          <w:snapToGrid w:val="0"/>
        </w:rPr>
        <w:tab/>
        <w:t xml:space="preserve">Application for review of order of </w:t>
      </w:r>
      <w:bookmarkEnd w:id="314"/>
      <w:bookmarkEnd w:id="315"/>
      <w:r>
        <w:t>CEO</w:t>
      </w:r>
      <w:bookmarkEnd w:id="31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17" w:name="_Toc525025885"/>
      <w:bookmarkStart w:id="318" w:name="_Toc102960662"/>
      <w:bookmarkStart w:id="319" w:name="_Toc271192991"/>
      <w:r>
        <w:rPr>
          <w:rStyle w:val="CharSectno"/>
        </w:rPr>
        <w:t>30</w:t>
      </w:r>
      <w:r>
        <w:rPr>
          <w:snapToGrid w:val="0"/>
        </w:rPr>
        <w:t>.</w:t>
      </w:r>
      <w:r>
        <w:rPr>
          <w:snapToGrid w:val="0"/>
        </w:rPr>
        <w:tab/>
        <w:t>Licence not to be granted to company or friendly society</w:t>
      </w:r>
      <w:bookmarkEnd w:id="317"/>
      <w:bookmarkEnd w:id="318"/>
      <w:bookmarkEnd w:id="319"/>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20" w:name="_Toc72642745"/>
      <w:bookmarkStart w:id="321" w:name="_Toc80504774"/>
      <w:bookmarkStart w:id="322" w:name="_Toc80504872"/>
      <w:bookmarkStart w:id="323" w:name="_Toc80521488"/>
      <w:bookmarkStart w:id="324" w:name="_Toc80521597"/>
      <w:bookmarkStart w:id="325" w:name="_Toc81794961"/>
      <w:bookmarkStart w:id="326" w:name="_Toc82408336"/>
      <w:bookmarkStart w:id="327" w:name="_Toc84998123"/>
      <w:bookmarkStart w:id="328" w:name="_Toc89492937"/>
      <w:bookmarkStart w:id="329" w:name="_Toc89512303"/>
      <w:bookmarkStart w:id="330" w:name="_Toc91316676"/>
      <w:bookmarkStart w:id="331" w:name="_Toc92698901"/>
      <w:bookmarkStart w:id="332" w:name="_Toc96999736"/>
      <w:bookmarkStart w:id="333" w:name="_Toc102960663"/>
      <w:bookmarkStart w:id="334" w:name="_Toc139433741"/>
      <w:bookmarkStart w:id="335" w:name="_Toc139434822"/>
      <w:bookmarkStart w:id="336" w:name="_Toc139770947"/>
      <w:bookmarkStart w:id="337" w:name="_Toc141858371"/>
      <w:bookmarkStart w:id="338" w:name="_Toc142274963"/>
      <w:bookmarkStart w:id="339" w:name="_Toc144521475"/>
      <w:bookmarkStart w:id="340" w:name="_Toc144538482"/>
      <w:bookmarkStart w:id="341" w:name="_Toc146532835"/>
      <w:bookmarkStart w:id="342" w:name="_Toc148237782"/>
      <w:bookmarkStart w:id="343" w:name="_Toc151800669"/>
      <w:bookmarkStart w:id="344" w:name="_Toc170718655"/>
      <w:bookmarkStart w:id="345" w:name="_Toc171070286"/>
      <w:bookmarkStart w:id="346" w:name="_Toc171158403"/>
      <w:bookmarkStart w:id="347" w:name="_Toc171229522"/>
      <w:bookmarkStart w:id="348" w:name="_Toc173229855"/>
      <w:bookmarkStart w:id="349" w:name="_Toc177878241"/>
      <w:bookmarkStart w:id="350" w:name="_Toc181007193"/>
      <w:bookmarkStart w:id="351" w:name="_Toc196803218"/>
      <w:bookmarkStart w:id="352" w:name="_Toc199817446"/>
      <w:bookmarkStart w:id="353" w:name="_Toc215548480"/>
      <w:bookmarkStart w:id="354" w:name="_Toc216579248"/>
      <w:bookmarkStart w:id="355" w:name="_Toc221595406"/>
      <w:bookmarkStart w:id="356" w:name="_Toc221694061"/>
      <w:bookmarkStart w:id="357" w:name="_Toc222632772"/>
      <w:bookmarkStart w:id="358" w:name="_Toc222632907"/>
      <w:bookmarkStart w:id="359" w:name="_Toc224032504"/>
      <w:bookmarkStart w:id="360" w:name="_Toc241055717"/>
      <w:bookmarkStart w:id="361" w:name="_Toc271125294"/>
      <w:bookmarkStart w:id="362" w:name="_Toc271192992"/>
      <w:r>
        <w:rPr>
          <w:rStyle w:val="CharDivNo"/>
        </w:rPr>
        <w:t>Division 3</w:t>
      </w:r>
      <w:r>
        <w:rPr>
          <w:snapToGrid w:val="0"/>
        </w:rPr>
        <w:t> — </w:t>
      </w:r>
      <w:r>
        <w:rPr>
          <w:rStyle w:val="CharDivText"/>
        </w:rPr>
        <w:t>General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525025886"/>
      <w:bookmarkStart w:id="364" w:name="_Toc102960664"/>
      <w:bookmarkStart w:id="365" w:name="_Toc271192993"/>
      <w:r>
        <w:rPr>
          <w:rStyle w:val="CharSectno"/>
        </w:rPr>
        <w:t>31</w:t>
      </w:r>
      <w:r>
        <w:rPr>
          <w:snapToGrid w:val="0"/>
        </w:rPr>
        <w:t>.</w:t>
      </w:r>
      <w:r>
        <w:rPr>
          <w:snapToGrid w:val="0"/>
        </w:rPr>
        <w:tab/>
        <w:t>Sales of poison to be recorded in a book</w:t>
      </w:r>
      <w:bookmarkEnd w:id="363"/>
      <w:bookmarkEnd w:id="364"/>
      <w:bookmarkEnd w:id="36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66" w:name="_Toc525025887"/>
      <w:bookmarkStart w:id="367" w:name="_Toc102960665"/>
      <w:bookmarkStart w:id="368" w:name="_Toc271192994"/>
      <w:r>
        <w:rPr>
          <w:rStyle w:val="CharSectno"/>
        </w:rPr>
        <w:t>32</w:t>
      </w:r>
      <w:r>
        <w:rPr>
          <w:snapToGrid w:val="0"/>
        </w:rPr>
        <w:t>.</w:t>
      </w:r>
      <w:r>
        <w:rPr>
          <w:snapToGrid w:val="0"/>
        </w:rPr>
        <w:tab/>
        <w:t>Unauthorised sales of poisons</w:t>
      </w:r>
      <w:bookmarkEnd w:id="366"/>
      <w:bookmarkEnd w:id="367"/>
      <w:bookmarkEnd w:id="36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69" w:name="_Toc525025888"/>
      <w:bookmarkStart w:id="370" w:name="_Toc102960666"/>
      <w:bookmarkStart w:id="371" w:name="_Toc271192995"/>
      <w:r>
        <w:rPr>
          <w:rStyle w:val="CharSectno"/>
        </w:rPr>
        <w:t>33</w:t>
      </w:r>
      <w:r>
        <w:rPr>
          <w:snapToGrid w:val="0"/>
        </w:rPr>
        <w:t>.</w:t>
      </w:r>
      <w:r>
        <w:rPr>
          <w:snapToGrid w:val="0"/>
        </w:rPr>
        <w:tab/>
        <w:t>Wholesaler not to sell by retail</w:t>
      </w:r>
      <w:bookmarkEnd w:id="369"/>
      <w:bookmarkEnd w:id="370"/>
      <w:bookmarkEnd w:id="371"/>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72" w:name="_Toc525025889"/>
      <w:bookmarkStart w:id="373" w:name="_Toc102960667"/>
      <w:bookmarkStart w:id="374" w:name="_Toc271192996"/>
      <w:r>
        <w:rPr>
          <w:rStyle w:val="CharSectno"/>
        </w:rPr>
        <w:t>34</w:t>
      </w:r>
      <w:r>
        <w:rPr>
          <w:snapToGrid w:val="0"/>
        </w:rPr>
        <w:t>.</w:t>
      </w:r>
      <w:r>
        <w:rPr>
          <w:snapToGrid w:val="0"/>
        </w:rPr>
        <w:tab/>
        <w:t>Sales to certain persons prohibited</w:t>
      </w:r>
      <w:bookmarkEnd w:id="372"/>
      <w:bookmarkEnd w:id="373"/>
      <w:bookmarkEnd w:id="374"/>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75" w:name="_Toc525025890"/>
      <w:bookmarkStart w:id="376" w:name="_Toc102960668"/>
      <w:bookmarkStart w:id="377" w:name="_Toc271192997"/>
      <w:r>
        <w:rPr>
          <w:rStyle w:val="CharSectno"/>
        </w:rPr>
        <w:t>35</w:t>
      </w:r>
      <w:r>
        <w:rPr>
          <w:snapToGrid w:val="0"/>
        </w:rPr>
        <w:t>.</w:t>
      </w:r>
      <w:r>
        <w:rPr>
          <w:snapToGrid w:val="0"/>
        </w:rPr>
        <w:tab/>
        <w:t>Making false declarations</w:t>
      </w:r>
      <w:bookmarkEnd w:id="375"/>
      <w:bookmarkEnd w:id="376"/>
      <w:bookmarkEnd w:id="377"/>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78" w:name="_Toc525025891"/>
      <w:bookmarkStart w:id="379" w:name="_Toc102960669"/>
      <w:bookmarkStart w:id="380" w:name="_Toc271192998"/>
      <w:r>
        <w:rPr>
          <w:rStyle w:val="CharSectno"/>
        </w:rPr>
        <w:t>36</w:t>
      </w:r>
      <w:r>
        <w:rPr>
          <w:snapToGrid w:val="0"/>
        </w:rPr>
        <w:t>.</w:t>
      </w:r>
      <w:r>
        <w:rPr>
          <w:snapToGrid w:val="0"/>
        </w:rPr>
        <w:tab/>
        <w:t>Drugs not to be used for self administration</w:t>
      </w:r>
      <w:bookmarkEnd w:id="378"/>
      <w:bookmarkEnd w:id="379"/>
      <w:bookmarkEnd w:id="380"/>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81" w:name="_Toc525025892"/>
      <w:bookmarkStart w:id="382" w:name="_Toc102960670"/>
      <w:bookmarkStart w:id="383" w:name="_Toc271192999"/>
      <w:r>
        <w:rPr>
          <w:rStyle w:val="CharSectno"/>
        </w:rPr>
        <w:t>36A</w:t>
      </w:r>
      <w:r>
        <w:rPr>
          <w:snapToGrid w:val="0"/>
        </w:rPr>
        <w:t>.</w:t>
      </w:r>
      <w:r>
        <w:rPr>
          <w:snapToGrid w:val="0"/>
        </w:rPr>
        <w:tab/>
        <w:t>Defence for persons participating in the conduct of needle and syringe programmes</w:t>
      </w:r>
      <w:bookmarkEnd w:id="381"/>
      <w:bookmarkEnd w:id="382"/>
      <w:bookmarkEnd w:id="383"/>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84" w:name="_Toc525025893"/>
      <w:bookmarkStart w:id="385" w:name="_Toc102960671"/>
      <w:bookmarkStart w:id="386" w:name="_Toc271193000"/>
      <w:r>
        <w:rPr>
          <w:rStyle w:val="CharSectno"/>
        </w:rPr>
        <w:t>40</w:t>
      </w:r>
      <w:r>
        <w:rPr>
          <w:snapToGrid w:val="0"/>
        </w:rPr>
        <w:t>.</w:t>
      </w:r>
      <w:r>
        <w:rPr>
          <w:snapToGrid w:val="0"/>
        </w:rPr>
        <w:tab/>
        <w:t>Offences against this Part</w:t>
      </w:r>
      <w:bookmarkEnd w:id="384"/>
      <w:bookmarkEnd w:id="385"/>
      <w:bookmarkEnd w:id="386"/>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87" w:name="_Toc72642754"/>
      <w:bookmarkStart w:id="388" w:name="_Toc80504783"/>
      <w:bookmarkStart w:id="389" w:name="_Toc80504881"/>
      <w:bookmarkStart w:id="390" w:name="_Toc80521497"/>
      <w:bookmarkStart w:id="391" w:name="_Toc80521606"/>
      <w:bookmarkStart w:id="392" w:name="_Toc81794970"/>
      <w:bookmarkStart w:id="393" w:name="_Toc82408345"/>
      <w:bookmarkStart w:id="394" w:name="_Toc84998132"/>
      <w:bookmarkStart w:id="395" w:name="_Toc89492946"/>
      <w:bookmarkStart w:id="396" w:name="_Toc89512312"/>
      <w:bookmarkStart w:id="397" w:name="_Toc91316685"/>
      <w:bookmarkStart w:id="398" w:name="_Toc92698910"/>
      <w:bookmarkStart w:id="399" w:name="_Toc96999745"/>
      <w:bookmarkStart w:id="400" w:name="_Toc102960672"/>
      <w:bookmarkStart w:id="401" w:name="_Toc139433750"/>
      <w:bookmarkStart w:id="402" w:name="_Toc139434831"/>
      <w:bookmarkStart w:id="403" w:name="_Toc139770956"/>
      <w:bookmarkStart w:id="404" w:name="_Toc141858380"/>
      <w:bookmarkStart w:id="405" w:name="_Toc142274972"/>
      <w:bookmarkStart w:id="406" w:name="_Toc144521484"/>
      <w:bookmarkStart w:id="407" w:name="_Toc144538491"/>
      <w:bookmarkStart w:id="408" w:name="_Toc146532844"/>
      <w:bookmarkStart w:id="409" w:name="_Toc148237791"/>
      <w:bookmarkStart w:id="410" w:name="_Toc151800678"/>
      <w:bookmarkStart w:id="411" w:name="_Toc170718664"/>
      <w:bookmarkStart w:id="412" w:name="_Toc171070295"/>
      <w:bookmarkStart w:id="413" w:name="_Toc171158412"/>
      <w:bookmarkStart w:id="414" w:name="_Toc171229531"/>
      <w:bookmarkStart w:id="415" w:name="_Toc173229864"/>
      <w:bookmarkStart w:id="416" w:name="_Toc177878250"/>
      <w:bookmarkStart w:id="417" w:name="_Toc181007202"/>
      <w:bookmarkStart w:id="418" w:name="_Toc196803227"/>
      <w:bookmarkStart w:id="419" w:name="_Toc199817455"/>
      <w:bookmarkStart w:id="420" w:name="_Toc215548489"/>
      <w:bookmarkStart w:id="421" w:name="_Toc216579257"/>
      <w:bookmarkStart w:id="422" w:name="_Toc221595415"/>
      <w:bookmarkStart w:id="423" w:name="_Toc221694070"/>
      <w:bookmarkStart w:id="424" w:name="_Toc222632781"/>
      <w:bookmarkStart w:id="425" w:name="_Toc222632916"/>
      <w:bookmarkStart w:id="426" w:name="_Toc224032513"/>
      <w:bookmarkStart w:id="427" w:name="_Toc241055726"/>
      <w:bookmarkStart w:id="428" w:name="_Toc271125303"/>
      <w:bookmarkStart w:id="429" w:name="_Toc271193001"/>
      <w:r>
        <w:rPr>
          <w:rStyle w:val="CharPartNo"/>
        </w:rPr>
        <w:t>Part IV</w:t>
      </w:r>
      <w:r>
        <w:rPr>
          <w:rStyle w:val="CharDivNo"/>
        </w:rPr>
        <w:t> </w:t>
      </w:r>
      <w:r>
        <w:t>—</w:t>
      </w:r>
      <w:r>
        <w:rPr>
          <w:rStyle w:val="CharDivText"/>
        </w:rPr>
        <w:t> </w:t>
      </w:r>
      <w:r>
        <w:rPr>
          <w:rStyle w:val="CharPartText"/>
        </w:rPr>
        <w:t>Drugs of addiction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rPr>
          <w:snapToGrid w:val="0"/>
        </w:rPr>
      </w:pPr>
      <w:bookmarkStart w:id="430" w:name="_Toc525025894"/>
      <w:bookmarkStart w:id="431" w:name="_Toc102960673"/>
      <w:bookmarkStart w:id="432" w:name="_Toc271193002"/>
      <w:r>
        <w:rPr>
          <w:rStyle w:val="CharSectno"/>
        </w:rPr>
        <w:t>41</w:t>
      </w:r>
      <w:r>
        <w:rPr>
          <w:snapToGrid w:val="0"/>
        </w:rPr>
        <w:t>.</w:t>
      </w:r>
      <w:r>
        <w:rPr>
          <w:snapToGrid w:val="0"/>
        </w:rPr>
        <w:tab/>
        <w:t>Use of Schedule 9 poisons for research etc.</w:t>
      </w:r>
      <w:bookmarkEnd w:id="430"/>
      <w:bookmarkEnd w:id="431"/>
      <w:bookmarkEnd w:id="43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33" w:name="_Toc525025895"/>
      <w:bookmarkStart w:id="434" w:name="_Toc102960674"/>
      <w:bookmarkStart w:id="435" w:name="_Toc271193003"/>
      <w:r>
        <w:rPr>
          <w:rStyle w:val="CharSectno"/>
        </w:rPr>
        <w:t>41A</w:t>
      </w:r>
      <w:r>
        <w:rPr>
          <w:snapToGrid w:val="0"/>
        </w:rPr>
        <w:t>.</w:t>
      </w:r>
      <w:r>
        <w:rPr>
          <w:snapToGrid w:val="0"/>
        </w:rPr>
        <w:tab/>
        <w:t>Licence to cultivate prohibited plants</w:t>
      </w:r>
      <w:bookmarkEnd w:id="433"/>
      <w:bookmarkEnd w:id="434"/>
      <w:bookmarkEnd w:id="43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36" w:name="_Toc525025896"/>
      <w:bookmarkStart w:id="437" w:name="_Toc102960675"/>
      <w:bookmarkStart w:id="438" w:name="_Toc271193004"/>
      <w:r>
        <w:rPr>
          <w:rStyle w:val="CharSectno"/>
        </w:rPr>
        <w:t>44</w:t>
      </w:r>
      <w:r>
        <w:rPr>
          <w:snapToGrid w:val="0"/>
        </w:rPr>
        <w:t>.</w:t>
      </w:r>
      <w:r>
        <w:rPr>
          <w:snapToGrid w:val="0"/>
        </w:rPr>
        <w:tab/>
        <w:t>Offences generally against this Part</w:t>
      </w:r>
      <w:bookmarkEnd w:id="436"/>
      <w:bookmarkEnd w:id="437"/>
      <w:bookmarkEnd w:id="43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39" w:name="_Toc525025897"/>
      <w:bookmarkStart w:id="440" w:name="_Toc102960676"/>
      <w:bookmarkStart w:id="441" w:name="_Toc271193005"/>
      <w:r>
        <w:rPr>
          <w:rStyle w:val="CharSectno"/>
        </w:rPr>
        <w:t>45</w:t>
      </w:r>
      <w:r>
        <w:rPr>
          <w:snapToGrid w:val="0"/>
        </w:rPr>
        <w:t>.</w:t>
      </w:r>
      <w:r>
        <w:rPr>
          <w:snapToGrid w:val="0"/>
        </w:rPr>
        <w:tab/>
        <w:t>Term used: corresponding law</w:t>
      </w:r>
      <w:bookmarkEnd w:id="439"/>
      <w:bookmarkEnd w:id="440"/>
      <w:bookmarkEnd w:id="44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42" w:name="_Toc72642759"/>
      <w:bookmarkStart w:id="443" w:name="_Toc80504788"/>
      <w:bookmarkStart w:id="444" w:name="_Toc80504886"/>
      <w:bookmarkStart w:id="445" w:name="_Toc80521502"/>
      <w:bookmarkStart w:id="446" w:name="_Toc80521611"/>
      <w:bookmarkStart w:id="447" w:name="_Toc81794975"/>
      <w:bookmarkStart w:id="448" w:name="_Toc82408350"/>
      <w:bookmarkStart w:id="449" w:name="_Toc84998137"/>
      <w:bookmarkStart w:id="450" w:name="_Toc89492951"/>
      <w:bookmarkStart w:id="451" w:name="_Toc89512317"/>
      <w:bookmarkStart w:id="452" w:name="_Toc91316690"/>
      <w:bookmarkStart w:id="453" w:name="_Toc92698915"/>
      <w:bookmarkStart w:id="454" w:name="_Toc96999750"/>
      <w:bookmarkStart w:id="455" w:name="_Toc102960677"/>
      <w:bookmarkStart w:id="456" w:name="_Toc139433755"/>
      <w:bookmarkStart w:id="457" w:name="_Toc139434836"/>
      <w:bookmarkStart w:id="458" w:name="_Toc139770961"/>
      <w:bookmarkStart w:id="459" w:name="_Toc141858385"/>
      <w:bookmarkStart w:id="460" w:name="_Toc142274977"/>
      <w:bookmarkStart w:id="461" w:name="_Toc144521489"/>
      <w:bookmarkStart w:id="462" w:name="_Toc144538496"/>
      <w:bookmarkStart w:id="463" w:name="_Toc146532849"/>
      <w:bookmarkStart w:id="464" w:name="_Toc148237796"/>
      <w:bookmarkStart w:id="465" w:name="_Toc151800683"/>
      <w:bookmarkStart w:id="466" w:name="_Toc170718669"/>
      <w:bookmarkStart w:id="467" w:name="_Toc171070300"/>
      <w:bookmarkStart w:id="468" w:name="_Toc171158417"/>
      <w:bookmarkStart w:id="469" w:name="_Toc171229536"/>
      <w:bookmarkStart w:id="470" w:name="_Toc173229869"/>
      <w:bookmarkStart w:id="471" w:name="_Toc177878255"/>
      <w:bookmarkStart w:id="472" w:name="_Toc181007207"/>
      <w:bookmarkStart w:id="473" w:name="_Toc196803232"/>
      <w:bookmarkStart w:id="474" w:name="_Toc199817460"/>
      <w:bookmarkStart w:id="475" w:name="_Toc215548494"/>
      <w:bookmarkStart w:id="476" w:name="_Toc216579262"/>
      <w:bookmarkStart w:id="477" w:name="_Toc221595420"/>
      <w:bookmarkStart w:id="478" w:name="_Toc221694075"/>
      <w:bookmarkStart w:id="479" w:name="_Toc222632786"/>
      <w:bookmarkStart w:id="480" w:name="_Toc222632921"/>
      <w:bookmarkStart w:id="481" w:name="_Toc224032518"/>
      <w:bookmarkStart w:id="482" w:name="_Toc241055731"/>
      <w:bookmarkStart w:id="483" w:name="_Toc271125308"/>
      <w:bookmarkStart w:id="484" w:name="_Toc271193006"/>
      <w:r>
        <w:rPr>
          <w:rStyle w:val="CharPartNo"/>
        </w:rPr>
        <w:t>Part V</w:t>
      </w:r>
      <w:r>
        <w:rPr>
          <w:rStyle w:val="CharDivNo"/>
        </w:rPr>
        <w:t> </w:t>
      </w:r>
      <w:r>
        <w:t>—</w:t>
      </w:r>
      <w:r>
        <w:rPr>
          <w:rStyle w:val="CharDivText"/>
        </w:rPr>
        <w:t> </w:t>
      </w:r>
      <w:r>
        <w:rPr>
          <w:rStyle w:val="CharPartText"/>
        </w:rPr>
        <w:t>Miscellaneous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240"/>
        <w:rPr>
          <w:snapToGrid w:val="0"/>
        </w:rPr>
      </w:pPr>
      <w:bookmarkStart w:id="485" w:name="_Toc525025898"/>
      <w:bookmarkStart w:id="486" w:name="_Toc102960678"/>
      <w:bookmarkStart w:id="487" w:name="_Toc271193007"/>
      <w:r>
        <w:rPr>
          <w:rStyle w:val="CharSectno"/>
        </w:rPr>
        <w:t>46</w:t>
      </w:r>
      <w:r>
        <w:rPr>
          <w:snapToGrid w:val="0"/>
        </w:rPr>
        <w:t>.</w:t>
      </w:r>
      <w:r>
        <w:rPr>
          <w:snapToGrid w:val="0"/>
        </w:rPr>
        <w:tab/>
        <w:t>Containers of poisons to be marked or labelled</w:t>
      </w:r>
      <w:bookmarkEnd w:id="485"/>
      <w:bookmarkEnd w:id="486"/>
      <w:bookmarkEnd w:id="48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88" w:name="_Toc525025899"/>
      <w:bookmarkStart w:id="489" w:name="_Toc102960679"/>
      <w:bookmarkStart w:id="490" w:name="_Toc271193008"/>
      <w:r>
        <w:rPr>
          <w:rStyle w:val="CharSectno"/>
        </w:rPr>
        <w:t>47</w:t>
      </w:r>
      <w:r>
        <w:rPr>
          <w:snapToGrid w:val="0"/>
        </w:rPr>
        <w:t>.</w:t>
      </w:r>
      <w:r>
        <w:rPr>
          <w:snapToGrid w:val="0"/>
        </w:rPr>
        <w:tab/>
        <w:t>Medicines for internal use not to be sold in certain packages or containers</w:t>
      </w:r>
      <w:bookmarkEnd w:id="488"/>
      <w:bookmarkEnd w:id="489"/>
      <w:bookmarkEnd w:id="490"/>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91" w:name="_Toc525025900"/>
      <w:bookmarkStart w:id="492" w:name="_Toc102960680"/>
      <w:bookmarkStart w:id="493" w:name="_Toc271193009"/>
      <w:r>
        <w:rPr>
          <w:rStyle w:val="CharSectno"/>
        </w:rPr>
        <w:t>48</w:t>
      </w:r>
      <w:r>
        <w:rPr>
          <w:snapToGrid w:val="0"/>
        </w:rPr>
        <w:t>.</w:t>
      </w:r>
      <w:r>
        <w:rPr>
          <w:snapToGrid w:val="0"/>
        </w:rPr>
        <w:tab/>
        <w:t>Prohibition against hawking, etc.</w:t>
      </w:r>
      <w:bookmarkEnd w:id="491"/>
      <w:bookmarkEnd w:id="492"/>
      <w:bookmarkEnd w:id="49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94" w:name="_Toc525025901"/>
      <w:bookmarkStart w:id="495" w:name="_Toc102960681"/>
      <w:bookmarkStart w:id="496" w:name="_Toc271193010"/>
      <w:r>
        <w:rPr>
          <w:rStyle w:val="CharSectno"/>
        </w:rPr>
        <w:t>49</w:t>
      </w:r>
      <w:r>
        <w:rPr>
          <w:snapToGrid w:val="0"/>
        </w:rPr>
        <w:t>.</w:t>
      </w:r>
      <w:r>
        <w:rPr>
          <w:snapToGrid w:val="0"/>
        </w:rPr>
        <w:tab/>
        <w:t>Prohibition against selling by automatic machines</w:t>
      </w:r>
      <w:bookmarkEnd w:id="494"/>
      <w:bookmarkEnd w:id="495"/>
      <w:bookmarkEnd w:id="49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97" w:name="_Toc525025902"/>
      <w:bookmarkStart w:id="498" w:name="_Toc102960682"/>
      <w:bookmarkStart w:id="499" w:name="_Toc271193011"/>
      <w:r>
        <w:rPr>
          <w:rStyle w:val="CharSectno"/>
        </w:rPr>
        <w:t>50</w:t>
      </w:r>
      <w:r>
        <w:rPr>
          <w:snapToGrid w:val="0"/>
        </w:rPr>
        <w:t>.</w:t>
      </w:r>
      <w:r>
        <w:rPr>
          <w:snapToGrid w:val="0"/>
        </w:rPr>
        <w:tab/>
        <w:t>Leaving poisons unlabelled an offence</w:t>
      </w:r>
      <w:bookmarkEnd w:id="497"/>
      <w:bookmarkEnd w:id="498"/>
      <w:bookmarkEnd w:id="499"/>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500" w:name="_Toc72642765"/>
      <w:bookmarkStart w:id="501" w:name="_Toc80504794"/>
      <w:bookmarkStart w:id="502" w:name="_Toc80504892"/>
      <w:bookmarkStart w:id="503" w:name="_Toc80521508"/>
      <w:bookmarkStart w:id="504" w:name="_Toc80521617"/>
      <w:bookmarkStart w:id="505" w:name="_Toc81794981"/>
      <w:bookmarkStart w:id="506" w:name="_Toc82408356"/>
      <w:bookmarkStart w:id="507" w:name="_Toc84998143"/>
      <w:bookmarkStart w:id="508" w:name="_Toc89492957"/>
      <w:bookmarkStart w:id="509" w:name="_Toc89512323"/>
      <w:bookmarkStart w:id="510" w:name="_Toc91316696"/>
      <w:bookmarkStart w:id="511" w:name="_Toc92698921"/>
      <w:bookmarkStart w:id="512" w:name="_Toc96999756"/>
      <w:bookmarkStart w:id="513" w:name="_Toc102960683"/>
      <w:bookmarkStart w:id="514" w:name="_Toc139433761"/>
      <w:bookmarkStart w:id="515" w:name="_Toc139434842"/>
      <w:bookmarkStart w:id="516" w:name="_Toc139770967"/>
      <w:bookmarkStart w:id="517" w:name="_Toc141858391"/>
      <w:bookmarkStart w:id="518" w:name="_Toc142274983"/>
      <w:bookmarkStart w:id="519" w:name="_Toc144521495"/>
      <w:bookmarkStart w:id="520" w:name="_Toc144538502"/>
      <w:bookmarkStart w:id="521" w:name="_Toc146532855"/>
      <w:bookmarkStart w:id="522" w:name="_Toc148237802"/>
      <w:bookmarkStart w:id="523" w:name="_Toc151800689"/>
      <w:bookmarkStart w:id="524" w:name="_Toc170718675"/>
      <w:bookmarkStart w:id="525" w:name="_Toc171070306"/>
      <w:bookmarkStart w:id="526" w:name="_Toc171158423"/>
      <w:bookmarkStart w:id="527" w:name="_Toc171229542"/>
      <w:bookmarkStart w:id="528" w:name="_Toc173229875"/>
      <w:bookmarkStart w:id="529" w:name="_Toc177878261"/>
      <w:bookmarkStart w:id="530" w:name="_Toc181007213"/>
      <w:bookmarkStart w:id="531" w:name="_Toc196803238"/>
      <w:bookmarkStart w:id="532" w:name="_Toc199817466"/>
      <w:bookmarkStart w:id="533" w:name="_Toc215548500"/>
      <w:bookmarkStart w:id="534" w:name="_Toc216579268"/>
      <w:bookmarkStart w:id="535" w:name="_Toc221595426"/>
      <w:bookmarkStart w:id="536" w:name="_Toc221694081"/>
      <w:bookmarkStart w:id="537" w:name="_Toc222632792"/>
      <w:bookmarkStart w:id="538" w:name="_Toc222632927"/>
      <w:bookmarkStart w:id="539" w:name="_Toc224032524"/>
      <w:bookmarkStart w:id="540" w:name="_Toc241055737"/>
      <w:bookmarkStart w:id="541" w:name="_Toc271125314"/>
      <w:bookmarkStart w:id="542" w:name="_Toc271193012"/>
      <w:r>
        <w:rPr>
          <w:rStyle w:val="CharPartNo"/>
        </w:rPr>
        <w:t>Part VI</w:t>
      </w:r>
      <w:r>
        <w:rPr>
          <w:rStyle w:val="CharDivNo"/>
        </w:rPr>
        <w:t> </w:t>
      </w:r>
      <w:r>
        <w:t>—</w:t>
      </w:r>
      <w:r>
        <w:rPr>
          <w:rStyle w:val="CharDivText"/>
        </w:rPr>
        <w:t> </w:t>
      </w:r>
      <w:r>
        <w:rPr>
          <w:rStyle w:val="CharPartText"/>
        </w:rPr>
        <w:t>Supplementary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80"/>
        <w:rPr>
          <w:snapToGrid w:val="0"/>
        </w:rPr>
      </w:pPr>
      <w:bookmarkStart w:id="543" w:name="_Toc525025903"/>
      <w:bookmarkStart w:id="544" w:name="_Toc102960684"/>
      <w:bookmarkStart w:id="545" w:name="_Toc271193013"/>
      <w:r>
        <w:rPr>
          <w:rStyle w:val="CharSectno"/>
        </w:rPr>
        <w:t>52</w:t>
      </w:r>
      <w:r>
        <w:rPr>
          <w:snapToGrid w:val="0"/>
        </w:rPr>
        <w:t>.</w:t>
      </w:r>
      <w:r>
        <w:rPr>
          <w:snapToGrid w:val="0"/>
        </w:rPr>
        <w:tab/>
        <w:t>Orders in Council may be cancelled or amended</w:t>
      </w:r>
      <w:bookmarkEnd w:id="543"/>
      <w:bookmarkEnd w:id="544"/>
      <w:bookmarkEnd w:id="545"/>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46" w:name="_Toc525025904"/>
      <w:bookmarkStart w:id="547" w:name="_Toc102960685"/>
      <w:bookmarkStart w:id="548" w:name="_Toc271193014"/>
      <w:r>
        <w:rPr>
          <w:rStyle w:val="CharSectno"/>
        </w:rPr>
        <w:t>52A</w:t>
      </w:r>
      <w:r>
        <w:rPr>
          <w:snapToGrid w:val="0"/>
        </w:rPr>
        <w:t>.</w:t>
      </w:r>
      <w:r>
        <w:rPr>
          <w:snapToGrid w:val="0"/>
        </w:rPr>
        <w:tab/>
        <w:t>Minister may declare a person to be an authorised officer</w:t>
      </w:r>
      <w:bookmarkEnd w:id="546"/>
      <w:bookmarkEnd w:id="547"/>
      <w:bookmarkEnd w:id="54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49" w:name="_Toc525025905"/>
      <w:bookmarkStart w:id="550" w:name="_Toc102960686"/>
      <w:bookmarkStart w:id="551" w:name="_Toc271193015"/>
      <w:r>
        <w:rPr>
          <w:rStyle w:val="CharSectno"/>
        </w:rPr>
        <w:t>53</w:t>
      </w:r>
      <w:r>
        <w:rPr>
          <w:snapToGrid w:val="0"/>
        </w:rPr>
        <w:t>.</w:t>
      </w:r>
      <w:r>
        <w:rPr>
          <w:snapToGrid w:val="0"/>
        </w:rPr>
        <w:tab/>
        <w:t>Apprehension of offenders</w:t>
      </w:r>
      <w:bookmarkEnd w:id="549"/>
      <w:bookmarkEnd w:id="550"/>
      <w:bookmarkEnd w:id="551"/>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52" w:name="_Toc525025906"/>
      <w:bookmarkStart w:id="553" w:name="_Toc102960687"/>
      <w:bookmarkStart w:id="554" w:name="_Toc271193016"/>
      <w:r>
        <w:rPr>
          <w:rStyle w:val="CharSectno"/>
        </w:rPr>
        <w:t>54</w:t>
      </w:r>
      <w:r>
        <w:rPr>
          <w:snapToGrid w:val="0"/>
        </w:rPr>
        <w:t>.</w:t>
      </w:r>
      <w:r>
        <w:rPr>
          <w:snapToGrid w:val="0"/>
        </w:rPr>
        <w:tab/>
        <w:t>Routine inspection</w:t>
      </w:r>
      <w:bookmarkEnd w:id="552"/>
      <w:bookmarkEnd w:id="553"/>
      <w:bookmarkEnd w:id="55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55" w:name="_Toc525025907"/>
      <w:bookmarkStart w:id="556" w:name="_Toc102960688"/>
      <w:bookmarkStart w:id="557" w:name="_Toc271193017"/>
      <w:r>
        <w:rPr>
          <w:rStyle w:val="CharSectno"/>
        </w:rPr>
        <w:t>55</w:t>
      </w:r>
      <w:r>
        <w:rPr>
          <w:snapToGrid w:val="0"/>
        </w:rPr>
        <w:t>.</w:t>
      </w:r>
      <w:r>
        <w:rPr>
          <w:snapToGrid w:val="0"/>
        </w:rPr>
        <w:tab/>
        <w:t>Powers in respect of premises, vehicles or vessels if offence suspected of being committed</w:t>
      </w:r>
      <w:bookmarkEnd w:id="555"/>
      <w:bookmarkEnd w:id="556"/>
      <w:bookmarkEnd w:id="55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58" w:name="_Toc525025908"/>
      <w:bookmarkStart w:id="559" w:name="_Toc102960689"/>
      <w:bookmarkStart w:id="560" w:name="_Toc271193018"/>
      <w:r>
        <w:rPr>
          <w:rStyle w:val="CharSectno"/>
        </w:rPr>
        <w:t>55A</w:t>
      </w:r>
      <w:r>
        <w:rPr>
          <w:snapToGrid w:val="0"/>
        </w:rPr>
        <w:t>.</w:t>
      </w:r>
      <w:r>
        <w:rPr>
          <w:snapToGrid w:val="0"/>
        </w:rPr>
        <w:tab/>
        <w:t>Warrants</w:t>
      </w:r>
      <w:bookmarkEnd w:id="558"/>
      <w:bookmarkEnd w:id="559"/>
      <w:bookmarkEnd w:id="56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61" w:name="_Toc525025909"/>
      <w:bookmarkStart w:id="562" w:name="_Toc102960690"/>
      <w:bookmarkStart w:id="563" w:name="_Toc271193019"/>
      <w:r>
        <w:rPr>
          <w:rStyle w:val="CharSectno"/>
        </w:rPr>
        <w:t>55B</w:t>
      </w:r>
      <w:r>
        <w:rPr>
          <w:snapToGrid w:val="0"/>
        </w:rPr>
        <w:t>.</w:t>
      </w:r>
      <w:r>
        <w:rPr>
          <w:snapToGrid w:val="0"/>
        </w:rPr>
        <w:tab/>
        <w:t>Person not to hinder or obstruct authorised officer</w:t>
      </w:r>
      <w:bookmarkEnd w:id="561"/>
      <w:bookmarkEnd w:id="562"/>
      <w:bookmarkEnd w:id="563"/>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64" w:name="_Toc525025910"/>
      <w:bookmarkStart w:id="565" w:name="_Toc102960691"/>
      <w:bookmarkStart w:id="566" w:name="_Toc271193020"/>
      <w:r>
        <w:rPr>
          <w:rStyle w:val="CharSectno"/>
        </w:rPr>
        <w:t>55C</w:t>
      </w:r>
      <w:r>
        <w:rPr>
          <w:snapToGrid w:val="0"/>
        </w:rPr>
        <w:t>.</w:t>
      </w:r>
      <w:r>
        <w:rPr>
          <w:snapToGrid w:val="0"/>
        </w:rPr>
        <w:tab/>
        <w:t xml:space="preserve">Sections 54 to 55A do not derogate from the </w:t>
      </w:r>
      <w:r>
        <w:rPr>
          <w:i/>
          <w:snapToGrid w:val="0"/>
        </w:rPr>
        <w:t>Misuse of Drugs Act 1981</w:t>
      </w:r>
      <w:bookmarkEnd w:id="564"/>
      <w:bookmarkEnd w:id="565"/>
      <w:bookmarkEnd w:id="566"/>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67" w:name="_Toc525025911"/>
      <w:bookmarkStart w:id="568" w:name="_Toc102960692"/>
      <w:bookmarkStart w:id="569" w:name="_Toc271193021"/>
      <w:r>
        <w:rPr>
          <w:rStyle w:val="CharSectno"/>
        </w:rPr>
        <w:t>55D</w:t>
      </w:r>
      <w:r>
        <w:rPr>
          <w:snapToGrid w:val="0"/>
        </w:rPr>
        <w:t>.</w:t>
      </w:r>
      <w:r>
        <w:rPr>
          <w:snapToGrid w:val="0"/>
        </w:rPr>
        <w:tab/>
        <w:t>Order for forfeiture</w:t>
      </w:r>
      <w:bookmarkEnd w:id="567"/>
      <w:bookmarkEnd w:id="568"/>
      <w:bookmarkEnd w:id="56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70" w:name="_Toc525025912"/>
      <w:bookmarkStart w:id="571" w:name="_Toc102960693"/>
      <w:bookmarkStart w:id="572" w:name="_Toc271193022"/>
      <w:r>
        <w:rPr>
          <w:rStyle w:val="CharSectno"/>
        </w:rPr>
        <w:t>55E</w:t>
      </w:r>
      <w:r>
        <w:rPr>
          <w:snapToGrid w:val="0"/>
        </w:rPr>
        <w:t>.</w:t>
      </w:r>
      <w:r>
        <w:rPr>
          <w:snapToGrid w:val="0"/>
        </w:rPr>
        <w:tab/>
        <w:t>Powers to quarantine or destroy poisons in certain circumstances</w:t>
      </w:r>
      <w:bookmarkEnd w:id="570"/>
      <w:bookmarkEnd w:id="571"/>
      <w:bookmarkEnd w:id="57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73" w:name="_Toc525025913"/>
      <w:bookmarkStart w:id="574" w:name="_Toc102960694"/>
      <w:bookmarkStart w:id="575" w:name="_Toc271193023"/>
      <w:r>
        <w:rPr>
          <w:rStyle w:val="CharSectno"/>
        </w:rPr>
        <w:t>56</w:t>
      </w:r>
      <w:r>
        <w:rPr>
          <w:snapToGrid w:val="0"/>
        </w:rPr>
        <w:t>.</w:t>
      </w:r>
      <w:r>
        <w:rPr>
          <w:snapToGrid w:val="0"/>
        </w:rPr>
        <w:tab/>
        <w:t>Sales by employees, etc.</w:t>
      </w:r>
      <w:bookmarkEnd w:id="573"/>
      <w:bookmarkEnd w:id="574"/>
      <w:bookmarkEnd w:id="57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76" w:name="_Toc525025914"/>
      <w:bookmarkStart w:id="577" w:name="_Toc102960695"/>
      <w:bookmarkStart w:id="578" w:name="_Toc271193024"/>
      <w:r>
        <w:rPr>
          <w:rStyle w:val="CharSectno"/>
        </w:rPr>
        <w:t>57</w:t>
      </w:r>
      <w:r>
        <w:rPr>
          <w:snapToGrid w:val="0"/>
        </w:rPr>
        <w:t>.</w:t>
      </w:r>
      <w:r>
        <w:rPr>
          <w:snapToGrid w:val="0"/>
        </w:rPr>
        <w:tab/>
        <w:t>Persons deemed to have sold poisons</w:t>
      </w:r>
      <w:bookmarkEnd w:id="576"/>
      <w:bookmarkEnd w:id="577"/>
      <w:bookmarkEnd w:id="57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79" w:name="_Toc525025915"/>
      <w:bookmarkStart w:id="580" w:name="_Toc102960696"/>
      <w:bookmarkStart w:id="581" w:name="_Toc271193025"/>
      <w:r>
        <w:rPr>
          <w:rStyle w:val="CharSectno"/>
        </w:rPr>
        <w:t>58</w:t>
      </w:r>
      <w:r>
        <w:rPr>
          <w:snapToGrid w:val="0"/>
        </w:rPr>
        <w:t>.</w:t>
      </w:r>
      <w:r>
        <w:rPr>
          <w:snapToGrid w:val="0"/>
        </w:rPr>
        <w:tab/>
        <w:t>Evidence on prosecutions</w:t>
      </w:r>
      <w:bookmarkEnd w:id="579"/>
      <w:bookmarkEnd w:id="580"/>
      <w:bookmarkEnd w:id="581"/>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82" w:name="_Toc525025916"/>
      <w:bookmarkStart w:id="583" w:name="_Toc102960697"/>
      <w:bookmarkStart w:id="584" w:name="_Toc271193026"/>
      <w:r>
        <w:rPr>
          <w:rStyle w:val="CharSectno"/>
        </w:rPr>
        <w:t>59</w:t>
      </w:r>
      <w:r>
        <w:rPr>
          <w:snapToGrid w:val="0"/>
        </w:rPr>
        <w:t>.</w:t>
      </w:r>
      <w:r>
        <w:rPr>
          <w:snapToGrid w:val="0"/>
        </w:rPr>
        <w:tab/>
        <w:t>Publication of list of licensed persons</w:t>
      </w:r>
      <w:bookmarkEnd w:id="582"/>
      <w:bookmarkEnd w:id="583"/>
      <w:bookmarkEnd w:id="58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85" w:name="_Toc525025917"/>
      <w:bookmarkStart w:id="586" w:name="_Toc102960698"/>
      <w:bookmarkStart w:id="587" w:name="_Toc271193027"/>
      <w:r>
        <w:rPr>
          <w:rStyle w:val="CharSectno"/>
        </w:rPr>
        <w:t>60</w:t>
      </w:r>
      <w:r>
        <w:rPr>
          <w:snapToGrid w:val="0"/>
        </w:rPr>
        <w:t>.</w:t>
      </w:r>
      <w:r>
        <w:rPr>
          <w:snapToGrid w:val="0"/>
        </w:rPr>
        <w:tab/>
        <w:t>Proof of certificate of analysts</w:t>
      </w:r>
      <w:bookmarkEnd w:id="585"/>
      <w:bookmarkEnd w:id="586"/>
      <w:bookmarkEnd w:id="58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88" w:name="_Toc525025918"/>
      <w:bookmarkStart w:id="589" w:name="_Toc102960699"/>
      <w:bookmarkStart w:id="590" w:name="_Toc271193028"/>
      <w:r>
        <w:rPr>
          <w:rStyle w:val="CharSectno"/>
        </w:rPr>
        <w:t>61</w:t>
      </w:r>
      <w:r>
        <w:rPr>
          <w:snapToGrid w:val="0"/>
        </w:rPr>
        <w:t>.</w:t>
      </w:r>
      <w:r>
        <w:rPr>
          <w:snapToGrid w:val="0"/>
        </w:rPr>
        <w:tab/>
        <w:t>Evidence of qualifications</w:t>
      </w:r>
      <w:bookmarkEnd w:id="588"/>
      <w:bookmarkEnd w:id="589"/>
      <w:bookmarkEnd w:id="590"/>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91" w:name="_Toc525025919"/>
      <w:bookmarkStart w:id="592" w:name="_Toc102960700"/>
      <w:bookmarkStart w:id="593" w:name="_Toc271193029"/>
      <w:r>
        <w:rPr>
          <w:rStyle w:val="CharSectno"/>
        </w:rPr>
        <w:t>61A</w:t>
      </w:r>
      <w:r>
        <w:rPr>
          <w:snapToGrid w:val="0"/>
        </w:rPr>
        <w:t>.</w:t>
      </w:r>
      <w:r>
        <w:rPr>
          <w:snapToGrid w:val="0"/>
        </w:rPr>
        <w:tab/>
        <w:t>Evidence of approval</w:t>
      </w:r>
      <w:bookmarkEnd w:id="591"/>
      <w:bookmarkEnd w:id="592"/>
      <w:bookmarkEnd w:id="59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94" w:name="_Toc525025920"/>
      <w:bookmarkStart w:id="595" w:name="_Toc102960701"/>
      <w:bookmarkStart w:id="596" w:name="_Toc271193030"/>
      <w:r>
        <w:rPr>
          <w:rStyle w:val="CharSectno"/>
        </w:rPr>
        <w:t>61B</w:t>
      </w:r>
      <w:r>
        <w:rPr>
          <w:snapToGrid w:val="0"/>
        </w:rPr>
        <w:t>.</w:t>
      </w:r>
      <w:r>
        <w:rPr>
          <w:snapToGrid w:val="0"/>
        </w:rPr>
        <w:tab/>
        <w:t>Evidence of contents of standard</w:t>
      </w:r>
      <w:bookmarkEnd w:id="594"/>
      <w:bookmarkEnd w:id="595"/>
      <w:bookmarkEnd w:id="59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97" w:name="_Toc525025921"/>
      <w:bookmarkStart w:id="598" w:name="_Toc102960702"/>
      <w:bookmarkStart w:id="599" w:name="_Toc271193031"/>
      <w:r>
        <w:rPr>
          <w:rStyle w:val="CharSectno"/>
        </w:rPr>
        <w:t>62</w:t>
      </w:r>
      <w:r>
        <w:rPr>
          <w:snapToGrid w:val="0"/>
        </w:rPr>
        <w:t>.</w:t>
      </w:r>
      <w:r>
        <w:rPr>
          <w:snapToGrid w:val="0"/>
        </w:rPr>
        <w:tab/>
        <w:t>General penalty</w:t>
      </w:r>
      <w:bookmarkEnd w:id="597"/>
      <w:bookmarkEnd w:id="598"/>
      <w:bookmarkEnd w:id="59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00" w:name="_Toc525025922"/>
      <w:bookmarkStart w:id="601" w:name="_Toc102960703"/>
      <w:bookmarkStart w:id="602" w:name="_Toc271193032"/>
      <w:r>
        <w:rPr>
          <w:rStyle w:val="CharSectno"/>
        </w:rPr>
        <w:t>63</w:t>
      </w:r>
      <w:r>
        <w:rPr>
          <w:snapToGrid w:val="0"/>
        </w:rPr>
        <w:t>.</w:t>
      </w:r>
      <w:r>
        <w:rPr>
          <w:snapToGrid w:val="0"/>
        </w:rPr>
        <w:tab/>
        <w:t>Protection from liability</w:t>
      </w:r>
      <w:bookmarkEnd w:id="600"/>
      <w:bookmarkEnd w:id="601"/>
      <w:bookmarkEnd w:id="60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03" w:name="_Toc525025923"/>
      <w:bookmarkStart w:id="604" w:name="_Toc102960704"/>
      <w:bookmarkStart w:id="605" w:name="_Toc271193033"/>
      <w:r>
        <w:rPr>
          <w:rStyle w:val="CharSectno"/>
        </w:rPr>
        <w:t>64</w:t>
      </w:r>
      <w:r>
        <w:rPr>
          <w:snapToGrid w:val="0"/>
        </w:rPr>
        <w:t>.</w:t>
      </w:r>
      <w:r>
        <w:rPr>
          <w:snapToGrid w:val="0"/>
        </w:rPr>
        <w:tab/>
        <w:t>Regulations</w:t>
      </w:r>
      <w:bookmarkEnd w:id="603"/>
      <w:bookmarkEnd w:id="604"/>
      <w:bookmarkEnd w:id="60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06" w:name="_Toc525025924"/>
      <w:bookmarkStart w:id="607" w:name="_Toc102960705"/>
      <w:bookmarkStart w:id="608" w:name="_Toc271193034"/>
      <w:r>
        <w:rPr>
          <w:rStyle w:val="CharSectno"/>
        </w:rPr>
        <w:t>64A</w:t>
      </w:r>
      <w:r>
        <w:rPr>
          <w:snapToGrid w:val="0"/>
        </w:rPr>
        <w:t>.</w:t>
      </w:r>
      <w:r>
        <w:rPr>
          <w:snapToGrid w:val="0"/>
        </w:rPr>
        <w:tab/>
        <w:t>Regulations may adopt standards</w:t>
      </w:r>
      <w:bookmarkEnd w:id="606"/>
      <w:bookmarkEnd w:id="607"/>
      <w:bookmarkEnd w:id="60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09" w:name="_Toc525025925"/>
      <w:bookmarkStart w:id="610" w:name="_Toc102960706"/>
      <w:bookmarkStart w:id="611" w:name="_Toc271193035"/>
      <w:r>
        <w:rPr>
          <w:rStyle w:val="CharSectno"/>
        </w:rPr>
        <w:t>64B</w:t>
      </w:r>
      <w:r>
        <w:rPr>
          <w:snapToGrid w:val="0"/>
        </w:rPr>
        <w:t>.</w:t>
      </w:r>
      <w:r>
        <w:rPr>
          <w:snapToGrid w:val="0"/>
        </w:rPr>
        <w:tab/>
        <w:t>Copies of standards to be kept and made available to public</w:t>
      </w:r>
      <w:bookmarkEnd w:id="609"/>
      <w:bookmarkEnd w:id="610"/>
      <w:bookmarkEnd w:id="61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2" w:name="_Toc102960707"/>
      <w:bookmarkStart w:id="613" w:name="_Toc139433785"/>
      <w:bookmarkStart w:id="614" w:name="_Toc139434866"/>
      <w:bookmarkStart w:id="615" w:name="_Toc139770991"/>
      <w:bookmarkStart w:id="616" w:name="_Toc141858415"/>
      <w:bookmarkStart w:id="617" w:name="_Toc142275007"/>
      <w:bookmarkStart w:id="618" w:name="_Toc144521519"/>
      <w:bookmarkStart w:id="619" w:name="_Toc144538526"/>
      <w:bookmarkStart w:id="620" w:name="_Toc146532879"/>
      <w:bookmarkStart w:id="621" w:name="_Toc148237826"/>
      <w:bookmarkStart w:id="622" w:name="_Toc151800713"/>
      <w:bookmarkStart w:id="623" w:name="_Toc170718699"/>
      <w:bookmarkStart w:id="624" w:name="_Toc171070330"/>
      <w:bookmarkStart w:id="625" w:name="_Toc171158447"/>
      <w:bookmarkStart w:id="626" w:name="_Toc171229566"/>
      <w:bookmarkStart w:id="627" w:name="_Toc173229899"/>
      <w:bookmarkStart w:id="628" w:name="_Toc177878285"/>
      <w:bookmarkStart w:id="629" w:name="_Toc181007237"/>
      <w:bookmarkStart w:id="630" w:name="_Toc196803262"/>
      <w:bookmarkStart w:id="631" w:name="_Toc199817490"/>
      <w:bookmarkStart w:id="632" w:name="_Toc215548524"/>
      <w:bookmarkStart w:id="633" w:name="_Toc216579292"/>
      <w:bookmarkStart w:id="634" w:name="_Toc221595450"/>
      <w:bookmarkStart w:id="635" w:name="_Toc221694105"/>
      <w:bookmarkStart w:id="636" w:name="_Toc222632816"/>
      <w:bookmarkStart w:id="637" w:name="_Toc222632951"/>
      <w:bookmarkStart w:id="638" w:name="_Toc224032548"/>
      <w:bookmarkStart w:id="639" w:name="_Toc241055761"/>
      <w:bookmarkStart w:id="640" w:name="_Toc271125338"/>
      <w:bookmarkStart w:id="641" w:name="_Toc271193036"/>
      <w:r>
        <w:rPr>
          <w:rStyle w:val="CharSchNo"/>
        </w:rPr>
        <w:t>Appendix 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chText"/>
        </w:rPr>
        <w:t xml:space="preserve"> </w:t>
      </w:r>
    </w:p>
    <w:p>
      <w:pPr>
        <w:pStyle w:val="yFootnotesection"/>
        <w:ind w:firstLine="0"/>
      </w:pPr>
      <w:r>
        <w:t>[Heading inserted by No. 48 of 1995 s. 40.]</w:t>
      </w:r>
    </w:p>
    <w:p>
      <w:pPr>
        <w:pStyle w:val="yHeading5"/>
        <w:outlineLvl w:val="9"/>
        <w:rPr>
          <w:snapToGrid w:val="0"/>
        </w:rPr>
      </w:pPr>
      <w:bookmarkStart w:id="642" w:name="_Toc102960708"/>
      <w:bookmarkStart w:id="643" w:name="_Toc271193037"/>
      <w:r>
        <w:rPr>
          <w:rStyle w:val="CharSClsNo"/>
        </w:rPr>
        <w:t>1</w:t>
      </w:r>
      <w:r>
        <w:rPr>
          <w:snapToGrid w:val="0"/>
        </w:rPr>
        <w:t>.</w:t>
      </w:r>
      <w:r>
        <w:rPr>
          <w:snapToGrid w:val="0"/>
        </w:rPr>
        <w:tab/>
      </w:r>
      <w:bookmarkEnd w:id="642"/>
      <w:r>
        <w:rPr>
          <w:snapToGrid w:val="0"/>
        </w:rPr>
        <w:t>Term used: SUSDP</w:t>
      </w:r>
      <w:bookmarkEnd w:id="643"/>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44" w:name="_Toc102960709"/>
      <w:bookmarkStart w:id="645" w:name="_Toc139433787"/>
      <w:bookmarkStart w:id="646" w:name="_Toc139434868"/>
      <w:bookmarkStart w:id="647" w:name="_Toc139770993"/>
      <w:bookmarkStart w:id="648" w:name="_Toc141858417"/>
      <w:bookmarkStart w:id="649" w:name="_Toc142275009"/>
      <w:bookmarkStart w:id="650" w:name="_Toc144521521"/>
      <w:bookmarkStart w:id="651" w:name="_Toc144538528"/>
      <w:bookmarkStart w:id="652" w:name="_Toc146532881"/>
      <w:bookmarkStart w:id="653" w:name="_Toc148237828"/>
      <w:bookmarkStart w:id="654" w:name="_Toc151800715"/>
      <w:bookmarkStart w:id="655" w:name="_Toc170718701"/>
      <w:bookmarkStart w:id="656" w:name="_Toc171070332"/>
      <w:bookmarkStart w:id="657" w:name="_Toc171158449"/>
      <w:bookmarkStart w:id="658" w:name="_Toc171229568"/>
      <w:bookmarkStart w:id="659" w:name="_Toc173229901"/>
      <w:bookmarkStart w:id="660" w:name="_Toc177878287"/>
      <w:bookmarkStart w:id="661" w:name="_Toc181007239"/>
      <w:bookmarkStart w:id="662" w:name="_Toc196803264"/>
      <w:bookmarkStart w:id="663" w:name="_Toc199817492"/>
      <w:bookmarkStart w:id="664" w:name="_Toc215548526"/>
      <w:bookmarkStart w:id="665" w:name="_Toc216579294"/>
      <w:bookmarkStart w:id="666" w:name="_Toc221595452"/>
      <w:bookmarkStart w:id="667" w:name="_Toc221694107"/>
      <w:bookmarkStart w:id="668" w:name="_Toc222632818"/>
      <w:bookmarkStart w:id="669" w:name="_Toc222632953"/>
      <w:bookmarkStart w:id="670" w:name="_Toc224032550"/>
      <w:bookmarkStart w:id="671" w:name="_Toc241055763"/>
      <w:bookmarkStart w:id="672" w:name="_Toc271125340"/>
      <w:bookmarkStart w:id="673" w:name="_Toc271193038"/>
      <w:r>
        <w:t>Schedule 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74" w:name="_Toc102960710"/>
      <w:bookmarkStart w:id="675" w:name="_Toc139433788"/>
      <w:bookmarkStart w:id="676" w:name="_Toc139434869"/>
      <w:bookmarkStart w:id="677" w:name="_Toc139770994"/>
      <w:bookmarkStart w:id="678" w:name="_Toc141858418"/>
      <w:bookmarkStart w:id="679" w:name="_Toc142275010"/>
      <w:bookmarkStart w:id="680" w:name="_Toc144521522"/>
      <w:bookmarkStart w:id="681" w:name="_Toc144538529"/>
      <w:bookmarkStart w:id="682" w:name="_Toc146532882"/>
      <w:bookmarkStart w:id="683" w:name="_Toc148237829"/>
      <w:bookmarkStart w:id="684" w:name="_Toc151800716"/>
      <w:bookmarkStart w:id="685" w:name="_Toc170718702"/>
      <w:bookmarkStart w:id="686" w:name="_Toc171070333"/>
      <w:bookmarkStart w:id="687" w:name="_Toc171158450"/>
      <w:bookmarkStart w:id="688" w:name="_Toc171229569"/>
      <w:bookmarkStart w:id="689" w:name="_Toc173229902"/>
      <w:bookmarkStart w:id="690" w:name="_Toc177878288"/>
      <w:bookmarkStart w:id="691" w:name="_Toc181007240"/>
      <w:bookmarkStart w:id="692" w:name="_Toc196803265"/>
      <w:bookmarkStart w:id="693" w:name="_Toc199817493"/>
      <w:bookmarkStart w:id="694" w:name="_Toc215548527"/>
      <w:bookmarkStart w:id="695" w:name="_Toc216579295"/>
      <w:bookmarkStart w:id="696" w:name="_Toc221595453"/>
      <w:bookmarkStart w:id="697" w:name="_Toc221694108"/>
      <w:bookmarkStart w:id="698" w:name="_Toc222632819"/>
      <w:bookmarkStart w:id="699" w:name="_Toc222632954"/>
      <w:bookmarkStart w:id="700" w:name="_Toc224032551"/>
      <w:bookmarkStart w:id="701" w:name="_Toc241055764"/>
      <w:bookmarkStart w:id="702" w:name="_Toc271125341"/>
      <w:bookmarkStart w:id="703" w:name="_Toc271193039"/>
      <w:r>
        <w:t>Schedule 2</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04" w:name="_Toc102960711"/>
      <w:bookmarkStart w:id="705" w:name="_Toc139433789"/>
      <w:bookmarkStart w:id="706" w:name="_Toc139434870"/>
      <w:bookmarkStart w:id="707" w:name="_Toc139770995"/>
      <w:bookmarkStart w:id="708" w:name="_Toc141858419"/>
      <w:bookmarkStart w:id="709" w:name="_Toc142275011"/>
      <w:bookmarkStart w:id="710" w:name="_Toc144521523"/>
      <w:bookmarkStart w:id="711" w:name="_Toc144538530"/>
      <w:bookmarkStart w:id="712" w:name="_Toc146532883"/>
      <w:bookmarkStart w:id="713" w:name="_Toc148237830"/>
      <w:bookmarkStart w:id="714" w:name="_Toc151800717"/>
      <w:bookmarkStart w:id="715" w:name="_Toc170718703"/>
      <w:bookmarkStart w:id="716" w:name="_Toc171070334"/>
      <w:bookmarkStart w:id="717" w:name="_Toc171158451"/>
      <w:bookmarkStart w:id="718" w:name="_Toc171229570"/>
      <w:bookmarkStart w:id="719" w:name="_Toc173229903"/>
      <w:bookmarkStart w:id="720" w:name="_Toc177878289"/>
      <w:bookmarkStart w:id="721" w:name="_Toc181007241"/>
      <w:bookmarkStart w:id="722" w:name="_Toc196803266"/>
      <w:bookmarkStart w:id="723" w:name="_Toc199817494"/>
      <w:bookmarkStart w:id="724" w:name="_Toc215548528"/>
      <w:bookmarkStart w:id="725" w:name="_Toc216579296"/>
      <w:bookmarkStart w:id="726" w:name="_Toc221595454"/>
      <w:bookmarkStart w:id="727" w:name="_Toc221694109"/>
      <w:bookmarkStart w:id="728" w:name="_Toc222632820"/>
      <w:bookmarkStart w:id="729" w:name="_Toc222632955"/>
      <w:bookmarkStart w:id="730" w:name="_Toc224032552"/>
      <w:bookmarkStart w:id="731" w:name="_Toc241055765"/>
      <w:bookmarkStart w:id="732" w:name="_Toc271125342"/>
      <w:bookmarkStart w:id="733" w:name="_Toc271193040"/>
      <w:r>
        <w:t>Schedule 3</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34" w:name="_Toc102960712"/>
      <w:bookmarkStart w:id="735" w:name="_Toc139433790"/>
      <w:bookmarkStart w:id="736" w:name="_Toc139434871"/>
      <w:bookmarkStart w:id="737" w:name="_Toc139770996"/>
      <w:bookmarkStart w:id="738" w:name="_Toc141858420"/>
      <w:bookmarkStart w:id="739" w:name="_Toc142275012"/>
      <w:bookmarkStart w:id="740" w:name="_Toc144521524"/>
      <w:bookmarkStart w:id="741" w:name="_Toc144538531"/>
      <w:bookmarkStart w:id="742" w:name="_Toc146532884"/>
      <w:bookmarkStart w:id="743" w:name="_Toc148237831"/>
      <w:bookmarkStart w:id="744" w:name="_Toc151800718"/>
      <w:bookmarkStart w:id="745" w:name="_Toc170718704"/>
      <w:bookmarkStart w:id="746" w:name="_Toc171070335"/>
      <w:bookmarkStart w:id="747" w:name="_Toc171158452"/>
      <w:bookmarkStart w:id="748" w:name="_Toc171229571"/>
      <w:bookmarkStart w:id="749" w:name="_Toc173229904"/>
      <w:bookmarkStart w:id="750" w:name="_Toc177878290"/>
      <w:bookmarkStart w:id="751" w:name="_Toc181007242"/>
      <w:bookmarkStart w:id="752" w:name="_Toc196803267"/>
      <w:bookmarkStart w:id="753" w:name="_Toc199817495"/>
      <w:bookmarkStart w:id="754" w:name="_Toc215548529"/>
      <w:bookmarkStart w:id="755" w:name="_Toc216579297"/>
      <w:bookmarkStart w:id="756" w:name="_Toc221595455"/>
      <w:bookmarkStart w:id="757" w:name="_Toc221694110"/>
      <w:bookmarkStart w:id="758" w:name="_Toc222632821"/>
      <w:bookmarkStart w:id="759" w:name="_Toc222632956"/>
      <w:bookmarkStart w:id="760" w:name="_Toc224032553"/>
      <w:bookmarkStart w:id="761" w:name="_Toc241055766"/>
      <w:bookmarkStart w:id="762" w:name="_Toc271125343"/>
      <w:bookmarkStart w:id="763" w:name="_Toc271193041"/>
      <w:r>
        <w:t>Schedule 4</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64" w:name="_Toc102960713"/>
      <w:bookmarkStart w:id="765" w:name="_Toc139433791"/>
      <w:bookmarkStart w:id="766" w:name="_Toc139434872"/>
      <w:bookmarkStart w:id="767" w:name="_Toc139770997"/>
      <w:bookmarkStart w:id="768" w:name="_Toc141858421"/>
      <w:bookmarkStart w:id="769" w:name="_Toc142275013"/>
      <w:bookmarkStart w:id="770" w:name="_Toc144521525"/>
      <w:bookmarkStart w:id="771" w:name="_Toc144538532"/>
      <w:bookmarkStart w:id="772" w:name="_Toc146532885"/>
      <w:bookmarkStart w:id="773" w:name="_Toc148237832"/>
      <w:bookmarkStart w:id="774" w:name="_Toc151800719"/>
      <w:bookmarkStart w:id="775" w:name="_Toc170718705"/>
      <w:bookmarkStart w:id="776" w:name="_Toc171070336"/>
      <w:bookmarkStart w:id="777" w:name="_Toc171158453"/>
      <w:bookmarkStart w:id="778" w:name="_Toc171229572"/>
      <w:bookmarkStart w:id="779" w:name="_Toc173229905"/>
      <w:bookmarkStart w:id="780" w:name="_Toc177878291"/>
      <w:bookmarkStart w:id="781" w:name="_Toc181007243"/>
      <w:bookmarkStart w:id="782" w:name="_Toc196803268"/>
      <w:bookmarkStart w:id="783" w:name="_Toc199817496"/>
      <w:bookmarkStart w:id="784" w:name="_Toc215548530"/>
      <w:bookmarkStart w:id="785" w:name="_Toc216579298"/>
      <w:bookmarkStart w:id="786" w:name="_Toc221595456"/>
      <w:bookmarkStart w:id="787" w:name="_Toc221694111"/>
      <w:bookmarkStart w:id="788" w:name="_Toc222632822"/>
      <w:bookmarkStart w:id="789" w:name="_Toc222632957"/>
      <w:bookmarkStart w:id="790" w:name="_Toc224032554"/>
      <w:bookmarkStart w:id="791" w:name="_Toc241055767"/>
      <w:bookmarkStart w:id="792" w:name="_Toc271125344"/>
      <w:bookmarkStart w:id="793" w:name="_Toc271193042"/>
      <w:r>
        <w:t>Schedule 5</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94" w:name="_Toc102960714"/>
      <w:bookmarkStart w:id="795" w:name="_Toc139433792"/>
      <w:bookmarkStart w:id="796" w:name="_Toc139434873"/>
      <w:bookmarkStart w:id="797" w:name="_Toc139770998"/>
      <w:bookmarkStart w:id="798" w:name="_Toc141858422"/>
      <w:bookmarkStart w:id="799" w:name="_Toc142275014"/>
      <w:bookmarkStart w:id="800" w:name="_Toc144521526"/>
      <w:bookmarkStart w:id="801" w:name="_Toc144538533"/>
      <w:bookmarkStart w:id="802" w:name="_Toc146532886"/>
      <w:bookmarkStart w:id="803" w:name="_Toc148237833"/>
      <w:bookmarkStart w:id="804" w:name="_Toc151800720"/>
      <w:bookmarkStart w:id="805" w:name="_Toc170718706"/>
      <w:bookmarkStart w:id="806" w:name="_Toc171070337"/>
      <w:bookmarkStart w:id="807" w:name="_Toc171158454"/>
      <w:bookmarkStart w:id="808" w:name="_Toc171229573"/>
      <w:bookmarkStart w:id="809" w:name="_Toc173229906"/>
      <w:bookmarkStart w:id="810" w:name="_Toc177878292"/>
      <w:bookmarkStart w:id="811" w:name="_Toc181007244"/>
      <w:bookmarkStart w:id="812" w:name="_Toc196803269"/>
      <w:bookmarkStart w:id="813" w:name="_Toc199817497"/>
      <w:bookmarkStart w:id="814" w:name="_Toc215548531"/>
      <w:bookmarkStart w:id="815" w:name="_Toc216579299"/>
      <w:bookmarkStart w:id="816" w:name="_Toc221595457"/>
      <w:bookmarkStart w:id="817" w:name="_Toc221694112"/>
      <w:bookmarkStart w:id="818" w:name="_Toc222632823"/>
      <w:bookmarkStart w:id="819" w:name="_Toc222632958"/>
      <w:bookmarkStart w:id="820" w:name="_Toc224032555"/>
      <w:bookmarkStart w:id="821" w:name="_Toc241055768"/>
      <w:bookmarkStart w:id="822" w:name="_Toc271125345"/>
      <w:bookmarkStart w:id="823" w:name="_Toc271193043"/>
      <w:r>
        <w:t>Schedule 6</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824" w:name="_Toc102960715"/>
      <w:bookmarkStart w:id="825" w:name="_Toc139433793"/>
      <w:bookmarkStart w:id="826" w:name="_Toc139434874"/>
      <w:bookmarkStart w:id="827" w:name="_Toc139770999"/>
      <w:bookmarkStart w:id="828" w:name="_Toc141858423"/>
      <w:bookmarkStart w:id="829" w:name="_Toc142275015"/>
      <w:bookmarkStart w:id="830" w:name="_Toc144521527"/>
      <w:bookmarkStart w:id="831" w:name="_Toc144538534"/>
      <w:bookmarkStart w:id="832" w:name="_Toc146532887"/>
      <w:bookmarkStart w:id="833" w:name="_Toc148237834"/>
      <w:bookmarkStart w:id="834" w:name="_Toc151800721"/>
      <w:bookmarkStart w:id="835" w:name="_Toc170718707"/>
      <w:bookmarkStart w:id="836" w:name="_Toc171070338"/>
      <w:bookmarkStart w:id="837" w:name="_Toc171158455"/>
      <w:bookmarkStart w:id="838" w:name="_Toc171229574"/>
      <w:bookmarkStart w:id="839" w:name="_Toc173229907"/>
      <w:bookmarkStart w:id="840" w:name="_Toc177878293"/>
      <w:bookmarkStart w:id="841" w:name="_Toc181007245"/>
      <w:bookmarkStart w:id="842" w:name="_Toc196803270"/>
      <w:bookmarkStart w:id="843" w:name="_Toc199817498"/>
      <w:bookmarkStart w:id="844" w:name="_Toc215548532"/>
      <w:bookmarkStart w:id="845" w:name="_Toc216579300"/>
      <w:bookmarkStart w:id="846" w:name="_Toc221595458"/>
      <w:bookmarkStart w:id="847" w:name="_Toc221694113"/>
      <w:bookmarkStart w:id="848" w:name="_Toc222632824"/>
      <w:bookmarkStart w:id="849" w:name="_Toc222632959"/>
      <w:bookmarkStart w:id="850" w:name="_Toc224032556"/>
      <w:bookmarkStart w:id="851" w:name="_Toc241055769"/>
      <w:bookmarkStart w:id="852" w:name="_Toc271125346"/>
      <w:bookmarkStart w:id="853" w:name="_Toc271193044"/>
      <w:r>
        <w:t>Schedule 7</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54" w:name="_Toc102960716"/>
      <w:bookmarkStart w:id="855" w:name="_Toc139433794"/>
      <w:bookmarkStart w:id="856" w:name="_Toc139434875"/>
      <w:bookmarkStart w:id="857" w:name="_Toc139771000"/>
      <w:bookmarkStart w:id="858" w:name="_Toc141858424"/>
      <w:bookmarkStart w:id="859" w:name="_Toc142275016"/>
      <w:bookmarkStart w:id="860" w:name="_Toc144521528"/>
      <w:bookmarkStart w:id="861" w:name="_Toc144538535"/>
      <w:bookmarkStart w:id="862" w:name="_Toc146532888"/>
      <w:bookmarkStart w:id="863" w:name="_Toc148237835"/>
      <w:bookmarkStart w:id="864" w:name="_Toc151800722"/>
      <w:bookmarkStart w:id="865" w:name="_Toc170718708"/>
      <w:bookmarkStart w:id="866" w:name="_Toc171070339"/>
      <w:bookmarkStart w:id="867" w:name="_Toc171158456"/>
      <w:bookmarkStart w:id="868" w:name="_Toc171229575"/>
      <w:bookmarkStart w:id="869" w:name="_Toc173229908"/>
      <w:bookmarkStart w:id="870" w:name="_Toc177878294"/>
      <w:bookmarkStart w:id="871" w:name="_Toc181007246"/>
      <w:bookmarkStart w:id="872" w:name="_Toc196803271"/>
      <w:bookmarkStart w:id="873" w:name="_Toc199817499"/>
      <w:bookmarkStart w:id="874" w:name="_Toc215548533"/>
      <w:bookmarkStart w:id="875" w:name="_Toc216579301"/>
      <w:bookmarkStart w:id="876" w:name="_Toc221595459"/>
      <w:bookmarkStart w:id="877" w:name="_Toc221694114"/>
      <w:bookmarkStart w:id="878" w:name="_Toc222632825"/>
      <w:bookmarkStart w:id="879" w:name="_Toc222632960"/>
      <w:bookmarkStart w:id="880" w:name="_Toc224032557"/>
      <w:bookmarkStart w:id="881" w:name="_Toc241055770"/>
      <w:bookmarkStart w:id="882" w:name="_Toc271125347"/>
      <w:bookmarkStart w:id="883" w:name="_Toc271193045"/>
      <w:r>
        <w:t>Schedule 8</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84" w:name="_Toc102960717"/>
      <w:bookmarkStart w:id="885" w:name="_Toc139433795"/>
      <w:bookmarkStart w:id="886" w:name="_Toc139434876"/>
      <w:bookmarkStart w:id="887" w:name="_Toc139771001"/>
      <w:bookmarkStart w:id="888" w:name="_Toc141858425"/>
      <w:bookmarkStart w:id="889" w:name="_Toc142275017"/>
      <w:bookmarkStart w:id="890" w:name="_Toc144521529"/>
      <w:bookmarkStart w:id="891" w:name="_Toc144538536"/>
      <w:bookmarkStart w:id="892" w:name="_Toc146532889"/>
      <w:bookmarkStart w:id="893" w:name="_Toc148237836"/>
      <w:bookmarkStart w:id="894" w:name="_Toc151800723"/>
      <w:bookmarkStart w:id="895" w:name="_Toc170718709"/>
      <w:bookmarkStart w:id="896" w:name="_Toc171070340"/>
      <w:bookmarkStart w:id="897" w:name="_Toc171158457"/>
      <w:bookmarkStart w:id="898" w:name="_Toc171229576"/>
      <w:bookmarkStart w:id="899" w:name="_Toc173229909"/>
      <w:bookmarkStart w:id="900" w:name="_Toc177878295"/>
      <w:bookmarkStart w:id="901" w:name="_Toc181007247"/>
      <w:bookmarkStart w:id="902" w:name="_Toc196803272"/>
      <w:bookmarkStart w:id="903" w:name="_Toc199817500"/>
      <w:bookmarkStart w:id="904" w:name="_Toc215548534"/>
      <w:bookmarkStart w:id="905" w:name="_Toc216579302"/>
      <w:bookmarkStart w:id="906" w:name="_Toc221595460"/>
      <w:bookmarkStart w:id="907" w:name="_Toc221694115"/>
      <w:bookmarkStart w:id="908" w:name="_Toc222632826"/>
      <w:bookmarkStart w:id="909" w:name="_Toc222632961"/>
      <w:bookmarkStart w:id="910" w:name="_Toc224032558"/>
      <w:bookmarkStart w:id="911" w:name="_Toc241055771"/>
      <w:bookmarkStart w:id="912" w:name="_Toc271125348"/>
      <w:bookmarkStart w:id="913" w:name="_Toc271193046"/>
      <w:r>
        <w:t>Schedule 9</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14" w:name="_Toc82408391"/>
      <w:bookmarkStart w:id="915" w:name="_Toc102960718"/>
      <w:bookmarkStart w:id="916" w:name="_Toc139433796"/>
      <w:bookmarkStart w:id="917" w:name="_Toc139434877"/>
      <w:bookmarkStart w:id="918" w:name="_Toc139771002"/>
      <w:bookmarkStart w:id="919" w:name="_Toc141858426"/>
      <w:bookmarkStart w:id="920" w:name="_Toc142275018"/>
      <w:bookmarkStart w:id="921" w:name="_Toc144521530"/>
      <w:bookmarkStart w:id="922" w:name="_Toc144538537"/>
      <w:bookmarkStart w:id="923" w:name="_Toc146532890"/>
      <w:bookmarkStart w:id="924" w:name="_Toc148237837"/>
      <w:bookmarkStart w:id="925" w:name="_Toc151800724"/>
      <w:bookmarkStart w:id="926" w:name="_Toc170718710"/>
      <w:bookmarkStart w:id="927" w:name="_Toc171070341"/>
      <w:bookmarkStart w:id="928" w:name="_Toc171158458"/>
      <w:bookmarkStart w:id="929" w:name="_Toc171229577"/>
      <w:bookmarkStart w:id="930" w:name="_Toc173229910"/>
      <w:bookmarkStart w:id="931" w:name="_Toc177878296"/>
      <w:bookmarkStart w:id="932" w:name="_Toc181007248"/>
      <w:bookmarkStart w:id="933" w:name="_Toc196803273"/>
      <w:bookmarkStart w:id="934" w:name="_Toc199817501"/>
      <w:bookmarkStart w:id="935" w:name="_Toc215548535"/>
      <w:bookmarkStart w:id="936" w:name="_Toc216579303"/>
      <w:bookmarkStart w:id="937" w:name="_Toc221595461"/>
      <w:bookmarkStart w:id="938" w:name="_Toc221694116"/>
      <w:bookmarkStart w:id="939" w:name="_Toc222632827"/>
      <w:bookmarkStart w:id="940" w:name="_Toc222632962"/>
      <w:bookmarkStart w:id="941" w:name="_Toc224032559"/>
      <w:bookmarkStart w:id="942" w:name="_Toc241055772"/>
      <w:bookmarkStart w:id="943" w:name="_Toc271125349"/>
      <w:bookmarkStart w:id="944" w:name="_Toc271193047"/>
      <w:r>
        <w:rPr>
          <w:rStyle w:val="CharSchNo"/>
        </w:rPr>
        <w:t>Appendix B</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45" w:name="_Toc102960719"/>
      <w:bookmarkStart w:id="946" w:name="_Toc139433797"/>
      <w:bookmarkStart w:id="947" w:name="_Toc139434878"/>
      <w:bookmarkStart w:id="948" w:name="_Toc139771003"/>
      <w:bookmarkStart w:id="949" w:name="_Toc141858427"/>
      <w:bookmarkStart w:id="950" w:name="_Toc142275019"/>
      <w:bookmarkStart w:id="951" w:name="_Toc144521531"/>
      <w:bookmarkStart w:id="952" w:name="_Toc144538538"/>
      <w:bookmarkStart w:id="953" w:name="_Toc146532891"/>
      <w:bookmarkStart w:id="954" w:name="_Toc148237838"/>
      <w:bookmarkStart w:id="955" w:name="_Toc151800725"/>
      <w:bookmarkStart w:id="956" w:name="_Toc170718711"/>
      <w:bookmarkStart w:id="957" w:name="_Toc171070342"/>
      <w:bookmarkStart w:id="958" w:name="_Toc171158459"/>
      <w:bookmarkStart w:id="959" w:name="_Toc171229578"/>
      <w:bookmarkStart w:id="960" w:name="_Toc173229911"/>
      <w:bookmarkStart w:id="961" w:name="_Toc177878297"/>
      <w:bookmarkStart w:id="962" w:name="_Toc181007249"/>
      <w:bookmarkStart w:id="963" w:name="_Toc196803274"/>
      <w:bookmarkStart w:id="964" w:name="_Toc199817502"/>
      <w:bookmarkStart w:id="965" w:name="_Toc215548536"/>
      <w:bookmarkStart w:id="966" w:name="_Toc216579304"/>
      <w:bookmarkStart w:id="967" w:name="_Toc221595462"/>
      <w:bookmarkStart w:id="968" w:name="_Toc221694117"/>
      <w:bookmarkStart w:id="969" w:name="_Toc222632828"/>
      <w:bookmarkStart w:id="970" w:name="_Toc222632963"/>
      <w:bookmarkStart w:id="971" w:name="_Toc224032560"/>
      <w:bookmarkStart w:id="972" w:name="_Toc241055773"/>
      <w:bookmarkStart w:id="973" w:name="_Toc271125350"/>
      <w:bookmarkStart w:id="974" w:name="_Toc271193048"/>
      <w:r>
        <w:rPr>
          <w:rStyle w:val="CharSchText"/>
        </w:rPr>
        <w:t>Conventions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75" w:name="_Toc72642801"/>
      <w:bookmarkStart w:id="976" w:name="_Toc80504830"/>
      <w:bookmarkStart w:id="977" w:name="_Toc80504928"/>
      <w:bookmarkStart w:id="978" w:name="_Toc80521544"/>
      <w:bookmarkStart w:id="979" w:name="_Toc80521653"/>
      <w:bookmarkStart w:id="980" w:name="_Toc81795017"/>
      <w:bookmarkStart w:id="981" w:name="_Toc82408393"/>
      <w:bookmarkStart w:id="982" w:name="_Toc84998180"/>
      <w:bookmarkStart w:id="983" w:name="_Toc89492994"/>
      <w:bookmarkStart w:id="984" w:name="_Toc89512360"/>
      <w:bookmarkStart w:id="985" w:name="_Toc91316733"/>
      <w:bookmarkStart w:id="986" w:name="_Toc92698958"/>
      <w:bookmarkStart w:id="987" w:name="_Toc96999793"/>
      <w:bookmarkStart w:id="988" w:name="_Toc102960720"/>
      <w:bookmarkStart w:id="989" w:name="_Toc139433798"/>
      <w:bookmarkStart w:id="990" w:name="_Toc139434879"/>
      <w:bookmarkStart w:id="991" w:name="_Toc139771004"/>
      <w:bookmarkStart w:id="992" w:name="_Toc141858428"/>
      <w:bookmarkStart w:id="993" w:name="_Toc142275020"/>
      <w:bookmarkStart w:id="994" w:name="_Toc144521532"/>
      <w:bookmarkStart w:id="995" w:name="_Toc144538539"/>
      <w:bookmarkStart w:id="996" w:name="_Toc146532892"/>
      <w:bookmarkStart w:id="997" w:name="_Toc148237839"/>
      <w:bookmarkStart w:id="998" w:name="_Toc151800726"/>
      <w:bookmarkStart w:id="999" w:name="_Toc170718712"/>
      <w:bookmarkStart w:id="1000" w:name="_Toc171070343"/>
      <w:bookmarkStart w:id="1001" w:name="_Toc171158460"/>
      <w:bookmarkStart w:id="1002" w:name="_Toc171229579"/>
      <w:bookmarkStart w:id="1003" w:name="_Toc173229912"/>
      <w:bookmarkStart w:id="1004" w:name="_Toc177878298"/>
      <w:bookmarkStart w:id="1005" w:name="_Toc181007250"/>
      <w:bookmarkStart w:id="1006" w:name="_Toc196803275"/>
      <w:bookmarkStart w:id="1007" w:name="_Toc199817503"/>
      <w:bookmarkStart w:id="1008" w:name="_Toc215548537"/>
      <w:bookmarkStart w:id="1009" w:name="_Toc216579305"/>
      <w:bookmarkStart w:id="1010" w:name="_Toc221595463"/>
      <w:bookmarkStart w:id="1011" w:name="_Toc221694118"/>
      <w:bookmarkStart w:id="1012" w:name="_Toc222632829"/>
      <w:bookmarkStart w:id="1013" w:name="_Toc222632964"/>
      <w:bookmarkStart w:id="1014" w:name="_Toc224032561"/>
      <w:bookmarkStart w:id="1015" w:name="_Toc241055774"/>
      <w:bookmarkStart w:id="1016" w:name="_Toc271125351"/>
      <w:bookmarkStart w:id="1017" w:name="_Toc271193049"/>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8" w:name="_Toc271193050"/>
      <w:r>
        <w:rPr>
          <w:snapToGrid w:val="0"/>
        </w:rPr>
        <w:t>Compilation table</w:t>
      </w:r>
      <w:bookmarkEnd w:id="1018"/>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Borders>
              <w:bottom w:val="single" w:sz="8" w:space="0" w:color="auto"/>
            </w:tcBorders>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Borders>
              <w:bottom w:val="single" w:sz="8" w:space="0" w:color="auto"/>
            </w:tcBorders>
          </w:tcPr>
          <w:p>
            <w:pPr>
              <w:pStyle w:val="nTable"/>
              <w:spacing w:after="40"/>
              <w:rPr>
                <w:sz w:val="19"/>
              </w:rPr>
            </w:pPr>
            <w:r>
              <w:rPr>
                <w:sz w:val="19"/>
              </w:rPr>
              <w:t>18 of 2009</w:t>
            </w:r>
          </w:p>
        </w:tc>
        <w:tc>
          <w:tcPr>
            <w:tcW w:w="1134" w:type="dxa"/>
            <w:gridSpan w:val="4"/>
            <w:tcBorders>
              <w:bottom w:val="single" w:sz="8" w:space="0" w:color="auto"/>
            </w:tcBorders>
          </w:tcPr>
          <w:p>
            <w:pPr>
              <w:pStyle w:val="nTable"/>
              <w:spacing w:after="40"/>
              <w:rPr>
                <w:sz w:val="19"/>
              </w:rPr>
            </w:pPr>
            <w:r>
              <w:rPr>
                <w:sz w:val="19"/>
              </w:rPr>
              <w:t>16 Sep 2009</w:t>
            </w:r>
          </w:p>
        </w:tc>
        <w:tc>
          <w:tcPr>
            <w:tcW w:w="2552" w:type="dxa"/>
            <w:gridSpan w:val="3"/>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019" w:name="_Hlt507390729"/>
      <w:bookmarkEnd w:id="101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0" w:name="_Toc271193051"/>
      <w:r>
        <w:rPr>
          <w:snapToGrid w:val="0"/>
        </w:rPr>
        <w:t>Provisions that have not come into operation</w:t>
      </w:r>
      <w:bookmarkEnd w:id="102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40 </w:t>
            </w:r>
            <w:r>
              <w:rPr>
                <w:iCs/>
                <w:snapToGrid w:val="0"/>
                <w:sz w:val="19"/>
                <w:vertAlign w:val="superscript"/>
              </w:rPr>
              <w:t>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bookmarkStart w:id="1021" w:name="_Toc497185860"/>
      <w:bookmarkStart w:id="1022" w:name="_Toc88630750"/>
      <w:bookmarkStart w:id="1023" w:name="_Toc491766737"/>
      <w:bookmarkStart w:id="1024"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25" w:name="AutoSch"/>
      <w:bookmarkEnd w:id="1021"/>
      <w:bookmarkEnd w:id="1022"/>
      <w:bookmarkEnd w:id="1023"/>
      <w:bookmarkEnd w:id="1024"/>
      <w:bookmarkEnd w:id="1025"/>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26" w:name="_Toc117571311"/>
      <w:bookmarkStart w:id="1027" w:name="_Toc179685722"/>
      <w:bookmarkStart w:id="1028" w:name="_Toc180227220"/>
      <w:r>
        <w:rPr>
          <w:rStyle w:val="CharSectno"/>
        </w:rPr>
        <w:t>93</w:t>
      </w:r>
      <w:r>
        <w:t>.</w:t>
      </w:r>
      <w:r>
        <w:tab/>
      </w:r>
      <w:r>
        <w:rPr>
          <w:i/>
          <w:iCs/>
        </w:rPr>
        <w:t>Poisons Act 1964</w:t>
      </w:r>
      <w:r>
        <w:t xml:space="preserve"> amended</w:t>
      </w:r>
      <w:bookmarkEnd w:id="1026"/>
      <w:bookmarkEnd w:id="1027"/>
      <w:bookmarkEnd w:id="1028"/>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bookmarkStart w:id="1029" w:name="UpToHere"/>
      <w:bookmarkEnd w:id="1029"/>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40</w:t>
      </w:r>
      <w:r>
        <w:rPr>
          <w:snapToGrid w:val="0"/>
        </w:rPr>
        <w:t xml:space="preserve"> had not come into operation.  It reads as follows:</w:t>
      </w:r>
    </w:p>
    <w:p>
      <w:pPr>
        <w:pStyle w:val="BlankOpen"/>
      </w:pPr>
    </w:p>
    <w:p>
      <w:pPr>
        <w:pStyle w:val="nzHeading3"/>
      </w:pPr>
      <w:bookmarkStart w:id="1030" w:name="_Toc262066736"/>
      <w:bookmarkStart w:id="1031" w:name="_Toc270079285"/>
      <w:bookmarkStart w:id="1032" w:name="_Toc270349205"/>
      <w:r>
        <w:rPr>
          <w:rStyle w:val="CharDivNo"/>
        </w:rPr>
        <w:t>Division 40</w:t>
      </w:r>
      <w:r>
        <w:t> — </w:t>
      </w:r>
      <w:r>
        <w:rPr>
          <w:rStyle w:val="CharDivText"/>
          <w:i/>
          <w:iCs/>
        </w:rPr>
        <w:t>Poisons Act 1964</w:t>
      </w:r>
      <w:r>
        <w:rPr>
          <w:rStyle w:val="CharDivText"/>
        </w:rPr>
        <w:t xml:space="preserve"> amended</w:t>
      </w:r>
      <w:bookmarkEnd w:id="1030"/>
      <w:bookmarkEnd w:id="1031"/>
      <w:bookmarkEnd w:id="1032"/>
    </w:p>
    <w:p>
      <w:pPr>
        <w:pStyle w:val="nzHeading5"/>
      </w:pPr>
      <w:bookmarkStart w:id="1033" w:name="_Toc270349206"/>
      <w:r>
        <w:rPr>
          <w:rStyle w:val="CharSectno"/>
        </w:rPr>
        <w:t>123</w:t>
      </w:r>
      <w:r>
        <w:t>.</w:t>
      </w:r>
      <w:r>
        <w:tab/>
        <w:t>Act amended</w:t>
      </w:r>
      <w:bookmarkEnd w:id="1033"/>
    </w:p>
    <w:p>
      <w:pPr>
        <w:pStyle w:val="nzSubsection"/>
      </w:pPr>
      <w:r>
        <w:tab/>
      </w:r>
      <w:r>
        <w:tab/>
        <w:t xml:space="preserve">This Division amends the </w:t>
      </w:r>
      <w:r>
        <w:rPr>
          <w:i/>
          <w:iCs/>
        </w:rPr>
        <w:t>Poisons Act 1964</w:t>
      </w:r>
      <w:r>
        <w:rPr>
          <w:iCs/>
        </w:rPr>
        <w:t>.</w:t>
      </w:r>
    </w:p>
    <w:p>
      <w:pPr>
        <w:pStyle w:val="nzHeading5"/>
      </w:pPr>
      <w:bookmarkStart w:id="1034" w:name="_Toc270349207"/>
      <w:r>
        <w:rPr>
          <w:rStyle w:val="CharSectno"/>
        </w:rPr>
        <w:t>124</w:t>
      </w:r>
      <w:r>
        <w:t>.</w:t>
      </w:r>
      <w:r>
        <w:tab/>
        <w:t>Section 5 amended</w:t>
      </w:r>
      <w:bookmarkEnd w:id="1034"/>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1035" w:name="_Toc270349208"/>
      <w:r>
        <w:rPr>
          <w:rStyle w:val="CharSectno"/>
        </w:rPr>
        <w:t>125</w:t>
      </w:r>
      <w:r>
        <w:t>.</w:t>
      </w:r>
      <w:r>
        <w:tab/>
        <w:t>Section 8 amended</w:t>
      </w:r>
      <w:bookmarkEnd w:id="1035"/>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1036" w:name="_Toc270349209"/>
      <w:r>
        <w:rPr>
          <w:rStyle w:val="CharSectno"/>
        </w:rPr>
        <w:t>126</w:t>
      </w:r>
      <w:r>
        <w:t>.</w:t>
      </w:r>
      <w:r>
        <w:tab/>
        <w:t>Section 20 amended</w:t>
      </w:r>
      <w:bookmarkEnd w:id="1036"/>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rPr>
                <w:sz w:val="20"/>
              </w:rPr>
            </w:pPr>
            <w:r>
              <w:rPr>
                <w:b/>
                <w:bCs/>
                <w:sz w:val="20"/>
              </w:rPr>
              <w:t>Schedule 1</w:t>
            </w:r>
            <w:r>
              <w:rPr>
                <w:sz w:val="20"/>
              </w:rPr>
              <w:t xml:space="preserve"> — [Blank]</w:t>
            </w:r>
          </w:p>
        </w:tc>
      </w:tr>
      <w:tr>
        <w:trPr>
          <w:cantSplit/>
        </w:trPr>
        <w:tc>
          <w:tcPr>
            <w:tcW w:w="5528" w:type="dxa"/>
          </w:tcPr>
          <w:p>
            <w:pPr>
              <w:pStyle w:val="zTableNAm"/>
              <w:rPr>
                <w:b/>
                <w:bCs/>
                <w:sz w:val="20"/>
              </w:rPr>
            </w:pPr>
            <w:r>
              <w:rPr>
                <w:b/>
                <w:bCs/>
                <w:sz w:val="20"/>
              </w:rPr>
              <w:t>Schedule 2 — Pharmacy medicines</w:t>
            </w:r>
          </w:p>
          <w:p>
            <w:pPr>
              <w:pStyle w:val="zTableNAm"/>
              <w:rPr>
                <w:sz w:val="20"/>
              </w:rPr>
            </w:pPr>
            <w:r>
              <w:rPr>
                <w:sz w:val="20"/>
              </w:rP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sz w:val="20"/>
              </w:rPr>
            </w:pPr>
            <w:r>
              <w:rPr>
                <w:b/>
                <w:bCs/>
                <w:sz w:val="20"/>
              </w:rPr>
              <w:t>Schedule 3 — Pharmacist only medicines</w:t>
            </w:r>
          </w:p>
          <w:p>
            <w:pPr>
              <w:pStyle w:val="zTableNAm"/>
              <w:rPr>
                <w:sz w:val="20"/>
              </w:rPr>
            </w:pPr>
            <w:r>
              <w:rPr>
                <w:sz w:val="20"/>
              </w:rPr>
              <w:t>Substances, the safe use of which requires professional advice but which should be available to the public from a pharmacist without a prescription.</w:t>
            </w:r>
          </w:p>
        </w:tc>
      </w:tr>
      <w:tr>
        <w:trPr>
          <w:cantSplit/>
        </w:trPr>
        <w:tc>
          <w:tcPr>
            <w:tcW w:w="5528" w:type="dxa"/>
          </w:tcPr>
          <w:p>
            <w:pPr>
              <w:pStyle w:val="zTableNAm"/>
              <w:rPr>
                <w:b/>
                <w:bCs/>
                <w:sz w:val="20"/>
              </w:rPr>
            </w:pPr>
            <w:r>
              <w:rPr>
                <w:b/>
                <w:bCs/>
                <w:sz w:val="20"/>
              </w:rPr>
              <w:t xml:space="preserve">Schedule 4 — Prescription only medicines, </w:t>
            </w:r>
            <w:r>
              <w:rPr>
                <w:sz w:val="20"/>
                <w:lang w:val="en-US"/>
              </w:rPr>
              <w:t>or</w:t>
            </w:r>
            <w:r>
              <w:rPr>
                <w:b/>
                <w:bCs/>
                <w:sz w:val="20"/>
                <w:lang w:val="en-US"/>
              </w:rPr>
              <w:t xml:space="preserve"> Prescription Animal Remedy</w:t>
            </w:r>
          </w:p>
          <w:p>
            <w:pPr>
              <w:pStyle w:val="zTableNAm"/>
              <w:rPr>
                <w:sz w:val="20"/>
              </w:rPr>
            </w:pPr>
            <w:r>
              <w:rPr>
                <w:sz w:val="20"/>
              </w:rP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sz w:val="20"/>
              </w:rPr>
            </w:pPr>
            <w:r>
              <w:rPr>
                <w:b/>
                <w:bCs/>
                <w:sz w:val="20"/>
              </w:rPr>
              <w:t>Schedule 5 — Caution</w:t>
            </w:r>
          </w:p>
          <w:p>
            <w:pPr>
              <w:pStyle w:val="zTableNAm"/>
              <w:rPr>
                <w:sz w:val="20"/>
              </w:rPr>
            </w:pPr>
            <w:r>
              <w:rPr>
                <w:sz w:val="20"/>
              </w:rP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sz w:val="20"/>
              </w:rPr>
            </w:pPr>
            <w:r>
              <w:rPr>
                <w:b/>
                <w:bCs/>
                <w:sz w:val="20"/>
              </w:rPr>
              <w:t>Schedule 6 — Poison</w:t>
            </w:r>
          </w:p>
          <w:p>
            <w:pPr>
              <w:pStyle w:val="zTableNAm"/>
              <w:rPr>
                <w:sz w:val="20"/>
              </w:rPr>
            </w:pPr>
            <w:r>
              <w:rPr>
                <w:sz w:val="20"/>
              </w:rP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sz w:val="20"/>
              </w:rPr>
            </w:pPr>
            <w:r>
              <w:rPr>
                <w:b/>
                <w:bCs/>
                <w:sz w:val="20"/>
              </w:rPr>
              <w:t>Schedule 7 — Dangerous Poison</w:t>
            </w:r>
          </w:p>
          <w:p>
            <w:pPr>
              <w:pStyle w:val="zTableNAm"/>
              <w:rPr>
                <w:sz w:val="20"/>
              </w:rPr>
            </w:pPr>
            <w:r>
              <w:rPr>
                <w:sz w:val="20"/>
              </w:rP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sz w:val="20"/>
              </w:rPr>
            </w:pPr>
            <w:r>
              <w:rPr>
                <w:b/>
                <w:bCs/>
                <w:sz w:val="20"/>
              </w:rPr>
              <w:t>Schedule 8 — Controlled Drug</w:t>
            </w:r>
          </w:p>
          <w:p>
            <w:pPr>
              <w:pStyle w:val="zTableNAm"/>
              <w:rPr>
                <w:sz w:val="20"/>
              </w:rPr>
            </w:pPr>
            <w:r>
              <w:rPr>
                <w:sz w:val="20"/>
              </w:rP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sz w:val="20"/>
              </w:rPr>
            </w:pPr>
            <w:r>
              <w:rPr>
                <w:b/>
                <w:bCs/>
                <w:sz w:val="20"/>
              </w:rPr>
              <w:t>Schedule 9 — Prohibited Substance</w:t>
            </w:r>
          </w:p>
          <w:p>
            <w:pPr>
              <w:pStyle w:val="zTableNAm"/>
              <w:rPr>
                <w:sz w:val="20"/>
              </w:rPr>
            </w:pPr>
            <w:r>
              <w:rPr>
                <w:sz w:val="20"/>
              </w:rP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1037" w:name="_Toc270349210"/>
      <w:r>
        <w:rPr>
          <w:rStyle w:val="CharSectno"/>
        </w:rPr>
        <w:t>127</w:t>
      </w:r>
      <w:r>
        <w:t>.</w:t>
      </w:r>
      <w:r>
        <w:tab/>
        <w:t>Section 23 amended</w:t>
      </w:r>
      <w:bookmarkEnd w:id="1037"/>
    </w:p>
    <w:p>
      <w:pPr>
        <w:pStyle w:val="nzSubsection"/>
      </w:pPr>
      <w:r>
        <w:tab/>
        <w:t>(1)</w:t>
      </w:r>
      <w:r>
        <w:tab/>
        <w:t>In section 23(2)(a) delete “a pharmaceutical chemist” and insert:</w:t>
      </w:r>
    </w:p>
    <w:p>
      <w:pPr>
        <w:pStyle w:val="BlankOpen"/>
      </w:pPr>
    </w:p>
    <w:p>
      <w:pPr>
        <w:pStyle w:val="nzIndenta"/>
        <w:ind w:hanging="743"/>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1038" w:name="_Toc270349211"/>
      <w:r>
        <w:rPr>
          <w:rStyle w:val="CharSectno"/>
        </w:rPr>
        <w:t>128</w:t>
      </w:r>
      <w:r>
        <w:t>.</w:t>
      </w:r>
      <w:r>
        <w:tab/>
        <w:t>Section 24 amended</w:t>
      </w:r>
      <w:bookmarkEnd w:id="1038"/>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1039" w:name="_Toc270349212"/>
      <w:r>
        <w:rPr>
          <w:rStyle w:val="CharSectno"/>
        </w:rPr>
        <w:t>129</w:t>
      </w:r>
      <w:r>
        <w:t>.</w:t>
      </w:r>
      <w:r>
        <w:tab/>
        <w:t>Section 26 amended</w:t>
      </w:r>
      <w:bookmarkEnd w:id="1039"/>
    </w:p>
    <w:p>
      <w:pPr>
        <w:pStyle w:val="nzSubsection"/>
      </w:pPr>
      <w:r>
        <w:tab/>
      </w:r>
      <w:r>
        <w:tab/>
        <w:t>In section 26(2) delete “pharmacy or other”.</w:t>
      </w:r>
    </w:p>
    <w:p>
      <w:pPr>
        <w:pStyle w:val="nzHeading5"/>
      </w:pPr>
      <w:bookmarkStart w:id="1040" w:name="_Toc270349213"/>
      <w:r>
        <w:rPr>
          <w:rStyle w:val="CharSectno"/>
        </w:rPr>
        <w:t>130</w:t>
      </w:r>
      <w:r>
        <w:t>.</w:t>
      </w:r>
      <w:r>
        <w:tab/>
        <w:t>Section 30 amended</w:t>
      </w:r>
      <w:bookmarkEnd w:id="1040"/>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1041" w:name="_Toc270349214"/>
      <w:r>
        <w:rPr>
          <w:rStyle w:val="CharSectno"/>
        </w:rPr>
        <w:t>131</w:t>
      </w:r>
      <w:r>
        <w:t>.</w:t>
      </w:r>
      <w:r>
        <w:tab/>
        <w:t>Section 50 amended</w:t>
      </w:r>
      <w:bookmarkEnd w:id="1041"/>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1042" w:name="_Toc270349215"/>
      <w:r>
        <w:rPr>
          <w:rStyle w:val="CharSectno"/>
        </w:rPr>
        <w:t>132</w:t>
      </w:r>
      <w:r>
        <w:t>.</w:t>
      </w:r>
      <w:r>
        <w:tab/>
        <w:t>Section 55C amended</w:t>
      </w:r>
      <w:bookmarkEnd w:id="1042"/>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ind w:left="2160" w:hanging="1593"/>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1043" w:name="_Toc270349216"/>
      <w:r>
        <w:rPr>
          <w:rStyle w:val="CharSectno"/>
        </w:rPr>
        <w:t>133</w:t>
      </w:r>
      <w:r>
        <w:t>.</w:t>
      </w:r>
      <w:r>
        <w:tab/>
        <w:t>Section 61 replaced</w:t>
      </w:r>
      <w:bookmarkEnd w:id="1043"/>
    </w:p>
    <w:p>
      <w:pPr>
        <w:pStyle w:val="nzSubsection"/>
      </w:pPr>
      <w:r>
        <w:tab/>
      </w:r>
      <w:r>
        <w:tab/>
        <w:t>Delete section 61 and insert:</w:t>
      </w:r>
    </w:p>
    <w:p>
      <w:pPr>
        <w:pStyle w:val="BlankOpen"/>
      </w:pPr>
    </w:p>
    <w:p>
      <w:pPr>
        <w:pStyle w:val="nzHeading5"/>
      </w:pPr>
      <w:bookmarkStart w:id="1044" w:name="_Toc270349217"/>
      <w:r>
        <w:t>61.</w:t>
      </w:r>
      <w:r>
        <w:tab/>
        <w:t>Evidence of qualifications</w:t>
      </w:r>
      <w:bookmarkEnd w:id="1044"/>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1045" w:name="_Toc270349218"/>
      <w:r>
        <w:rPr>
          <w:rStyle w:val="CharSectno"/>
        </w:rPr>
        <w:t>134</w:t>
      </w:r>
      <w:r>
        <w:t>.</w:t>
      </w:r>
      <w:r>
        <w:tab/>
        <w:t>Section 64 amended</w:t>
      </w:r>
      <w:bookmarkEnd w:id="1045"/>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46" w:name="_Toc221595466"/>
      <w:bookmarkStart w:id="1047" w:name="_Toc221694121"/>
      <w:bookmarkStart w:id="1048" w:name="_Toc222632832"/>
      <w:bookmarkStart w:id="1049" w:name="_Toc222632967"/>
      <w:bookmarkStart w:id="1050" w:name="_Toc224032564"/>
      <w:bookmarkStart w:id="1051" w:name="_Toc241055777"/>
      <w:bookmarkStart w:id="1052" w:name="_Toc271125354"/>
      <w:bookmarkStart w:id="1053" w:name="_Toc271193052"/>
      <w:r>
        <w:rPr>
          <w:sz w:val="28"/>
        </w:rPr>
        <w:t>Defined Terms</w:t>
      </w:r>
      <w:bookmarkEnd w:id="1046"/>
      <w:bookmarkEnd w:id="1047"/>
      <w:bookmarkEnd w:id="1048"/>
      <w:bookmarkEnd w:id="1049"/>
      <w:bookmarkEnd w:id="1050"/>
      <w:bookmarkEnd w:id="1051"/>
      <w:bookmarkEnd w:id="1052"/>
      <w:bookmarkEnd w:id="10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4" w:name="DefinedTerms"/>
      <w:bookmarkEnd w:id="1054"/>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pharmaceutical chemist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SUSDP</w:t>
      </w:r>
      <w:r>
        <w:tab/>
        <w:t>App. A cl. 1</w:t>
      </w:r>
    </w:p>
    <w:p>
      <w:pPr>
        <w:pStyle w:val="DefinedTerms"/>
      </w:pPr>
      <w:r>
        <w:t>to sell</w:t>
      </w:r>
      <w:r>
        <w:tab/>
        <w:t>5(1)</w:t>
      </w:r>
    </w:p>
    <w:p>
      <w:pPr>
        <w:pStyle w:val="DefinedTerms"/>
      </w:pPr>
      <w:r>
        <w:t>veterinary surgeon</w:t>
      </w:r>
      <w:r>
        <w:tab/>
        <w:t>5(1)</w:t>
      </w:r>
    </w:p>
    <w:p>
      <w:pPr>
        <w:pStyle w:val="DefinedTerms"/>
        <w:keepNext/>
        <w:keepLines/>
      </w:pPr>
      <w:r>
        <w:t>wholesale dealing</w:t>
      </w:r>
      <w:r>
        <w:tab/>
        <w:t>5(1)</w:t>
      </w:r>
    </w:p>
    <w:p>
      <w:pPr>
        <w:pStyle w:val="DefinedTerms"/>
        <w:keepNext/>
        <w:keepLines/>
      </w:pPr>
      <w:r>
        <w:t>wholesale supplier</w:t>
      </w:r>
      <w:r>
        <w:tab/>
        <w:t>5(1)</w:t>
      </w:r>
    </w:p>
    <w:p>
      <w:pPr>
        <w:pStyle w:val="DefinedTerms"/>
        <w:keepNext/>
        <w:keepLine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54"/>
    <w:docVar w:name="WAFER_20151208162654" w:val="RemoveTrackChanges"/>
    <w:docVar w:name="WAFER_20151208162654_GUID" w:val="3b8f61dc-91d3-4e01-a358-9b49da158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19692</Words>
  <Characters>92950</Characters>
  <Application>Microsoft Office Word</Application>
  <DocSecurity>0</DocSecurity>
  <Lines>2733</Lines>
  <Paragraphs>1609</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111033</CharactersWithSpaces>
  <SharedDoc>false</SharedDoc>
  <HLinks>
    <vt:vector size="12" baseType="variant">
      <vt:variant>
        <vt:i4>131085</vt:i4>
      </vt:variant>
      <vt:variant>
        <vt:i4>87394</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1964 - 08-e0-03</dc:title>
  <dc:subject/>
  <dc:creator/>
  <cp:keywords/>
  <dc:description/>
  <cp:lastModifiedBy>svcMRProcess</cp:lastModifiedBy>
  <cp:revision>4</cp:revision>
  <cp:lastPrinted>2009-02-17T03:21:00Z</cp:lastPrinted>
  <dcterms:created xsi:type="dcterms:W3CDTF">2018-09-06T21:35:00Z</dcterms:created>
  <dcterms:modified xsi:type="dcterms:W3CDTF">2018-09-06T21:35:00Z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01 Oct 2010</vt:lpwstr>
  </property>
  <property fmtid="{D5CDD505-2E9C-101B-9397-08002B2CF9AE}" pid="8" name="Suffix">
    <vt:lpwstr>08-e0-03</vt:lpwstr>
  </property>
</Properties>
</file>