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_Toc272312153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_Toc272312154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_Toc272312155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_Toc272312156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_Toc272312157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_Toc272312158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_Toc272312159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_Toc272312160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_Toc272312161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_Toc272312162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_Toc272312163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_Toc272312164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_Toc272312165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_Toc272312166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_Toc272312167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_Toc272312168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_Toc272312169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_Toc272312170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_Toc272312171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_Toc272312172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_Toc272312173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_Toc272312174 \h </w:instrText>
      </w:r>
      <w:r>
        <w:fldChar w:fldCharType="separate"/>
      </w:r>
      <w:r>
        <w:t>22</w:t>
      </w:r>
      <w:r>
        <w:fldChar w:fldCharType="end"/>
      </w:r>
    </w:p>
    <w:p>
      <w:pPr>
        <w:pStyle w:val="TOC2"/>
        <w:tabs>
          <w:tab w:val="right" w:leader="dot" w:pos="7078"/>
        </w:tabs>
        <w:rPr>
          <w:b w:val="0"/>
          <w:sz w:val="24"/>
          <w:szCs w:val="24"/>
        </w:rPr>
      </w:pPr>
      <w:r>
        <w:rPr>
          <w:rFonts w:eastAsia="MS Mincho"/>
          <w:szCs w:val="28"/>
        </w:rPr>
        <w:t>Schedule — Medical centre land</w:t>
      </w:r>
    </w:p>
    <w:p>
      <w:pPr>
        <w:pStyle w:val="TOC4"/>
        <w:tabs>
          <w:tab w:val="right" w:leader="dot" w:pos="7078"/>
        </w:tabs>
        <w:rPr>
          <w:b w:val="0"/>
          <w:sz w:val="24"/>
          <w:szCs w:val="24"/>
        </w:rPr>
      </w:pPr>
      <w:r>
        <w:rPr>
          <w:rFonts w:eastAsia="MS Mincho"/>
          <w:szCs w:val="24"/>
        </w:rPr>
        <w:t>Part I</w:t>
      </w:r>
      <w:r>
        <w:rPr>
          <w:rFonts w:eastAsia="MS Mincho"/>
          <w:b w:val="0"/>
          <w:szCs w:val="24"/>
        </w:rPr>
        <w:t> </w:t>
      </w:r>
      <w:r>
        <w:rPr>
          <w:rFonts w:eastAsia="MS Mincho"/>
          <w:szCs w:val="24"/>
        </w:rPr>
        <w:t>— Original land</w:t>
      </w:r>
    </w:p>
    <w:p>
      <w:pPr>
        <w:pStyle w:val="TOC4"/>
        <w:tabs>
          <w:tab w:val="right" w:leader="dot" w:pos="7078"/>
        </w:tabs>
        <w:rPr>
          <w:b w:val="0"/>
          <w:sz w:val="24"/>
          <w:szCs w:val="24"/>
        </w:rPr>
      </w:pPr>
      <w:r>
        <w:rPr>
          <w:rFonts w:eastAsia="MS Mincho"/>
          <w:szCs w:val="24"/>
        </w:rPr>
        <w:t>Part II — Further land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_Toc272312179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_Toc272312180 \h </w:instrText>
      </w:r>
      <w:r>
        <w:fldChar w:fldCharType="separate"/>
      </w:r>
      <w:r>
        <w:t>25</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2312153"/>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72312154"/>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72312155"/>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72312156"/>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17" w:name="_Toc411737202"/>
      <w:bookmarkStart w:id="18" w:name="_Toc518886983"/>
      <w:bookmarkStart w:id="19" w:name="_Toc90098264"/>
      <w:r>
        <w:tab/>
        <w:t>[Section 4 amended by No. 19 of 2010 s. 51.]</w:t>
      </w:r>
    </w:p>
    <w:p>
      <w:pPr>
        <w:pStyle w:val="Heading5"/>
        <w:rPr>
          <w:snapToGrid w:val="0"/>
        </w:rPr>
      </w:pPr>
      <w:bookmarkStart w:id="20" w:name="_Toc272312157"/>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72312158"/>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72312159"/>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29" w:name="_Toc411737205"/>
      <w:bookmarkStart w:id="30" w:name="_Toc518886986"/>
      <w:bookmarkStart w:id="31" w:name="_Toc90098267"/>
      <w:bookmarkStart w:id="32" w:name="_Toc272312160"/>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72312161"/>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72312162"/>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72312163"/>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72312164"/>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72312165"/>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53" w:name="_Toc411737211"/>
      <w:bookmarkStart w:id="54" w:name="_Toc518886992"/>
      <w:bookmarkStart w:id="55" w:name="_Toc90098273"/>
      <w:bookmarkStart w:id="56" w:name="_Toc272312166"/>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72312167"/>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72312168"/>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72312169"/>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69" w:name="_Toc411737215"/>
      <w:bookmarkStart w:id="70" w:name="_Toc518886996"/>
      <w:bookmarkStart w:id="71" w:name="_Toc90098277"/>
      <w:bookmarkStart w:id="72" w:name="_Toc272312170"/>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72312171"/>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72312172"/>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72312173"/>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72312174"/>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9" w:name="_Toc232235547"/>
      <w:bookmarkStart w:id="90" w:name="_Toc232235745"/>
      <w:bookmarkStart w:id="91" w:name="_Toc233100615"/>
      <w:bookmarkStart w:id="92" w:name="_Toc233107776"/>
      <w:bookmarkStart w:id="93" w:name="_Toc268247469"/>
      <w:bookmarkStart w:id="94" w:name="_Toc272312175"/>
      <w:r>
        <w:rPr>
          <w:rStyle w:val="CharSchNo"/>
          <w:rFonts w:eastAsia="MS Mincho"/>
        </w:rPr>
        <w:t>Schedule</w:t>
      </w:r>
      <w:r>
        <w:rPr>
          <w:rFonts w:eastAsia="MS Mincho"/>
        </w:rPr>
        <w:t> — </w:t>
      </w:r>
      <w:r>
        <w:rPr>
          <w:rStyle w:val="CharSchText"/>
          <w:rFonts w:eastAsia="MS Mincho"/>
        </w:rPr>
        <w:t>Medical centre land</w:t>
      </w:r>
      <w:bookmarkEnd w:id="89"/>
      <w:bookmarkEnd w:id="90"/>
      <w:bookmarkEnd w:id="91"/>
      <w:bookmarkEnd w:id="92"/>
      <w:bookmarkEnd w:id="93"/>
      <w:bookmarkEnd w:id="94"/>
    </w:p>
    <w:p>
      <w:pPr>
        <w:pStyle w:val="yShoulderClause"/>
        <w:rPr>
          <w:rFonts w:eastAsia="MS Mincho"/>
        </w:rPr>
      </w:pPr>
      <w:r>
        <w:rPr>
          <w:rFonts w:eastAsia="MS Mincho"/>
        </w:rPr>
        <w:t>[s. 4, 5 and 6]</w:t>
      </w:r>
    </w:p>
    <w:p>
      <w:pPr>
        <w:pStyle w:val="yFootnotesection"/>
      </w:pPr>
      <w:bookmarkStart w:id="95" w:name="_Toc232235548"/>
      <w:bookmarkStart w:id="96" w:name="_Toc232235746"/>
      <w:bookmarkStart w:id="97" w:name="_Toc233100616"/>
      <w:bookmarkStart w:id="98" w:name="_Toc233107777"/>
      <w:r>
        <w:tab/>
        <w:t>[Heading amended by No. 19 of 2010 s. 27(2).]</w:t>
      </w:r>
    </w:p>
    <w:p>
      <w:pPr>
        <w:pStyle w:val="yHeading3"/>
        <w:rPr>
          <w:rFonts w:eastAsia="MS Mincho"/>
        </w:rPr>
      </w:pPr>
      <w:bookmarkStart w:id="99" w:name="_Toc268247470"/>
      <w:bookmarkStart w:id="100" w:name="_Toc272312176"/>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95"/>
      <w:bookmarkEnd w:id="96"/>
      <w:bookmarkEnd w:id="97"/>
      <w:bookmarkEnd w:id="98"/>
      <w:bookmarkEnd w:id="99"/>
      <w:bookmarkEnd w:id="100"/>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01" w:name="_Toc232235549"/>
      <w:bookmarkStart w:id="102" w:name="_Toc232235747"/>
      <w:bookmarkStart w:id="103" w:name="_Toc233100617"/>
      <w:bookmarkStart w:id="104" w:name="_Toc233107778"/>
      <w:bookmarkStart w:id="105" w:name="_Toc268247471"/>
      <w:bookmarkStart w:id="106" w:name="_Toc272312177"/>
      <w:r>
        <w:rPr>
          <w:rStyle w:val="CharSDivNo"/>
          <w:rFonts w:eastAsia="MS Mincho"/>
        </w:rPr>
        <w:t>Part II</w:t>
      </w:r>
      <w:r>
        <w:rPr>
          <w:rFonts w:eastAsia="MS Mincho"/>
        </w:rPr>
        <w:t> — </w:t>
      </w:r>
      <w:r>
        <w:rPr>
          <w:rStyle w:val="CharSDivNo"/>
          <w:rFonts w:eastAsia="MS Mincho"/>
        </w:rPr>
        <w:t>Further land</w:t>
      </w:r>
      <w:bookmarkEnd w:id="101"/>
      <w:bookmarkEnd w:id="102"/>
      <w:bookmarkEnd w:id="103"/>
      <w:bookmarkEnd w:id="104"/>
      <w:bookmarkEnd w:id="105"/>
      <w:bookmarkEnd w:id="106"/>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7" w:name="_Toc90090692"/>
      <w:bookmarkStart w:id="108" w:name="_Toc90090737"/>
      <w:bookmarkStart w:id="109" w:name="_Toc90098283"/>
      <w:bookmarkStart w:id="110" w:name="_Toc156985902"/>
      <w:bookmarkStart w:id="111" w:name="_Toc158001691"/>
      <w:bookmarkStart w:id="112" w:name="_Toc199817735"/>
      <w:bookmarkStart w:id="113" w:name="_Toc215549215"/>
      <w:bookmarkStart w:id="114" w:name="_Toc215549242"/>
      <w:bookmarkStart w:id="115" w:name="_Toc219688645"/>
      <w:bookmarkStart w:id="116" w:name="_Toc219688672"/>
      <w:bookmarkStart w:id="117" w:name="_Toc219695417"/>
      <w:bookmarkStart w:id="118" w:name="_Toc221335758"/>
      <w:bookmarkStart w:id="119" w:name="_Toc268247472"/>
      <w:bookmarkStart w:id="120" w:name="_Toc272312178"/>
      <w:r>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272312179"/>
      <w:r>
        <w:rPr>
          <w:snapToGrid w:val="0"/>
        </w:rPr>
        <w:t>Compilation table</w:t>
      </w:r>
      <w:bookmarkEnd w:id="121"/>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r>
              <w:rPr>
                <w:i/>
                <w:sz w:val="19"/>
              </w:rPr>
              <w:t>Perth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r>
              <w:rPr>
                <w:i/>
                <w:sz w:val="19"/>
              </w:rPr>
              <w:t>Perth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r>
              <w:rPr>
                <w:i/>
                <w:sz w:val="19"/>
              </w:rPr>
              <w:t>Perth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r>
              <w:rPr>
                <w:i/>
                <w:sz w:val="19"/>
              </w:rPr>
              <w:t>Perth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UpToHere"/>
      <w:bookmarkStart w:id="123" w:name="_Toc7405065"/>
      <w:bookmarkStart w:id="124" w:name="_Toc272312180"/>
      <w:bookmarkEnd w:id="122"/>
      <w:r>
        <w:t>Provisions that have not come into operation</w:t>
      </w:r>
      <w:bookmarkEnd w:id="123"/>
      <w:bookmarkEnd w:id="1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43</w:t>
            </w:r>
            <w:r>
              <w:rPr>
                <w:iCs/>
                <w:snapToGrid w:val="0"/>
                <w:sz w:val="19"/>
                <w:vertAlign w:val="superscript"/>
                <w:lang w:val="en-US"/>
              </w:rPr>
              <w:t> 6</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25" w:name="_Toc9323144"/>
      <w:bookmarkStart w:id="126" w:name="_Toc51480430"/>
      <w:bookmarkStart w:id="127" w:name="_Toc88641587"/>
      <w:r>
        <w:rPr>
          <w:rStyle w:val="CharSectno"/>
        </w:rPr>
        <w:t>“</w:t>
      </w:r>
    </w:p>
    <w:p>
      <w:pPr>
        <w:pStyle w:val="nzHeading5"/>
      </w:pPr>
      <w:r>
        <w:rPr>
          <w:rStyle w:val="CharSectno"/>
        </w:rPr>
        <w:t>18</w:t>
      </w:r>
      <w:r>
        <w:t>.</w:t>
      </w:r>
      <w:r>
        <w:tab/>
        <w:t>Validation</w:t>
      </w:r>
      <w:bookmarkEnd w:id="125"/>
      <w:bookmarkEnd w:id="126"/>
      <w:bookmarkEnd w:id="127"/>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28" w:name="_Hlt51646937"/>
      <w:r>
        <w:t>17</w:t>
      </w:r>
      <w:bookmarkEnd w:id="128"/>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43 had not come into operation.  It reads as follows:</w:t>
      </w:r>
    </w:p>
    <w:p>
      <w:pPr>
        <w:pStyle w:val="BlankOpen"/>
      </w:pPr>
    </w:p>
    <w:p>
      <w:pPr>
        <w:pStyle w:val="nzHeading3"/>
      </w:pPr>
      <w:bookmarkStart w:id="129" w:name="_Toc262066757"/>
      <w:bookmarkStart w:id="130" w:name="_Toc270079306"/>
      <w:bookmarkStart w:id="131" w:name="_Toc270349226"/>
      <w:r>
        <w:rPr>
          <w:rStyle w:val="CharDivNo"/>
        </w:rPr>
        <w:t>Division 43</w:t>
      </w:r>
      <w:r>
        <w:t> — </w:t>
      </w:r>
      <w:r>
        <w:rPr>
          <w:rStyle w:val="CharDivText"/>
          <w:i/>
          <w:iCs/>
        </w:rPr>
        <w:t>Queen Elizabeth II Medical Centre Act 1966</w:t>
      </w:r>
      <w:r>
        <w:rPr>
          <w:rStyle w:val="CharDivText"/>
        </w:rPr>
        <w:t> amended</w:t>
      </w:r>
      <w:bookmarkEnd w:id="129"/>
      <w:bookmarkEnd w:id="130"/>
      <w:bookmarkEnd w:id="131"/>
    </w:p>
    <w:p>
      <w:pPr>
        <w:pStyle w:val="nzHeading5"/>
      </w:pPr>
      <w:bookmarkStart w:id="132" w:name="_Toc270349227"/>
      <w:r>
        <w:rPr>
          <w:rStyle w:val="CharSectno"/>
        </w:rPr>
        <w:t>140</w:t>
      </w:r>
      <w:r>
        <w:t>.</w:t>
      </w:r>
      <w:r>
        <w:tab/>
        <w:t>Act amended</w:t>
      </w:r>
      <w:bookmarkEnd w:id="132"/>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133" w:name="_Toc270349228"/>
      <w:r>
        <w:rPr>
          <w:rStyle w:val="CharSectno"/>
        </w:rPr>
        <w:t>141</w:t>
      </w:r>
      <w:r>
        <w:t>.</w:t>
      </w:r>
      <w:r>
        <w:tab/>
        <w:t>Section 16 amended</w:t>
      </w:r>
      <w:bookmarkEnd w:id="133"/>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134" w:name="_Toc219695419"/>
      <w:bookmarkStart w:id="135" w:name="_Toc221335760"/>
      <w:bookmarkStart w:id="136" w:name="_Toc268247474"/>
      <w:bookmarkStart w:id="137" w:name="_Toc272312181"/>
      <w:r>
        <w:rPr>
          <w:sz w:val="28"/>
        </w:rPr>
        <w:t>Defined Terms</w:t>
      </w:r>
      <w:bookmarkEnd w:id="134"/>
      <w:bookmarkEnd w:id="135"/>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8" w:name="DefinedTerms"/>
      <w:bookmarkEnd w:id="138"/>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fldSimple w:instr=" styleref CharSchText ">
            <w:r>
              <w:rPr>
                <w:noProof/>
              </w:rPr>
              <w:t>Medical centre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Original land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8251</Words>
  <Characters>38368</Characters>
  <Application>Microsoft Office Word</Application>
  <DocSecurity>0</DocSecurity>
  <Lines>1065</Lines>
  <Paragraphs>542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46077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1966 - 04-f0-01</dc:title>
  <dc:subject/>
  <dc:creator/>
  <cp:keywords/>
  <dc:description/>
  <cp:lastModifiedBy>svcMRProcess</cp:lastModifiedBy>
  <cp:revision>4</cp:revision>
  <cp:lastPrinted>2009-02-03T06:24:00Z</cp:lastPrinted>
  <dcterms:created xsi:type="dcterms:W3CDTF">2018-09-07T14:48:00Z</dcterms:created>
  <dcterms:modified xsi:type="dcterms:W3CDTF">2018-09-07T14:48:00Z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650</vt:i4>
  </property>
  <property fmtid="{D5CDD505-2E9C-101B-9397-08002B2CF9AE}" pid="6" name="AsAtDate">
    <vt:lpwstr>01 Oct 2010</vt:lpwstr>
  </property>
  <property fmtid="{D5CDD505-2E9C-101B-9397-08002B2CF9AE}" pid="7" name="Suffix">
    <vt:lpwstr>04-f0-01</vt:lpwstr>
  </property>
  <property fmtid="{D5CDD505-2E9C-101B-9397-08002B2CF9AE}" pid="8" name="ReprintNo">
    <vt:lpwstr>4</vt:lpwstr>
  </property>
</Properties>
</file>