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Construction Industry Portable Paid Long Service Leave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_Toc274203219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_Toc274203220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_Toc274203221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_Toc274203222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Construction Industry Long Service Leave Payments Board established</w:t>
      </w:r>
      <w:r>
        <w:tab/>
      </w:r>
      <w:r>
        <w:fldChar w:fldCharType="begin"/>
      </w:r>
      <w:r>
        <w:instrText xml:space="preserve"> PAGEREF _Toc274203224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Membership of Board</w:t>
      </w:r>
      <w:r>
        <w:tab/>
      </w:r>
      <w:r>
        <w:fldChar w:fldCharType="begin"/>
      </w:r>
      <w:r>
        <w:instrText xml:space="preserve"> PAGEREF _Toc274203225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_Toc274203226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_Toc274203227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Fees and allowances</w:t>
      </w:r>
      <w:r>
        <w:tab/>
      </w:r>
      <w:r>
        <w:fldChar w:fldCharType="begin"/>
      </w:r>
      <w:r>
        <w:instrText xml:space="preserve"> PAGEREF _Toc274203228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Meetings of Board and disclosure of interest</w:t>
      </w:r>
      <w:r>
        <w:tab/>
      </w:r>
      <w:r>
        <w:fldChar w:fldCharType="begin"/>
      </w:r>
      <w:r>
        <w:instrText xml:space="preserve"> PAGEREF _Toc274203229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may require Board to give information</w:t>
      </w:r>
      <w:r>
        <w:tab/>
      </w:r>
      <w:r>
        <w:fldChar w:fldCharType="begin"/>
      </w:r>
      <w:r>
        <w:instrText xml:space="preserve"> PAGEREF _Toc274203230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Indemnity</w:t>
      </w:r>
      <w:r>
        <w:tab/>
      </w:r>
      <w:r>
        <w:fldChar w:fldCharType="begin"/>
      </w:r>
      <w:r>
        <w:instrText xml:space="preserve"> PAGEREF _Toc274203231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Staff</w:t>
      </w:r>
      <w:r>
        <w:tab/>
      </w:r>
      <w:r>
        <w:fldChar w:fldCharType="begin"/>
      </w:r>
      <w:r>
        <w:instrText xml:space="preserve"> PAGEREF _Toc274203232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_Toc274203233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Funds of Board</w:t>
      </w:r>
      <w:r>
        <w:tab/>
      </w:r>
      <w:r>
        <w:fldChar w:fldCharType="begin"/>
      </w:r>
      <w:r>
        <w:instrText xml:space="preserve"> PAGEREF _Toc274203234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Power to borrow and guarantee</w:t>
      </w:r>
      <w:r>
        <w:tab/>
      </w:r>
      <w:r>
        <w:fldChar w:fldCharType="begin"/>
      </w:r>
      <w:r>
        <w:instrText xml:space="preserve"> PAGEREF _Toc274203235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Notification of certain contracts to be given to Minister</w:t>
      </w:r>
      <w:r>
        <w:tab/>
      </w:r>
      <w:r>
        <w:fldChar w:fldCharType="begin"/>
      </w:r>
      <w:r>
        <w:instrText xml:space="preserve"> PAGEREF _Toc274203236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_Toc274203237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Investigations by actuary</w:t>
      </w:r>
      <w:r>
        <w:tab/>
      </w:r>
      <w:r>
        <w:fldChar w:fldCharType="begin"/>
      </w:r>
      <w:r>
        <w:instrText xml:space="preserve"> PAGEREF _Toc274203238 \h </w:instrText>
      </w:r>
      <w:r>
        <w:fldChar w:fldCharType="separate"/>
      </w:r>
      <w:r>
        <w:t>14</w:t>
      </w:r>
      <w:r>
        <w:fldChar w:fldCharType="end"/>
      </w:r>
    </w:p>
    <w:p>
      <w:pPr>
        <w:pStyle w:val="TOC2"/>
        <w:tabs>
          <w:tab w:val="right" w:leader="dot" w:pos="7086"/>
        </w:tabs>
        <w:rPr>
          <w:b w:val="0"/>
          <w:sz w:val="24"/>
          <w:szCs w:val="24"/>
        </w:rPr>
      </w:pPr>
      <w:r>
        <w:rPr>
          <w:szCs w:val="30"/>
        </w:rPr>
        <w:t>Part III — Entitlement to long service leave and pay</w:t>
      </w:r>
    </w:p>
    <w:p>
      <w:pPr>
        <w:pStyle w:val="TOC8"/>
        <w:rPr>
          <w:sz w:val="24"/>
          <w:szCs w:val="24"/>
        </w:rPr>
      </w:pPr>
      <w:r>
        <w:rPr>
          <w:szCs w:val="24"/>
        </w:rPr>
        <w:t>21</w:t>
      </w:r>
      <w:r>
        <w:rPr>
          <w:snapToGrid w:val="0"/>
          <w:szCs w:val="24"/>
        </w:rPr>
        <w:t>.</w:t>
      </w:r>
      <w:r>
        <w:rPr>
          <w:snapToGrid w:val="0"/>
          <w:szCs w:val="24"/>
        </w:rPr>
        <w:tab/>
        <w:t>Entitlement to paid long service leave and pay</w:t>
      </w:r>
      <w:r>
        <w:tab/>
      </w:r>
      <w:r>
        <w:fldChar w:fldCharType="begin"/>
      </w:r>
      <w:r>
        <w:instrText xml:space="preserve"> PAGEREF _Toc274203240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Lump sum payments</w:t>
      </w:r>
      <w:r>
        <w:tab/>
      </w:r>
      <w:r>
        <w:fldChar w:fldCharType="begin"/>
      </w:r>
      <w:r>
        <w:instrText xml:space="preserve"> PAGEREF _Toc274203241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Cessation of continuous service entitlement</w:t>
      </w:r>
      <w:r>
        <w:tab/>
      </w:r>
      <w:r>
        <w:fldChar w:fldCharType="begin"/>
      </w:r>
      <w:r>
        <w:instrText xml:space="preserve"> PAGEREF _Toc274203242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Taking of leave</w:t>
      </w:r>
      <w:r>
        <w:tab/>
      </w:r>
      <w:r>
        <w:fldChar w:fldCharType="begin"/>
      </w:r>
      <w:r>
        <w:instrText xml:space="preserve"> PAGEREF _Toc274203243 \h </w:instrText>
      </w:r>
      <w:r>
        <w:fldChar w:fldCharType="separate"/>
      </w:r>
      <w:r>
        <w:t>18</w:t>
      </w:r>
      <w:r>
        <w:fldChar w:fldCharType="end"/>
      </w:r>
    </w:p>
    <w:p>
      <w:pPr>
        <w:pStyle w:val="TOC8"/>
        <w:rPr>
          <w:sz w:val="24"/>
          <w:szCs w:val="24"/>
        </w:rPr>
      </w:pPr>
      <w:r>
        <w:rPr>
          <w:szCs w:val="24"/>
        </w:rPr>
        <w:t>24A</w:t>
      </w:r>
      <w:r>
        <w:rPr>
          <w:snapToGrid w:val="0"/>
          <w:szCs w:val="24"/>
        </w:rPr>
        <w:t xml:space="preserve">. </w:t>
      </w:r>
      <w:r>
        <w:rPr>
          <w:snapToGrid w:val="0"/>
          <w:szCs w:val="24"/>
        </w:rPr>
        <w:tab/>
        <w:t>Proportional leave in advance after 7 years service</w:t>
      </w:r>
      <w:r>
        <w:tab/>
      </w:r>
      <w:r>
        <w:fldChar w:fldCharType="begin"/>
      </w:r>
      <w:r>
        <w:instrText xml:space="preserve"> PAGEREF _Toc274203244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Payment when due</w:t>
      </w:r>
      <w:r>
        <w:tab/>
      </w:r>
      <w:r>
        <w:fldChar w:fldCharType="begin"/>
      </w:r>
      <w:r>
        <w:instrText xml:space="preserve"> PAGEREF _Toc274203245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Prohibition on other employment</w:t>
      </w:r>
      <w:r>
        <w:tab/>
      </w:r>
      <w:r>
        <w:fldChar w:fldCharType="begin"/>
      </w:r>
      <w:r>
        <w:instrText xml:space="preserve"> PAGEREF _Toc274203246 \h </w:instrText>
      </w:r>
      <w:r>
        <w:fldChar w:fldCharType="separate"/>
      </w:r>
      <w:r>
        <w:t>20</w:t>
      </w:r>
      <w:r>
        <w:fldChar w:fldCharType="end"/>
      </w:r>
    </w:p>
    <w:p>
      <w:pPr>
        <w:pStyle w:val="TOC8"/>
        <w:rPr>
          <w:sz w:val="24"/>
          <w:szCs w:val="24"/>
        </w:rPr>
      </w:pPr>
      <w:r>
        <w:rPr>
          <w:szCs w:val="24"/>
        </w:rPr>
        <w:t>29.</w:t>
      </w:r>
      <w:r>
        <w:rPr>
          <w:szCs w:val="24"/>
        </w:rPr>
        <w:tab/>
        <w:t>Public holidays</w:t>
      </w:r>
      <w:r>
        <w:tab/>
      </w:r>
      <w:r>
        <w:fldChar w:fldCharType="begin"/>
      </w:r>
      <w:r>
        <w:instrText xml:space="preserve"> PAGEREF _Toc274203247 \h </w:instrText>
      </w:r>
      <w:r>
        <w:fldChar w:fldCharType="separate"/>
      </w:r>
      <w:r>
        <w:t>21</w:t>
      </w:r>
      <w:r>
        <w:fldChar w:fldCharType="end"/>
      </w:r>
    </w:p>
    <w:p>
      <w:pPr>
        <w:pStyle w:val="TOC8"/>
        <w:rPr>
          <w:sz w:val="24"/>
          <w:szCs w:val="24"/>
        </w:rPr>
      </w:pPr>
      <w:r>
        <w:rPr>
          <w:szCs w:val="24"/>
        </w:rPr>
        <w:t>29A</w:t>
      </w:r>
      <w:r>
        <w:rPr>
          <w:snapToGrid w:val="0"/>
          <w:szCs w:val="24"/>
        </w:rPr>
        <w:t xml:space="preserve">. </w:t>
      </w:r>
      <w:r>
        <w:rPr>
          <w:snapToGrid w:val="0"/>
          <w:szCs w:val="24"/>
        </w:rPr>
        <w:tab/>
        <w:t>Reciprocal arrangements</w:t>
      </w:r>
      <w:r>
        <w:tab/>
      </w:r>
      <w:r>
        <w:fldChar w:fldCharType="begin"/>
      </w:r>
      <w:r>
        <w:instrText xml:space="preserve"> PAGEREF _Toc274203248 \h </w:instrText>
      </w:r>
      <w:r>
        <w:fldChar w:fldCharType="separate"/>
      </w:r>
      <w:r>
        <w:t>21</w:t>
      </w:r>
      <w:r>
        <w:fldChar w:fldCharType="end"/>
      </w:r>
    </w:p>
    <w:p>
      <w:pPr>
        <w:pStyle w:val="TOC2"/>
        <w:tabs>
          <w:tab w:val="right" w:leader="dot" w:pos="7086"/>
        </w:tabs>
        <w:rPr>
          <w:b w:val="0"/>
          <w:sz w:val="24"/>
          <w:szCs w:val="24"/>
        </w:rPr>
      </w:pPr>
      <w:r>
        <w:rPr>
          <w:szCs w:val="30"/>
        </w:rPr>
        <w:t>Part IV — Registration</w:t>
      </w:r>
    </w:p>
    <w:p>
      <w:pPr>
        <w:pStyle w:val="TOC8"/>
        <w:rPr>
          <w:sz w:val="24"/>
          <w:szCs w:val="24"/>
        </w:rPr>
      </w:pPr>
      <w:r>
        <w:rPr>
          <w:szCs w:val="24"/>
        </w:rPr>
        <w:t>30</w:t>
      </w:r>
      <w:r>
        <w:rPr>
          <w:snapToGrid w:val="0"/>
          <w:szCs w:val="24"/>
        </w:rPr>
        <w:t>.</w:t>
      </w:r>
      <w:r>
        <w:rPr>
          <w:snapToGrid w:val="0"/>
          <w:szCs w:val="24"/>
        </w:rPr>
        <w:tab/>
        <w:t>Registration of employers and employees</w:t>
      </w:r>
      <w:r>
        <w:tab/>
      </w:r>
      <w:r>
        <w:fldChar w:fldCharType="begin"/>
      </w:r>
      <w:r>
        <w:instrText xml:space="preserve"> PAGEREF _Toc274203250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Return to be made by employer</w:t>
      </w:r>
      <w:r>
        <w:tab/>
      </w:r>
      <w:r>
        <w:fldChar w:fldCharType="begin"/>
      </w:r>
      <w:r>
        <w:instrText xml:space="preserve"> PAGEREF _Toc274203251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Employer to maintain record of employees</w:t>
      </w:r>
      <w:r>
        <w:tab/>
      </w:r>
      <w:r>
        <w:fldChar w:fldCharType="begin"/>
      </w:r>
      <w:r>
        <w:instrText xml:space="preserve"> PAGEREF _Toc274203252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Exempt employer</w:t>
      </w:r>
      <w:r>
        <w:tab/>
      </w:r>
      <w:r>
        <w:fldChar w:fldCharType="begin"/>
      </w:r>
      <w:r>
        <w:instrText xml:space="preserve"> PAGEREF _Toc274203253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Contribution by employer and assessment by Board</w:t>
      </w:r>
      <w:r>
        <w:tab/>
      </w:r>
      <w:r>
        <w:fldChar w:fldCharType="begin"/>
      </w:r>
      <w:r>
        <w:instrText xml:space="preserve"> PAGEREF _Toc274203254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Register of employers and register of employees</w:t>
      </w:r>
      <w:r>
        <w:tab/>
      </w:r>
      <w:r>
        <w:fldChar w:fldCharType="begin"/>
      </w:r>
      <w:r>
        <w:instrText xml:space="preserve"> PAGEREF _Toc274203255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Employer leaving Western Australia</w:t>
      </w:r>
      <w:r>
        <w:tab/>
      </w:r>
      <w:r>
        <w:fldChar w:fldCharType="begin"/>
      </w:r>
      <w:r>
        <w:instrText xml:space="preserve"> PAGEREF _Toc274203256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Recovery of long service leave contribution</w:t>
      </w:r>
      <w:r>
        <w:tab/>
      </w:r>
      <w:r>
        <w:fldChar w:fldCharType="begin"/>
      </w:r>
      <w:r>
        <w:instrText xml:space="preserve"> PAGEREF _Toc274203257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Liquidator to give notice</w:t>
      </w:r>
      <w:r>
        <w:tab/>
      </w:r>
      <w:r>
        <w:fldChar w:fldCharType="begin"/>
      </w:r>
      <w:r>
        <w:instrText xml:space="preserve"> PAGEREF _Toc274203258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Agent for absentee principal winding up business</w:t>
      </w:r>
      <w:r>
        <w:tab/>
      </w:r>
      <w:r>
        <w:fldChar w:fldCharType="begin"/>
      </w:r>
      <w:r>
        <w:instrText xml:space="preserve"> PAGEREF _Toc274203259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Where long service leave charges are not paid during lifetime</w:t>
      </w:r>
      <w:r>
        <w:tab/>
      </w:r>
      <w:r>
        <w:fldChar w:fldCharType="begin"/>
      </w:r>
      <w:r>
        <w:instrText xml:space="preserve"> PAGEREF _Toc274203260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Provisions for payment of long service leave charges by executors or administrators</w:t>
      </w:r>
      <w:r>
        <w:tab/>
      </w:r>
      <w:r>
        <w:fldChar w:fldCharType="begin"/>
      </w:r>
      <w:r>
        <w:instrText xml:space="preserve"> PAGEREF _Toc274203261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Contributions by joint employers</w:t>
      </w:r>
      <w:r>
        <w:tab/>
      </w:r>
      <w:r>
        <w:fldChar w:fldCharType="begin"/>
      </w:r>
      <w:r>
        <w:instrText xml:space="preserve"> PAGEREF _Toc274203262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Payment of penalties no relief from contributions</w:t>
      </w:r>
      <w:r>
        <w:tab/>
      </w:r>
      <w:r>
        <w:fldChar w:fldCharType="begin"/>
      </w:r>
      <w:r>
        <w:instrText xml:space="preserve"> PAGEREF _Toc274203263 \h </w:instrText>
      </w:r>
      <w:r>
        <w:fldChar w:fldCharType="separate"/>
      </w:r>
      <w:r>
        <w:t>32</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44</w:t>
      </w:r>
      <w:r>
        <w:rPr>
          <w:snapToGrid w:val="0"/>
          <w:szCs w:val="24"/>
        </w:rPr>
        <w:t>.</w:t>
      </w:r>
      <w:r>
        <w:rPr>
          <w:snapToGrid w:val="0"/>
          <w:szCs w:val="24"/>
        </w:rPr>
        <w:tab/>
        <w:t>Inspectors</w:t>
      </w:r>
      <w:r>
        <w:tab/>
      </w:r>
      <w:r>
        <w:fldChar w:fldCharType="begin"/>
      </w:r>
      <w:r>
        <w:instrText xml:space="preserve"> PAGEREF _Toc274203265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Power to obtain information and evidence</w:t>
      </w:r>
      <w:r>
        <w:tab/>
      </w:r>
      <w:r>
        <w:fldChar w:fldCharType="begin"/>
      </w:r>
      <w:r>
        <w:instrText xml:space="preserve"> PAGEREF _Toc274203266 \h </w:instrText>
      </w:r>
      <w:r>
        <w:fldChar w:fldCharType="separate"/>
      </w:r>
      <w:r>
        <w:t>33</w:t>
      </w:r>
      <w:r>
        <w:fldChar w:fldCharType="end"/>
      </w:r>
    </w:p>
    <w:p>
      <w:pPr>
        <w:pStyle w:val="TOC8"/>
        <w:rPr>
          <w:sz w:val="24"/>
          <w:szCs w:val="24"/>
        </w:rPr>
      </w:pPr>
      <w:r>
        <w:rPr>
          <w:szCs w:val="24"/>
        </w:rPr>
        <w:t>46</w:t>
      </w:r>
      <w:r>
        <w:rPr>
          <w:snapToGrid w:val="0"/>
          <w:szCs w:val="24"/>
        </w:rPr>
        <w:t>.</w:t>
      </w:r>
      <w:r>
        <w:rPr>
          <w:snapToGrid w:val="0"/>
          <w:szCs w:val="24"/>
        </w:rPr>
        <w:tab/>
        <w:t>Access to books etc.</w:t>
      </w:r>
      <w:r>
        <w:tab/>
      </w:r>
      <w:r>
        <w:fldChar w:fldCharType="begin"/>
      </w:r>
      <w:r>
        <w:instrText xml:space="preserve"> PAGEREF _Toc274203267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Proceedings for offences against this Act</w:t>
      </w:r>
      <w:r>
        <w:tab/>
      </w:r>
      <w:r>
        <w:fldChar w:fldCharType="begin"/>
      </w:r>
      <w:r>
        <w:instrText xml:space="preserve"> PAGEREF _Toc274203268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Institution of proceedings</w:t>
      </w:r>
      <w:r>
        <w:tab/>
      </w:r>
      <w:r>
        <w:fldChar w:fldCharType="begin"/>
      </w:r>
      <w:r>
        <w:instrText xml:space="preserve"> PAGEREF _Toc274203269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Evidence</w:t>
      </w:r>
      <w:r>
        <w:tab/>
      </w:r>
      <w:r>
        <w:fldChar w:fldCharType="begin"/>
      </w:r>
      <w:r>
        <w:instrText xml:space="preserve"> PAGEREF _Toc274203270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Appeals</w:t>
      </w:r>
      <w:r>
        <w:tab/>
      </w:r>
      <w:r>
        <w:fldChar w:fldCharType="begin"/>
      </w:r>
      <w:r>
        <w:instrText xml:space="preserve"> PAGEREF _Toc274203271 \h </w:instrText>
      </w:r>
      <w:r>
        <w:fldChar w:fldCharType="separate"/>
      </w:r>
      <w:r>
        <w:t>36</w:t>
      </w:r>
      <w:r>
        <w:fldChar w:fldCharType="end"/>
      </w:r>
    </w:p>
    <w:p>
      <w:pPr>
        <w:pStyle w:val="TOC8"/>
        <w:rPr>
          <w:sz w:val="24"/>
          <w:szCs w:val="24"/>
        </w:rPr>
      </w:pPr>
      <w:r>
        <w:rPr>
          <w:szCs w:val="24"/>
        </w:rPr>
        <w:t>51</w:t>
      </w:r>
      <w:r>
        <w:rPr>
          <w:snapToGrid w:val="0"/>
          <w:szCs w:val="24"/>
        </w:rPr>
        <w:t>.</w:t>
      </w:r>
      <w:r>
        <w:rPr>
          <w:snapToGrid w:val="0"/>
          <w:szCs w:val="24"/>
        </w:rPr>
        <w:tab/>
        <w:t>Employee accumulating continuous service in more than one capacity</w:t>
      </w:r>
      <w:r>
        <w:tab/>
      </w:r>
      <w:r>
        <w:fldChar w:fldCharType="begin"/>
      </w:r>
      <w:r>
        <w:instrText xml:space="preserve"> PAGEREF _Toc274203272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Obstructing an inspector or other persons</w:t>
      </w:r>
      <w:r>
        <w:tab/>
      </w:r>
      <w:r>
        <w:fldChar w:fldCharType="begin"/>
      </w:r>
      <w:r>
        <w:instrText xml:space="preserve"> PAGEREF _Toc274203273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Protection of persons giving information under this Act</w:t>
      </w:r>
      <w:r>
        <w:tab/>
      </w:r>
      <w:r>
        <w:fldChar w:fldCharType="begin"/>
      </w:r>
      <w:r>
        <w:instrText xml:space="preserve"> PAGEREF _Toc274203274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Secrecy</w:t>
      </w:r>
      <w:r>
        <w:tab/>
      </w:r>
      <w:r>
        <w:fldChar w:fldCharType="begin"/>
      </w:r>
      <w:r>
        <w:instrText xml:space="preserve"> PAGEREF _Toc274203275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Effect of other awards or agreements</w:t>
      </w:r>
      <w:r>
        <w:tab/>
      </w:r>
      <w:r>
        <w:fldChar w:fldCharType="begin"/>
      </w:r>
      <w:r>
        <w:instrText xml:space="preserve"> PAGEREF _Toc274203276 \h </w:instrText>
      </w:r>
      <w:r>
        <w:fldChar w:fldCharType="separate"/>
      </w:r>
      <w:r>
        <w:t>38</w:t>
      </w:r>
      <w:r>
        <w:fldChar w:fldCharType="end"/>
      </w:r>
    </w:p>
    <w:p>
      <w:pPr>
        <w:pStyle w:val="TOC8"/>
        <w:rPr>
          <w:sz w:val="24"/>
          <w:szCs w:val="24"/>
        </w:rPr>
      </w:pPr>
      <w:r>
        <w:rPr>
          <w:szCs w:val="24"/>
        </w:rPr>
        <w:t>56.</w:t>
      </w:r>
      <w:r>
        <w:rPr>
          <w:szCs w:val="24"/>
        </w:rPr>
        <w:tab/>
        <w:t>Transitional provisions</w:t>
      </w:r>
      <w:r>
        <w:tab/>
      </w:r>
      <w:r>
        <w:fldChar w:fldCharType="begin"/>
      </w:r>
      <w:r>
        <w:instrText xml:space="preserve"> PAGEREF _Toc274203277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_Toc274203278 \h </w:instrText>
      </w:r>
      <w:r>
        <w:fldChar w:fldCharType="separate"/>
      </w:r>
      <w:r>
        <w:t>39</w:t>
      </w:r>
      <w:r>
        <w:fldChar w:fldCharType="end"/>
      </w:r>
    </w:p>
    <w:p>
      <w:pPr>
        <w:pStyle w:val="TOC2"/>
        <w:tabs>
          <w:tab w:val="right" w:leader="dot" w:pos="7086"/>
        </w:tabs>
        <w:rPr>
          <w:b w:val="0"/>
          <w:sz w:val="24"/>
          <w:szCs w:val="24"/>
        </w:rPr>
      </w:pPr>
      <w:r>
        <w:rPr>
          <w:szCs w:val="28"/>
        </w:rPr>
        <w:t>Schedule</w:t>
      </w:r>
      <w:r>
        <w:rPr>
          <w:b w:val="0"/>
          <w:bCs/>
          <w:szCs w:val="28"/>
        </w:rPr>
        <w:t xml:space="preserve"> — </w:t>
      </w:r>
      <w:r>
        <w:rPr>
          <w:szCs w:val="28"/>
        </w:rPr>
        <w:t>Transitional provisions</w:t>
      </w:r>
    </w:p>
    <w:p>
      <w:pPr>
        <w:pStyle w:val="TOC2"/>
        <w:tabs>
          <w:tab w:val="right" w:leader="dot" w:pos="7086"/>
        </w:tabs>
        <w:rPr>
          <w:b w:val="0"/>
          <w:sz w:val="24"/>
          <w:szCs w:val="24"/>
        </w:rPr>
      </w:pPr>
      <w:r>
        <w:rPr>
          <w:sz w:val="24"/>
          <w:szCs w:val="28"/>
        </w:rPr>
        <w:t>Division 1</w:t>
      </w:r>
      <w:r>
        <w:rPr>
          <w:szCs w:val="28"/>
        </w:rPr>
        <w:t> — </w:t>
      </w:r>
      <w:r>
        <w:rPr>
          <w:sz w:val="24"/>
          <w:szCs w:val="28"/>
        </w:rPr>
        <w:t>The appointed day</w:t>
      </w:r>
    </w:p>
    <w:p>
      <w:pPr>
        <w:pStyle w:val="TOC8"/>
        <w:rPr>
          <w:sz w:val="24"/>
          <w:szCs w:val="24"/>
        </w:rPr>
      </w:pPr>
      <w:r>
        <w:rPr>
          <w:szCs w:val="22"/>
        </w:rPr>
        <w:t>1.</w:t>
      </w:r>
      <w:r>
        <w:rPr>
          <w:szCs w:val="22"/>
        </w:rPr>
        <w:tab/>
        <w:t>Employees’ service before application for registration</w:t>
      </w:r>
      <w:r>
        <w:tab/>
      </w:r>
      <w:r>
        <w:fldChar w:fldCharType="begin"/>
      </w:r>
      <w:r>
        <w:instrText xml:space="preserve"> PAGEREF _Toc274203281 \h </w:instrText>
      </w:r>
      <w:r>
        <w:fldChar w:fldCharType="separate"/>
      </w:r>
      <w:r>
        <w:t>40</w:t>
      </w:r>
      <w:r>
        <w:fldChar w:fldCharType="end"/>
      </w:r>
    </w:p>
    <w:p>
      <w:pPr>
        <w:pStyle w:val="TOC8"/>
        <w:rPr>
          <w:sz w:val="24"/>
          <w:szCs w:val="24"/>
        </w:rPr>
      </w:pPr>
      <w:r>
        <w:rPr>
          <w:szCs w:val="22"/>
        </w:rPr>
        <w:t>2.</w:t>
      </w:r>
      <w:r>
        <w:rPr>
          <w:szCs w:val="22"/>
        </w:rPr>
        <w:tab/>
        <w:t>Employees to pay Board contributions for some employees</w:t>
      </w:r>
      <w:r>
        <w:tab/>
      </w:r>
      <w:r>
        <w:fldChar w:fldCharType="begin"/>
      </w:r>
      <w:r>
        <w:instrText xml:space="preserve"> PAGEREF _Toc274203282 \h </w:instrText>
      </w:r>
      <w:r>
        <w:fldChar w:fldCharType="separate"/>
      </w:r>
      <w:r>
        <w:t>40</w:t>
      </w:r>
      <w:r>
        <w:fldChar w:fldCharType="end"/>
      </w:r>
    </w:p>
    <w:p>
      <w:pPr>
        <w:pStyle w:val="TOC4"/>
        <w:tabs>
          <w:tab w:val="right" w:leader="dot" w:pos="7086"/>
        </w:tabs>
        <w:rPr>
          <w:b w:val="0"/>
          <w:sz w:val="24"/>
          <w:szCs w:val="24"/>
        </w:rPr>
      </w:pPr>
      <w:r>
        <w:rPr>
          <w:szCs w:val="24"/>
        </w:rPr>
        <w:t>Division 2</w:t>
      </w:r>
      <w:r>
        <w:rPr>
          <w:sz w:val="28"/>
          <w:szCs w:val="24"/>
        </w:rPr>
        <w:t> — </w:t>
      </w:r>
      <w:r>
        <w:rPr>
          <w:snapToGrid w:val="0"/>
          <w:szCs w:val="24"/>
        </w:rPr>
        <w:t xml:space="preserve">The </w:t>
      </w:r>
      <w:r>
        <w:rPr>
          <w:i/>
          <w:iCs/>
          <w:snapToGrid w:val="0"/>
          <w:szCs w:val="24"/>
        </w:rPr>
        <w:t>Labour Relations Legislation Amendment Act 2006</w:t>
      </w:r>
    </w:p>
    <w:p>
      <w:pPr>
        <w:pStyle w:val="TOC8"/>
        <w:rPr>
          <w:sz w:val="24"/>
          <w:szCs w:val="24"/>
        </w:rPr>
      </w:pPr>
      <w:r>
        <w:rPr>
          <w:szCs w:val="22"/>
        </w:rPr>
        <w:t>3.</w:t>
      </w:r>
      <w:r>
        <w:rPr>
          <w:szCs w:val="22"/>
        </w:rPr>
        <w:tab/>
        <w:t>Service prior to commencement day</w:t>
      </w:r>
      <w:r>
        <w:tab/>
      </w:r>
      <w:r>
        <w:fldChar w:fldCharType="begin"/>
      </w:r>
      <w:r>
        <w:instrText xml:space="preserve"> PAGEREF _Toc274203284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_Toc274203286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_Toc274203287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00" w:after="14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bookmarkStart w:id="23" w:name="_Toc241051477"/>
      <w:bookmarkStart w:id="24" w:name="_Toc259540293"/>
      <w:bookmarkStart w:id="25" w:name="_Toc259540448"/>
      <w:bookmarkStart w:id="26" w:name="_Toc260209976"/>
      <w:bookmarkStart w:id="27" w:name="_Toc261875535"/>
      <w:bookmarkStart w:id="28" w:name="_Toc262222427"/>
      <w:bookmarkStart w:id="29" w:name="_Toc263414917"/>
      <w:bookmarkStart w:id="30" w:name="_Toc263415601"/>
      <w:bookmarkStart w:id="31" w:name="_Toc267647256"/>
      <w:bookmarkStart w:id="32" w:name="_Toc27420321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95730140"/>
      <w:bookmarkStart w:id="34" w:name="_Toc147630768"/>
      <w:bookmarkStart w:id="35" w:name="_Toc274203219"/>
      <w:r>
        <w:rPr>
          <w:rStyle w:val="CharSectno"/>
        </w:rPr>
        <w:t>1</w:t>
      </w:r>
      <w:r>
        <w:rPr>
          <w:snapToGrid w:val="0"/>
        </w:rPr>
        <w:t>.</w:t>
      </w:r>
      <w:r>
        <w:rPr>
          <w:snapToGrid w:val="0"/>
        </w:rPr>
        <w:tab/>
        <w:t>Short title</w:t>
      </w:r>
      <w:bookmarkEnd w:id="33"/>
      <w:bookmarkEnd w:id="34"/>
      <w:bookmarkEnd w:id="35"/>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36" w:name="_Toc95730141"/>
      <w:bookmarkStart w:id="37" w:name="_Toc147630769"/>
      <w:bookmarkStart w:id="38" w:name="_Toc274203220"/>
      <w:r>
        <w:rPr>
          <w:rStyle w:val="CharSectno"/>
        </w:rPr>
        <w:t>2</w:t>
      </w:r>
      <w:r>
        <w:rPr>
          <w:snapToGrid w:val="0"/>
        </w:rPr>
        <w:t>.</w:t>
      </w:r>
      <w:r>
        <w:rPr>
          <w:snapToGrid w:val="0"/>
        </w:rPr>
        <w:tab/>
        <w:t>Commencement</w:t>
      </w:r>
      <w:bookmarkEnd w:id="36"/>
      <w:bookmarkEnd w:id="37"/>
      <w:bookmarkEnd w:id="38"/>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39" w:name="_Toc95730142"/>
      <w:bookmarkStart w:id="40" w:name="_Toc147630770"/>
      <w:bookmarkStart w:id="41" w:name="_Toc274203221"/>
      <w:r>
        <w:rPr>
          <w:rStyle w:val="CharSectno"/>
        </w:rPr>
        <w:t>3</w:t>
      </w:r>
      <w:r>
        <w:rPr>
          <w:snapToGrid w:val="0"/>
        </w:rPr>
        <w:t>.</w:t>
      </w:r>
      <w:r>
        <w:rPr>
          <w:snapToGrid w:val="0"/>
        </w:rPr>
        <w:tab/>
      </w:r>
      <w:bookmarkEnd w:id="39"/>
      <w:bookmarkEnd w:id="40"/>
      <w:r>
        <w:rPr>
          <w:snapToGrid w:val="0"/>
        </w:rPr>
        <w:t>Terms used</w:t>
      </w:r>
      <w:bookmarkEnd w:id="4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p>
    <w:p>
      <w:pPr>
        <w:pStyle w:val="Defsubpara"/>
        <w:keepLines w:val="0"/>
        <w:rPr>
          <w:snapToGrid w:val="0"/>
        </w:rPr>
      </w:pPr>
      <w:r>
        <w:rPr>
          <w:snapToGrid w:val="0"/>
        </w:rPr>
        <w:tab/>
        <w:t>(ii)</w:t>
      </w:r>
      <w:r>
        <w:rPr>
          <w:snapToGrid w:val="0"/>
        </w:rPr>
        <w:tab/>
        <w:t>roads, railways, airfields or other works for the passage of persons, animals or vehicles;</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keepLines w:val="0"/>
        <w:rPr>
          <w:snapToGrid w:val="0"/>
        </w:rPr>
      </w:pPr>
      <w:r>
        <w:rPr>
          <w:snapToGrid w:val="0"/>
        </w:rPr>
        <w:tab/>
        <w:t>(iv)</w:t>
      </w:r>
      <w:r>
        <w:rPr>
          <w:snapToGrid w:val="0"/>
        </w:rPr>
        <w:tab/>
        <w:t>works for the storage or supply of water or for the irrigation of land;</w:t>
      </w:r>
    </w:p>
    <w:p>
      <w:pPr>
        <w:pStyle w:val="Defsubpara"/>
        <w:keepLines w:val="0"/>
        <w:rPr>
          <w:snapToGrid w:val="0"/>
        </w:rPr>
      </w:pPr>
      <w:r>
        <w:rPr>
          <w:snapToGrid w:val="0"/>
        </w:rPr>
        <w:tab/>
        <w:t>(v)</w:t>
      </w:r>
      <w:r>
        <w:rPr>
          <w:snapToGrid w:val="0"/>
        </w:rPr>
        <w:tab/>
        <w:t>works for the conveyance, treatment or disposal of sewage or of the effluent from any premises;</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keepLines w:val="0"/>
        <w:rPr>
          <w:snapToGrid w:val="0"/>
        </w:rPr>
      </w:pPr>
      <w:r>
        <w:rPr>
          <w:snapToGrid w:val="0"/>
        </w:rPr>
        <w:tab/>
        <w:t>(vii)</w:t>
      </w:r>
      <w:r>
        <w:rPr>
          <w:snapToGrid w:val="0"/>
        </w:rPr>
        <w:tab/>
        <w:t>bridges, viaducts, aqueducts or tunnels;</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p>
    <w:p>
      <w:pPr>
        <w:pStyle w:val="Defsubpara"/>
        <w:keepLines w:val="0"/>
        <w:rPr>
          <w:snapToGrid w:val="0"/>
        </w:rPr>
      </w:pPr>
      <w:r>
        <w:rPr>
          <w:snapToGrid w:val="0"/>
        </w:rPr>
        <w:tab/>
        <w:t>(ix)</w:t>
      </w:r>
      <w:r>
        <w:rPr>
          <w:snapToGrid w:val="0"/>
        </w:rPr>
        <w:tab/>
        <w:t>pipelines;</w:t>
      </w:r>
    </w:p>
    <w:p>
      <w:pPr>
        <w:pStyle w:val="Defsubpara"/>
        <w:keepLines w:val="0"/>
        <w:rPr>
          <w:snapToGrid w:val="0"/>
        </w:rPr>
      </w:pPr>
      <w:r>
        <w:rPr>
          <w:snapToGrid w:val="0"/>
        </w:rPr>
        <w:tab/>
        <w:t>(x)</w:t>
      </w:r>
      <w:r>
        <w:rPr>
          <w:snapToGrid w:val="0"/>
        </w:rPr>
        <w:tab/>
        <w:t>navigational lights, beacons or markers;</w:t>
      </w:r>
    </w:p>
    <w:p>
      <w:pPr>
        <w:pStyle w:val="Defsubpara"/>
        <w:keepLines w:val="0"/>
        <w:rPr>
          <w:snapToGrid w:val="0"/>
        </w:rPr>
      </w:pPr>
      <w:r>
        <w:rPr>
          <w:snapToGrid w:val="0"/>
        </w:rPr>
        <w:tab/>
        <w:t>(xi)</w:t>
      </w:r>
      <w:r>
        <w:rPr>
          <w:snapToGrid w:val="0"/>
        </w:rPr>
        <w:tab/>
        <w:t>works for the drainage of land;</w:t>
      </w:r>
    </w:p>
    <w:p>
      <w:pPr>
        <w:pStyle w:val="Defsubpara"/>
        <w:keepLines w:val="0"/>
        <w:rPr>
          <w:snapToGrid w:val="0"/>
        </w:rPr>
      </w:pPr>
      <w:r>
        <w:rPr>
          <w:snapToGrid w:val="0"/>
        </w:rPr>
        <w:tab/>
        <w:t>(xii)</w:t>
      </w:r>
      <w:r>
        <w:rPr>
          <w:snapToGrid w:val="0"/>
        </w:rPr>
        <w:tab/>
        <w:t>works for the storage of liquids (other than water) or gases;</w:t>
      </w:r>
    </w:p>
    <w:p>
      <w:pPr>
        <w:pStyle w:val="Defsubpara"/>
        <w:keepLines w:val="0"/>
        <w:rPr>
          <w:snapToGrid w:val="0"/>
        </w:rPr>
      </w:pPr>
      <w:r>
        <w:rPr>
          <w:snapToGrid w:val="0"/>
        </w:rPr>
        <w:tab/>
        <w:t>(xiii)</w:t>
      </w:r>
      <w:r>
        <w:rPr>
          <w:snapToGrid w:val="0"/>
        </w:rPr>
        <w:tab/>
        <w:t>works for the generation, supply or transmission of electric power;</w:t>
      </w:r>
    </w:p>
    <w:p>
      <w:pPr>
        <w:pStyle w:val="Defsubpara"/>
        <w:keepLines w:val="0"/>
        <w:rPr>
          <w:snapToGrid w:val="0"/>
        </w:rPr>
      </w:pPr>
      <w:r>
        <w:rPr>
          <w:snapToGrid w:val="0"/>
        </w:rPr>
        <w:tab/>
        <w:t>(xiv)</w:t>
      </w:r>
      <w:r>
        <w:rPr>
          <w:snapToGrid w:val="0"/>
        </w:rPr>
        <w:tab/>
        <w:t>works for the transmission of wireless or telegraphic communications;</w:t>
      </w:r>
    </w:p>
    <w:p>
      <w:pPr>
        <w:pStyle w:val="Defsubpara"/>
        <w:keepLines w:val="0"/>
        <w:rPr>
          <w:snapToGrid w:val="0"/>
        </w:rPr>
      </w:pPr>
      <w:r>
        <w:rPr>
          <w:snapToGrid w:val="0"/>
        </w:rPr>
        <w:tab/>
        <w:t>(xv)</w:t>
      </w:r>
      <w:r>
        <w:rPr>
          <w:snapToGrid w:val="0"/>
        </w:rPr>
        <w:tab/>
        <w:t>pile driving works;</w:t>
      </w:r>
    </w:p>
    <w:p>
      <w:pPr>
        <w:pStyle w:val="Defsubpara"/>
        <w:keepLines w:val="0"/>
        <w:rPr>
          <w:snapToGrid w:val="0"/>
        </w:rPr>
      </w:pPr>
      <w:r>
        <w:rPr>
          <w:snapToGrid w:val="0"/>
        </w:rPr>
        <w:tab/>
        <w:t>(xvi)</w:t>
      </w:r>
      <w:r>
        <w:rPr>
          <w:snapToGrid w:val="0"/>
        </w:rPr>
        <w:tab/>
        <w:t>structures, fixtures or works for the use on any buildings or works of a kind referred to in subparagraphs (i) to (xv);</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spacing w:before="120"/>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spacing w:before="120"/>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spacing w:before="120"/>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spacing w:before="120"/>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award to be a prescribed classification of work for the purposes of the definition of </w:t>
      </w:r>
      <w:r>
        <w:rPr>
          <w:b/>
          <w:bCs/>
          <w:i/>
          <w:iCs/>
          <w:snapToGrid w:val="0"/>
        </w:rPr>
        <w:t>employee</w:t>
      </w:r>
      <w:r>
        <w:rPr>
          <w:snapToGrid w:val="0"/>
        </w:rPr>
        <w:t>;</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w:t>
      </w:r>
    </w:p>
    <w:p>
      <w:pPr>
        <w:pStyle w:val="Heading5"/>
        <w:rPr>
          <w:snapToGrid w:val="0"/>
        </w:rPr>
      </w:pPr>
      <w:bookmarkStart w:id="42" w:name="_Toc95730143"/>
      <w:bookmarkStart w:id="43" w:name="_Toc147630771"/>
      <w:bookmarkStart w:id="44" w:name="_Toc274203222"/>
      <w:r>
        <w:rPr>
          <w:rStyle w:val="CharSectno"/>
        </w:rPr>
        <w:t>4</w:t>
      </w:r>
      <w:r>
        <w:rPr>
          <w:snapToGrid w:val="0"/>
        </w:rPr>
        <w:t>.</w:t>
      </w:r>
      <w:r>
        <w:rPr>
          <w:snapToGrid w:val="0"/>
        </w:rPr>
        <w:tab/>
        <w:t>Crown bound</w:t>
      </w:r>
      <w:bookmarkEnd w:id="42"/>
      <w:bookmarkEnd w:id="43"/>
      <w:bookmarkEnd w:id="44"/>
    </w:p>
    <w:p>
      <w:pPr>
        <w:pStyle w:val="Subsection"/>
        <w:rPr>
          <w:snapToGrid w:val="0"/>
        </w:rPr>
      </w:pPr>
      <w:r>
        <w:rPr>
          <w:snapToGrid w:val="0"/>
        </w:rPr>
        <w:tab/>
      </w:r>
      <w:r>
        <w:rPr>
          <w:snapToGrid w:val="0"/>
        </w:rPr>
        <w:tab/>
        <w:t>This Act binds the Crown in right of the State.</w:t>
      </w:r>
    </w:p>
    <w:p>
      <w:pPr>
        <w:pStyle w:val="Heading2"/>
      </w:pPr>
      <w:bookmarkStart w:id="45" w:name="_Toc95729727"/>
      <w:bookmarkStart w:id="46" w:name="_Toc95729792"/>
      <w:bookmarkStart w:id="47" w:name="_Toc95730144"/>
      <w:bookmarkStart w:id="48" w:name="_Toc95730218"/>
      <w:bookmarkStart w:id="49" w:name="_Toc97003705"/>
      <w:bookmarkStart w:id="50" w:name="_Toc102810424"/>
      <w:bookmarkStart w:id="51" w:name="_Toc116956523"/>
      <w:bookmarkStart w:id="52" w:name="_Toc116956587"/>
      <w:bookmarkStart w:id="53" w:name="_Toc116960852"/>
      <w:bookmarkStart w:id="54" w:name="_Toc118525487"/>
      <w:bookmarkStart w:id="55" w:name="_Toc118525793"/>
      <w:bookmarkStart w:id="56" w:name="_Toc120001169"/>
      <w:bookmarkStart w:id="57" w:name="_Toc139864255"/>
      <w:bookmarkStart w:id="58" w:name="_Toc140029709"/>
      <w:bookmarkStart w:id="59" w:name="_Toc140029777"/>
      <w:bookmarkStart w:id="60" w:name="_Toc147305016"/>
      <w:bookmarkStart w:id="61" w:name="_Toc147313791"/>
      <w:bookmarkStart w:id="62" w:name="_Toc147630398"/>
      <w:bookmarkStart w:id="63" w:name="_Toc147630772"/>
      <w:bookmarkStart w:id="64" w:name="_Toc147631917"/>
      <w:bookmarkStart w:id="65" w:name="_Toc147631986"/>
      <w:bookmarkStart w:id="66" w:name="_Toc157844274"/>
      <w:bookmarkStart w:id="67" w:name="_Toc241051482"/>
      <w:bookmarkStart w:id="68" w:name="_Toc259540298"/>
      <w:bookmarkStart w:id="69" w:name="_Toc259540453"/>
      <w:bookmarkStart w:id="70" w:name="_Toc260209981"/>
      <w:bookmarkStart w:id="71" w:name="_Toc261875540"/>
      <w:bookmarkStart w:id="72" w:name="_Toc262222432"/>
      <w:bookmarkStart w:id="73" w:name="_Toc263414922"/>
      <w:bookmarkStart w:id="74" w:name="_Toc263415606"/>
      <w:bookmarkStart w:id="75" w:name="_Toc267647261"/>
      <w:bookmarkStart w:id="76" w:name="_Toc274203223"/>
      <w:r>
        <w:rPr>
          <w:rStyle w:val="CharPartNo"/>
        </w:rPr>
        <w:t>Part II</w:t>
      </w:r>
      <w:r>
        <w:rPr>
          <w:rStyle w:val="CharDivNo"/>
        </w:rPr>
        <w:t> </w:t>
      </w:r>
      <w:r>
        <w:t>—</w:t>
      </w:r>
      <w:r>
        <w:rPr>
          <w:rStyle w:val="CharDivText"/>
        </w:rPr>
        <w:t> </w:t>
      </w:r>
      <w:r>
        <w:rPr>
          <w:rStyle w:val="CharPartText"/>
        </w:rPr>
        <w:t>Administration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95730145"/>
      <w:bookmarkStart w:id="78" w:name="_Toc147630773"/>
      <w:bookmarkStart w:id="79" w:name="_Toc274203224"/>
      <w:r>
        <w:rPr>
          <w:rStyle w:val="CharSectno"/>
        </w:rPr>
        <w:t>5</w:t>
      </w:r>
      <w:r>
        <w:rPr>
          <w:snapToGrid w:val="0"/>
        </w:rPr>
        <w:t>.</w:t>
      </w:r>
      <w:r>
        <w:rPr>
          <w:snapToGrid w:val="0"/>
        </w:rPr>
        <w:tab/>
        <w:t>Construction Industry Long Service Leave Payments Board established</w:t>
      </w:r>
      <w:bookmarkEnd w:id="77"/>
      <w:bookmarkEnd w:id="78"/>
      <w:bookmarkEnd w:id="79"/>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80" w:name="_Toc95730146"/>
      <w:bookmarkStart w:id="81" w:name="_Toc147630774"/>
      <w:bookmarkStart w:id="82" w:name="_Toc274203225"/>
      <w:r>
        <w:rPr>
          <w:rStyle w:val="CharSectno"/>
        </w:rPr>
        <w:t>6</w:t>
      </w:r>
      <w:r>
        <w:rPr>
          <w:snapToGrid w:val="0"/>
        </w:rPr>
        <w:t>.</w:t>
      </w:r>
      <w:r>
        <w:rPr>
          <w:snapToGrid w:val="0"/>
        </w:rPr>
        <w:tab/>
        <w:t>Membership of Board</w:t>
      </w:r>
      <w:bookmarkEnd w:id="80"/>
      <w:bookmarkEnd w:id="81"/>
      <w:bookmarkEnd w:id="82"/>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 xml:space="preserve">(a) </w:t>
      </w:r>
      <w:r>
        <w:rPr>
          <w:snapToGrid w:val="0"/>
        </w:rPr>
        <w:tab/>
        <w:t>one person who shall be chairman;</w:t>
      </w:r>
    </w:p>
    <w:p>
      <w:pPr>
        <w:pStyle w:val="Indenta"/>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 6 amended by No. 8 of 2009 s. 39.]</w:t>
      </w:r>
    </w:p>
    <w:p>
      <w:pPr>
        <w:pStyle w:val="Heading5"/>
        <w:rPr>
          <w:snapToGrid w:val="0"/>
        </w:rPr>
      </w:pPr>
      <w:bookmarkStart w:id="83" w:name="_Toc95730147"/>
      <w:bookmarkStart w:id="84" w:name="_Toc147630775"/>
      <w:bookmarkStart w:id="85" w:name="_Toc274203226"/>
      <w:r>
        <w:rPr>
          <w:rStyle w:val="CharSectno"/>
        </w:rPr>
        <w:t>7</w:t>
      </w:r>
      <w:r>
        <w:rPr>
          <w:snapToGrid w:val="0"/>
        </w:rPr>
        <w:t>.</w:t>
      </w:r>
      <w:r>
        <w:rPr>
          <w:snapToGrid w:val="0"/>
        </w:rPr>
        <w:tab/>
        <w:t>Acting members</w:t>
      </w:r>
      <w:bookmarkEnd w:id="83"/>
      <w:bookmarkEnd w:id="84"/>
      <w:bookmarkEnd w:id="8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other than the chairman is absent or temporarily incapable of fulfilling the duties of a member; or</w:t>
      </w:r>
    </w:p>
    <w:p>
      <w:pPr>
        <w:pStyle w:val="Indenta"/>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86" w:name="_Toc95730148"/>
      <w:bookmarkStart w:id="87" w:name="_Toc147630776"/>
      <w:bookmarkStart w:id="88" w:name="_Toc274203227"/>
      <w:r>
        <w:rPr>
          <w:rStyle w:val="CharSectno"/>
        </w:rPr>
        <w:t>8</w:t>
      </w:r>
      <w:r>
        <w:rPr>
          <w:snapToGrid w:val="0"/>
        </w:rPr>
        <w:t>.</w:t>
      </w:r>
      <w:r>
        <w:rPr>
          <w:snapToGrid w:val="0"/>
        </w:rPr>
        <w:tab/>
        <w:t>Vacation of office</w:t>
      </w:r>
      <w:bookmarkEnd w:id="86"/>
      <w:bookmarkEnd w:id="87"/>
      <w:bookmarkEnd w:id="88"/>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his appointment is terminated by the Minister under subsection (1); or</w:t>
      </w:r>
    </w:p>
    <w:p>
      <w:pPr>
        <w:pStyle w:val="Indenta"/>
        <w:rPr>
          <w:snapToGrid w:val="0"/>
        </w:rPr>
      </w:pPr>
      <w:r>
        <w:rPr>
          <w:snapToGrid w:val="0"/>
        </w:rPr>
        <w:tab/>
        <w:t>(c)</w:t>
      </w:r>
      <w:r>
        <w:rPr>
          <w:snapToGrid w:val="0"/>
        </w:rPr>
        <w:tab/>
        <w:t>he is absent, except on leave duly granted by the Minister, from 3 consecutive meetings of the Board of which he has had notice; or</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w:t>
      </w:r>
    </w:p>
    <w:p>
      <w:pPr>
        <w:pStyle w:val="Heading5"/>
        <w:rPr>
          <w:snapToGrid w:val="0"/>
        </w:rPr>
      </w:pPr>
      <w:bookmarkStart w:id="89" w:name="_Toc95730149"/>
      <w:bookmarkStart w:id="90" w:name="_Toc147630777"/>
      <w:bookmarkStart w:id="91" w:name="_Toc274203228"/>
      <w:r>
        <w:rPr>
          <w:rStyle w:val="CharSectno"/>
        </w:rPr>
        <w:t>9</w:t>
      </w:r>
      <w:r>
        <w:rPr>
          <w:snapToGrid w:val="0"/>
        </w:rPr>
        <w:t>.</w:t>
      </w:r>
      <w:r>
        <w:rPr>
          <w:snapToGrid w:val="0"/>
        </w:rPr>
        <w:tab/>
        <w:t>Fees and allowances</w:t>
      </w:r>
      <w:bookmarkEnd w:id="89"/>
      <w:bookmarkEnd w:id="90"/>
      <w:bookmarkEnd w:id="91"/>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92" w:name="_Toc95730150"/>
      <w:bookmarkStart w:id="93" w:name="_Toc147630778"/>
      <w:bookmarkStart w:id="94" w:name="_Toc274203229"/>
      <w:r>
        <w:rPr>
          <w:rStyle w:val="CharSectno"/>
        </w:rPr>
        <w:t>10</w:t>
      </w:r>
      <w:r>
        <w:rPr>
          <w:snapToGrid w:val="0"/>
        </w:rPr>
        <w:t>.</w:t>
      </w:r>
      <w:r>
        <w:rPr>
          <w:snapToGrid w:val="0"/>
        </w:rPr>
        <w:tab/>
        <w:t>Meetings of Board and disclosure of interest</w:t>
      </w:r>
      <w:bookmarkEnd w:id="92"/>
      <w:bookmarkEnd w:id="93"/>
      <w:bookmarkEnd w:id="94"/>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95" w:name="_Toc95730151"/>
      <w:bookmarkStart w:id="96" w:name="_Toc147630779"/>
      <w:bookmarkStart w:id="97" w:name="_Toc274203230"/>
      <w:r>
        <w:rPr>
          <w:rStyle w:val="CharSectno"/>
        </w:rPr>
        <w:t>11</w:t>
      </w:r>
      <w:r>
        <w:rPr>
          <w:snapToGrid w:val="0"/>
        </w:rPr>
        <w:t>.</w:t>
      </w:r>
      <w:r>
        <w:rPr>
          <w:snapToGrid w:val="0"/>
        </w:rPr>
        <w:tab/>
        <w:t>Minister may require Board to give information</w:t>
      </w:r>
      <w:bookmarkEnd w:id="95"/>
      <w:bookmarkEnd w:id="96"/>
      <w:bookmarkEnd w:id="97"/>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98" w:name="_Toc95730152"/>
      <w:bookmarkStart w:id="99" w:name="_Toc147630780"/>
      <w:bookmarkStart w:id="100" w:name="_Toc274203231"/>
      <w:r>
        <w:rPr>
          <w:rStyle w:val="CharSectno"/>
        </w:rPr>
        <w:t>12</w:t>
      </w:r>
      <w:r>
        <w:rPr>
          <w:snapToGrid w:val="0"/>
        </w:rPr>
        <w:t>.</w:t>
      </w:r>
      <w:r>
        <w:rPr>
          <w:snapToGrid w:val="0"/>
        </w:rPr>
        <w:tab/>
        <w:t>Indemnity</w:t>
      </w:r>
      <w:bookmarkEnd w:id="98"/>
      <w:bookmarkEnd w:id="99"/>
      <w:bookmarkEnd w:id="100"/>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01" w:name="_Toc95730153"/>
      <w:bookmarkStart w:id="102" w:name="_Toc147630781"/>
      <w:bookmarkStart w:id="103" w:name="_Toc274203232"/>
      <w:r>
        <w:rPr>
          <w:rStyle w:val="CharSectno"/>
        </w:rPr>
        <w:t>13</w:t>
      </w:r>
      <w:r>
        <w:rPr>
          <w:snapToGrid w:val="0"/>
        </w:rPr>
        <w:t>.</w:t>
      </w:r>
      <w:r>
        <w:rPr>
          <w:snapToGrid w:val="0"/>
        </w:rPr>
        <w:tab/>
        <w:t>Staff</w:t>
      </w:r>
      <w:bookmarkEnd w:id="101"/>
      <w:bookmarkEnd w:id="102"/>
      <w:bookmarkEnd w:id="103"/>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04" w:name="_Toc95730154"/>
      <w:bookmarkStart w:id="105" w:name="_Toc147630782"/>
      <w:bookmarkStart w:id="106" w:name="_Toc274203233"/>
      <w:r>
        <w:rPr>
          <w:rStyle w:val="CharSectno"/>
        </w:rPr>
        <w:t>14</w:t>
      </w:r>
      <w:r>
        <w:rPr>
          <w:snapToGrid w:val="0"/>
        </w:rPr>
        <w:t>.</w:t>
      </w:r>
      <w:r>
        <w:rPr>
          <w:snapToGrid w:val="0"/>
        </w:rPr>
        <w:tab/>
        <w:t>Functions of Board</w:t>
      </w:r>
      <w:bookmarkEnd w:id="104"/>
      <w:bookmarkEnd w:id="105"/>
      <w:bookmarkEnd w:id="106"/>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07" w:name="_Toc95730155"/>
      <w:bookmarkStart w:id="108" w:name="_Toc147630783"/>
      <w:bookmarkStart w:id="109" w:name="_Toc274203234"/>
      <w:r>
        <w:rPr>
          <w:rStyle w:val="CharSectno"/>
        </w:rPr>
        <w:t>15</w:t>
      </w:r>
      <w:r>
        <w:rPr>
          <w:snapToGrid w:val="0"/>
        </w:rPr>
        <w:t>.</w:t>
      </w:r>
      <w:r>
        <w:rPr>
          <w:snapToGrid w:val="0"/>
        </w:rPr>
        <w:tab/>
        <w:t>Funds of Board</w:t>
      </w:r>
      <w:bookmarkEnd w:id="107"/>
      <w:bookmarkEnd w:id="108"/>
      <w:bookmarkEnd w:id="109"/>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keepNext/>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10" w:name="_Toc95730156"/>
      <w:bookmarkStart w:id="111" w:name="_Toc147630784"/>
      <w:bookmarkStart w:id="112" w:name="_Toc274203235"/>
      <w:r>
        <w:rPr>
          <w:rStyle w:val="CharSectno"/>
        </w:rPr>
        <w:t>16</w:t>
      </w:r>
      <w:r>
        <w:rPr>
          <w:snapToGrid w:val="0"/>
        </w:rPr>
        <w:t>.</w:t>
      </w:r>
      <w:r>
        <w:rPr>
          <w:snapToGrid w:val="0"/>
        </w:rPr>
        <w:tab/>
        <w:t>Power to borrow and guarantee</w:t>
      </w:r>
      <w:bookmarkEnd w:id="110"/>
      <w:bookmarkEnd w:id="111"/>
      <w:bookmarkEnd w:id="112"/>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113" w:name="_Toc95730157"/>
      <w:bookmarkStart w:id="114" w:name="_Toc147630785"/>
      <w:bookmarkStart w:id="115" w:name="_Toc274203236"/>
      <w:r>
        <w:rPr>
          <w:rStyle w:val="CharSectno"/>
        </w:rPr>
        <w:t>17</w:t>
      </w:r>
      <w:r>
        <w:rPr>
          <w:snapToGrid w:val="0"/>
        </w:rPr>
        <w:t>.</w:t>
      </w:r>
      <w:r>
        <w:rPr>
          <w:snapToGrid w:val="0"/>
        </w:rPr>
        <w:tab/>
        <w:t>Notification of certain contracts to be given to Minister</w:t>
      </w:r>
      <w:bookmarkEnd w:id="113"/>
      <w:bookmarkEnd w:id="114"/>
      <w:bookmarkEnd w:id="115"/>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16" w:name="_Toc95730158"/>
      <w:bookmarkStart w:id="117" w:name="_Toc147630786"/>
      <w:bookmarkStart w:id="118" w:name="_Toc274203237"/>
      <w:r>
        <w:rPr>
          <w:rStyle w:val="CharSectno"/>
        </w:rPr>
        <w:t>18</w:t>
      </w:r>
      <w:r>
        <w:rPr>
          <w:snapToGrid w:val="0"/>
        </w:rPr>
        <w:t>.</w:t>
      </w:r>
      <w:r>
        <w:rPr>
          <w:snapToGrid w:val="0"/>
        </w:rPr>
        <w:tab/>
        <w:t xml:space="preserve">Application of </w:t>
      </w:r>
      <w:bookmarkEnd w:id="116"/>
      <w:bookmarkEnd w:id="117"/>
      <w:r>
        <w:rPr>
          <w:i/>
          <w:iCs/>
        </w:rPr>
        <w:t>Financial Management Act 2006</w:t>
      </w:r>
      <w:r>
        <w:t xml:space="preserve"> and </w:t>
      </w:r>
      <w:r>
        <w:rPr>
          <w:i/>
          <w:iCs/>
        </w:rPr>
        <w:t>Auditor General Act 2006</w:t>
      </w:r>
      <w:bookmarkEnd w:id="11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119" w:name="_Toc95730159"/>
      <w:bookmarkStart w:id="120" w:name="_Toc147630787"/>
      <w:bookmarkStart w:id="121" w:name="_Toc274203238"/>
      <w:r>
        <w:rPr>
          <w:rStyle w:val="CharSectno"/>
        </w:rPr>
        <w:t>19</w:t>
      </w:r>
      <w:r>
        <w:rPr>
          <w:snapToGrid w:val="0"/>
        </w:rPr>
        <w:t>.</w:t>
      </w:r>
      <w:r>
        <w:rPr>
          <w:snapToGrid w:val="0"/>
        </w:rPr>
        <w:tab/>
        <w:t>Investigations by actuary</w:t>
      </w:r>
      <w:bookmarkEnd w:id="119"/>
      <w:bookmarkEnd w:id="120"/>
      <w:bookmarkEnd w:id="121"/>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22" w:name="_Toc95729743"/>
      <w:bookmarkStart w:id="123" w:name="_Toc95729808"/>
      <w:bookmarkStart w:id="124" w:name="_Toc95730160"/>
      <w:bookmarkStart w:id="125" w:name="_Toc95730234"/>
      <w:bookmarkStart w:id="126" w:name="_Toc97003721"/>
      <w:bookmarkStart w:id="127" w:name="_Toc102810440"/>
      <w:bookmarkStart w:id="128" w:name="_Toc116956539"/>
      <w:bookmarkStart w:id="129" w:name="_Toc116956603"/>
      <w:bookmarkStart w:id="130" w:name="_Toc116960868"/>
      <w:bookmarkStart w:id="131" w:name="_Toc118525503"/>
      <w:bookmarkStart w:id="132" w:name="_Toc118525809"/>
      <w:bookmarkStart w:id="133" w:name="_Toc120001185"/>
      <w:bookmarkStart w:id="134" w:name="_Toc139864271"/>
      <w:bookmarkStart w:id="135" w:name="_Toc140029725"/>
      <w:bookmarkStart w:id="136" w:name="_Toc140029793"/>
      <w:bookmarkStart w:id="137" w:name="_Toc147305032"/>
      <w:bookmarkStart w:id="138" w:name="_Toc147313807"/>
      <w:bookmarkStart w:id="139" w:name="_Toc147630414"/>
      <w:bookmarkStart w:id="140" w:name="_Toc147630788"/>
      <w:bookmarkStart w:id="141" w:name="_Toc147631933"/>
      <w:bookmarkStart w:id="142" w:name="_Toc147632002"/>
      <w:bookmarkStart w:id="143" w:name="_Toc157844290"/>
      <w:bookmarkStart w:id="144" w:name="_Toc241051498"/>
      <w:bookmarkStart w:id="145" w:name="_Toc259540314"/>
      <w:bookmarkStart w:id="146" w:name="_Toc259540469"/>
      <w:bookmarkStart w:id="147" w:name="_Toc260209997"/>
      <w:bookmarkStart w:id="148" w:name="_Toc261875556"/>
      <w:bookmarkStart w:id="149" w:name="_Toc262222448"/>
      <w:bookmarkStart w:id="150" w:name="_Toc263414938"/>
      <w:bookmarkStart w:id="151" w:name="_Toc263415622"/>
      <w:bookmarkStart w:id="152" w:name="_Toc267647277"/>
      <w:bookmarkStart w:id="153" w:name="_Toc274203239"/>
      <w:r>
        <w:rPr>
          <w:rStyle w:val="CharPartNo"/>
        </w:rPr>
        <w:t>Part III</w:t>
      </w:r>
      <w:r>
        <w:rPr>
          <w:rStyle w:val="CharDivNo"/>
        </w:rPr>
        <w:t> </w:t>
      </w:r>
      <w:r>
        <w:t>—</w:t>
      </w:r>
      <w:r>
        <w:rPr>
          <w:rStyle w:val="CharDivText"/>
        </w:rPr>
        <w:t> </w:t>
      </w:r>
      <w:r>
        <w:rPr>
          <w:rStyle w:val="CharPartText"/>
        </w:rPr>
        <w:t>Entitlement to long service leave and pay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95730161"/>
      <w:bookmarkStart w:id="155" w:name="_Toc147630789"/>
      <w:bookmarkStart w:id="156" w:name="_Toc274203240"/>
      <w:r>
        <w:rPr>
          <w:rStyle w:val="CharSectno"/>
        </w:rPr>
        <w:t>21</w:t>
      </w:r>
      <w:r>
        <w:rPr>
          <w:snapToGrid w:val="0"/>
        </w:rPr>
        <w:t>.</w:t>
      </w:r>
      <w:r>
        <w:rPr>
          <w:snapToGrid w:val="0"/>
        </w:rPr>
        <w:tab/>
        <w:t>Entitlement to paid long service leave and pay</w:t>
      </w:r>
      <w:bookmarkEnd w:id="154"/>
      <w:bookmarkEnd w:id="155"/>
      <w:bookmarkEnd w:id="156"/>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keepNext/>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rPr>
          <w:rFonts w:ascii="Times" w:hAnsi="Times"/>
        </w:rPr>
      </w:pPr>
      <w:r>
        <w:tab/>
      </w:r>
      <w:r>
        <w:rPr>
          <w:rFonts w:ascii="Times" w:hAnsi="Times"/>
          <w:spacing w:val="-4"/>
        </w:rPr>
        <w:t>[Section 21 amended by No. 30 of 1989 s. 6; No. 36 of 2006 s. 45.</w:t>
      </w:r>
      <w:r>
        <w:rPr>
          <w:rFonts w:ascii="Times" w:hAnsi="Times"/>
        </w:rPr>
        <w:t>]</w:t>
      </w:r>
    </w:p>
    <w:p>
      <w:pPr>
        <w:pStyle w:val="Heading5"/>
        <w:spacing w:before="160"/>
        <w:rPr>
          <w:snapToGrid w:val="0"/>
        </w:rPr>
      </w:pPr>
      <w:bookmarkStart w:id="157" w:name="_Toc95730162"/>
      <w:bookmarkStart w:id="158" w:name="_Toc147630790"/>
      <w:bookmarkStart w:id="159" w:name="_Toc274203241"/>
      <w:r>
        <w:rPr>
          <w:rStyle w:val="CharSectno"/>
        </w:rPr>
        <w:t>22</w:t>
      </w:r>
      <w:r>
        <w:rPr>
          <w:snapToGrid w:val="0"/>
        </w:rPr>
        <w:t>.</w:t>
      </w:r>
      <w:r>
        <w:rPr>
          <w:snapToGrid w:val="0"/>
        </w:rPr>
        <w:tab/>
        <w:t>Lump sum payments</w:t>
      </w:r>
      <w:bookmarkEnd w:id="157"/>
      <w:bookmarkEnd w:id="158"/>
      <w:bookmarkEnd w:id="159"/>
    </w:p>
    <w:p>
      <w:pPr>
        <w:pStyle w:val="Subsection"/>
        <w:spacing w:before="12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2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6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60" w:name="_Toc95730163"/>
      <w:bookmarkStart w:id="161" w:name="_Toc147630791"/>
      <w:bookmarkStart w:id="162" w:name="_Toc274203242"/>
      <w:r>
        <w:rPr>
          <w:rStyle w:val="CharSectno"/>
        </w:rPr>
        <w:t>23</w:t>
      </w:r>
      <w:r>
        <w:rPr>
          <w:snapToGrid w:val="0"/>
        </w:rPr>
        <w:t>.</w:t>
      </w:r>
      <w:r>
        <w:rPr>
          <w:snapToGrid w:val="0"/>
        </w:rPr>
        <w:tab/>
        <w:t>Cessation of continuous service entitlement</w:t>
      </w:r>
      <w:bookmarkEnd w:id="160"/>
      <w:bookmarkEnd w:id="161"/>
      <w:bookmarkEnd w:id="162"/>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63" w:name="_Toc95730164"/>
      <w:bookmarkStart w:id="164" w:name="_Toc147630792"/>
      <w:bookmarkStart w:id="165" w:name="_Toc274203243"/>
      <w:r>
        <w:rPr>
          <w:rStyle w:val="CharSectno"/>
        </w:rPr>
        <w:t>24</w:t>
      </w:r>
      <w:r>
        <w:rPr>
          <w:snapToGrid w:val="0"/>
        </w:rPr>
        <w:t>.</w:t>
      </w:r>
      <w:r>
        <w:rPr>
          <w:snapToGrid w:val="0"/>
        </w:rPr>
        <w:tab/>
        <w:t>Taking of leave</w:t>
      </w:r>
      <w:bookmarkEnd w:id="163"/>
      <w:bookmarkEnd w:id="164"/>
      <w:bookmarkEnd w:id="165"/>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spacing w:before="120"/>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spacing w:before="120"/>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spacing w:before="180"/>
        <w:rPr>
          <w:snapToGrid w:val="0"/>
        </w:rPr>
      </w:pPr>
      <w:bookmarkStart w:id="166" w:name="_Toc95730165"/>
      <w:bookmarkStart w:id="167" w:name="_Toc147630793"/>
      <w:bookmarkStart w:id="168" w:name="_Toc274203244"/>
      <w:r>
        <w:rPr>
          <w:rStyle w:val="CharSectno"/>
        </w:rPr>
        <w:t>24A</w:t>
      </w:r>
      <w:r>
        <w:rPr>
          <w:snapToGrid w:val="0"/>
        </w:rPr>
        <w:t xml:space="preserve">. </w:t>
      </w:r>
      <w:r>
        <w:rPr>
          <w:snapToGrid w:val="0"/>
        </w:rPr>
        <w:tab/>
        <w:t>Proportional leave in advance after 7 years service</w:t>
      </w:r>
      <w:bookmarkEnd w:id="166"/>
      <w:bookmarkEnd w:id="167"/>
      <w:bookmarkEnd w:id="168"/>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spacing w:before="80"/>
        <w:ind w:left="890" w:hanging="890"/>
      </w:pPr>
      <w:r>
        <w:tab/>
        <w:t>[Section 24A inserted by No. 30 of 1989 s. 9; amended by No. 36 of 2006 s. 47.]</w:t>
      </w:r>
    </w:p>
    <w:p>
      <w:pPr>
        <w:pStyle w:val="Heading5"/>
        <w:rPr>
          <w:snapToGrid w:val="0"/>
        </w:rPr>
      </w:pPr>
      <w:bookmarkStart w:id="169" w:name="_Toc95730166"/>
      <w:bookmarkStart w:id="170" w:name="_Toc147630794"/>
      <w:bookmarkStart w:id="171" w:name="_Toc274203245"/>
      <w:r>
        <w:rPr>
          <w:rStyle w:val="CharSectno"/>
        </w:rPr>
        <w:t>25</w:t>
      </w:r>
      <w:r>
        <w:rPr>
          <w:snapToGrid w:val="0"/>
        </w:rPr>
        <w:t>.</w:t>
      </w:r>
      <w:r>
        <w:rPr>
          <w:snapToGrid w:val="0"/>
        </w:rPr>
        <w:tab/>
        <w:t>Payment when due</w:t>
      </w:r>
      <w:bookmarkEnd w:id="169"/>
      <w:bookmarkEnd w:id="170"/>
      <w:bookmarkEnd w:id="171"/>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172" w:name="_Toc95730168"/>
      <w:r>
        <w:t>[</w:t>
      </w:r>
      <w:r>
        <w:rPr>
          <w:b/>
        </w:rPr>
        <w:t>27.</w:t>
      </w:r>
      <w:r>
        <w:rPr>
          <w:b/>
        </w:rPr>
        <w:tab/>
      </w:r>
      <w:r>
        <w:t>Deleted by No. 36 of 2006 s. 48.]</w:t>
      </w:r>
    </w:p>
    <w:p>
      <w:pPr>
        <w:pStyle w:val="Heading5"/>
        <w:rPr>
          <w:snapToGrid w:val="0"/>
        </w:rPr>
      </w:pPr>
      <w:bookmarkStart w:id="173" w:name="_Toc147630795"/>
      <w:bookmarkStart w:id="174" w:name="_Toc274203246"/>
      <w:r>
        <w:rPr>
          <w:rStyle w:val="CharSectno"/>
        </w:rPr>
        <w:t>28</w:t>
      </w:r>
      <w:r>
        <w:rPr>
          <w:snapToGrid w:val="0"/>
        </w:rPr>
        <w:t>.</w:t>
      </w:r>
      <w:r>
        <w:rPr>
          <w:snapToGrid w:val="0"/>
        </w:rPr>
        <w:tab/>
        <w:t>Prohibition on other employment</w:t>
      </w:r>
      <w:bookmarkEnd w:id="172"/>
      <w:bookmarkEnd w:id="173"/>
      <w:bookmarkEnd w:id="174"/>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175" w:name="_Toc147630796"/>
      <w:bookmarkStart w:id="176" w:name="_Toc274203247"/>
      <w:bookmarkStart w:id="177" w:name="_Toc95730170"/>
      <w:r>
        <w:rPr>
          <w:rStyle w:val="CharSectno"/>
        </w:rPr>
        <w:t>29</w:t>
      </w:r>
      <w:r>
        <w:t>.</w:t>
      </w:r>
      <w:r>
        <w:tab/>
        <w:t>Public holidays</w:t>
      </w:r>
      <w:bookmarkEnd w:id="175"/>
      <w:bookmarkEnd w:id="176"/>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178" w:name="_Toc147630797"/>
      <w:bookmarkStart w:id="179" w:name="_Toc274203248"/>
      <w:r>
        <w:rPr>
          <w:rStyle w:val="CharSectno"/>
        </w:rPr>
        <w:t>29A</w:t>
      </w:r>
      <w:r>
        <w:rPr>
          <w:snapToGrid w:val="0"/>
        </w:rPr>
        <w:t xml:space="preserve">. </w:t>
      </w:r>
      <w:r>
        <w:rPr>
          <w:snapToGrid w:val="0"/>
        </w:rPr>
        <w:tab/>
        <w:t>Reciprocal arrangements</w:t>
      </w:r>
      <w:bookmarkEnd w:id="177"/>
      <w:bookmarkEnd w:id="178"/>
      <w:bookmarkEnd w:id="179"/>
    </w:p>
    <w:p>
      <w:pPr>
        <w:pStyle w:val="Subsection"/>
        <w:rPr>
          <w:snapToGrid w:val="0"/>
        </w:rPr>
      </w:pPr>
      <w:r>
        <w:rPr>
          <w:snapToGrid w:val="0"/>
        </w:rPr>
        <w:tab/>
        <w:t>(1)</w:t>
      </w:r>
      <w:r>
        <w:rPr>
          <w:snapToGrid w:val="0"/>
        </w:rPr>
        <w:tab/>
        <w:t>In this section —</w:t>
      </w:r>
    </w:p>
    <w:p>
      <w:pPr>
        <w:pStyle w:val="Defstart"/>
        <w:rPr>
          <w:spacing w:val="-6"/>
        </w:rPr>
      </w:pPr>
      <w:r>
        <w:rPr>
          <w:b/>
          <w:spacing w:val="-6"/>
        </w:rPr>
        <w:tab/>
      </w:r>
      <w:r>
        <w:rPr>
          <w:rStyle w:val="CharDefText"/>
          <w:spacing w:val="-6"/>
        </w:rPr>
        <w:t>construction industry</w:t>
      </w:r>
      <w:r>
        <w:rPr>
          <w:spacing w:val="-6"/>
        </w:rP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80" w:name="_Toc95729754"/>
      <w:bookmarkStart w:id="181" w:name="_Toc95729819"/>
      <w:bookmarkStart w:id="182" w:name="_Toc95730171"/>
      <w:bookmarkStart w:id="183" w:name="_Toc95730245"/>
      <w:bookmarkStart w:id="184" w:name="_Toc97003732"/>
      <w:bookmarkStart w:id="185" w:name="_Toc102810451"/>
      <w:bookmarkStart w:id="186" w:name="_Toc116956550"/>
      <w:bookmarkStart w:id="187" w:name="_Toc116956614"/>
      <w:bookmarkStart w:id="188" w:name="_Toc116960879"/>
      <w:bookmarkStart w:id="189" w:name="_Toc118525514"/>
      <w:bookmarkStart w:id="190" w:name="_Toc118525820"/>
      <w:bookmarkStart w:id="191" w:name="_Toc120001196"/>
      <w:bookmarkStart w:id="192" w:name="_Toc139864282"/>
      <w:bookmarkStart w:id="193" w:name="_Toc140029736"/>
      <w:bookmarkStart w:id="194" w:name="_Toc140029804"/>
      <w:bookmarkStart w:id="195" w:name="_Toc147305044"/>
      <w:bookmarkStart w:id="196" w:name="_Toc147313819"/>
      <w:bookmarkStart w:id="197" w:name="_Toc147630424"/>
      <w:bookmarkStart w:id="198" w:name="_Toc147630798"/>
      <w:bookmarkStart w:id="199" w:name="_Toc147631943"/>
      <w:bookmarkStart w:id="200" w:name="_Toc147632012"/>
      <w:bookmarkStart w:id="201" w:name="_Toc157844300"/>
      <w:bookmarkStart w:id="202" w:name="_Toc241051508"/>
      <w:bookmarkStart w:id="203" w:name="_Toc259540324"/>
      <w:bookmarkStart w:id="204" w:name="_Toc259540479"/>
      <w:bookmarkStart w:id="205" w:name="_Toc260210007"/>
      <w:bookmarkStart w:id="206" w:name="_Toc261875566"/>
      <w:bookmarkStart w:id="207" w:name="_Toc262222458"/>
      <w:bookmarkStart w:id="208" w:name="_Toc263414948"/>
      <w:bookmarkStart w:id="209" w:name="_Toc263415632"/>
      <w:bookmarkStart w:id="210" w:name="_Toc267647287"/>
      <w:bookmarkStart w:id="211" w:name="_Toc274203249"/>
      <w:r>
        <w:rPr>
          <w:rStyle w:val="CharPartNo"/>
        </w:rPr>
        <w:t>Part IV</w:t>
      </w:r>
      <w:r>
        <w:rPr>
          <w:rStyle w:val="CharDivNo"/>
        </w:rPr>
        <w:t> </w:t>
      </w:r>
      <w:r>
        <w:t>—</w:t>
      </w:r>
      <w:r>
        <w:rPr>
          <w:rStyle w:val="CharDivText"/>
        </w:rPr>
        <w:t> </w:t>
      </w:r>
      <w:r>
        <w:rPr>
          <w:rStyle w:val="CharPartText"/>
        </w:rPr>
        <w:t>Registration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95730172"/>
      <w:bookmarkStart w:id="213" w:name="_Toc147630799"/>
      <w:bookmarkStart w:id="214" w:name="_Toc274203250"/>
      <w:r>
        <w:rPr>
          <w:rStyle w:val="CharSectno"/>
        </w:rPr>
        <w:t>30</w:t>
      </w:r>
      <w:r>
        <w:rPr>
          <w:snapToGrid w:val="0"/>
        </w:rPr>
        <w:t>.</w:t>
      </w:r>
      <w:r>
        <w:rPr>
          <w:snapToGrid w:val="0"/>
        </w:rPr>
        <w:tab/>
        <w:t>Registration of employers and employees</w:t>
      </w:r>
      <w:bookmarkEnd w:id="212"/>
      <w:bookmarkEnd w:id="213"/>
      <w:bookmarkEnd w:id="214"/>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spacing w:before="12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2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215" w:name="_Toc95730173"/>
      <w:bookmarkStart w:id="216" w:name="_Toc147630800"/>
      <w:bookmarkStart w:id="217" w:name="_Toc274203251"/>
      <w:r>
        <w:rPr>
          <w:rStyle w:val="CharSectno"/>
        </w:rPr>
        <w:t>31</w:t>
      </w:r>
      <w:r>
        <w:rPr>
          <w:snapToGrid w:val="0"/>
        </w:rPr>
        <w:t>.</w:t>
      </w:r>
      <w:r>
        <w:rPr>
          <w:snapToGrid w:val="0"/>
        </w:rPr>
        <w:tab/>
        <w:t>Return to be made by employer</w:t>
      </w:r>
      <w:bookmarkEnd w:id="215"/>
      <w:bookmarkEnd w:id="216"/>
      <w:bookmarkEnd w:id="217"/>
    </w:p>
    <w:p>
      <w:pPr>
        <w:pStyle w:val="Subsection"/>
        <w:spacing w:before="120"/>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spacing w:before="120"/>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keepNext w:val="0"/>
        <w:keepLines w:val="0"/>
        <w:spacing w:before="160"/>
        <w:rPr>
          <w:snapToGrid w:val="0"/>
        </w:rPr>
      </w:pPr>
      <w:bookmarkStart w:id="218" w:name="_Toc95730174"/>
      <w:bookmarkStart w:id="219" w:name="_Toc147630801"/>
      <w:bookmarkStart w:id="220" w:name="_Toc274203252"/>
      <w:r>
        <w:rPr>
          <w:rStyle w:val="CharSectno"/>
        </w:rPr>
        <w:t>32</w:t>
      </w:r>
      <w:r>
        <w:rPr>
          <w:snapToGrid w:val="0"/>
        </w:rPr>
        <w:t>.</w:t>
      </w:r>
      <w:r>
        <w:rPr>
          <w:snapToGrid w:val="0"/>
        </w:rPr>
        <w:tab/>
        <w:t>Employer to maintain record of employees</w:t>
      </w:r>
      <w:bookmarkEnd w:id="218"/>
      <w:bookmarkEnd w:id="219"/>
      <w:bookmarkEnd w:id="220"/>
    </w:p>
    <w:p>
      <w:pPr>
        <w:pStyle w:val="Subsection"/>
        <w:spacing w:before="120"/>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221" w:name="_Toc95730175"/>
      <w:bookmarkStart w:id="222" w:name="_Toc147630802"/>
      <w:bookmarkStart w:id="223" w:name="_Toc274203253"/>
      <w:r>
        <w:rPr>
          <w:rStyle w:val="CharSectno"/>
        </w:rPr>
        <w:t>33</w:t>
      </w:r>
      <w:r>
        <w:rPr>
          <w:snapToGrid w:val="0"/>
        </w:rPr>
        <w:t>.</w:t>
      </w:r>
      <w:r>
        <w:rPr>
          <w:snapToGrid w:val="0"/>
        </w:rPr>
        <w:tab/>
        <w:t>Exempt employer</w:t>
      </w:r>
      <w:bookmarkEnd w:id="221"/>
      <w:bookmarkEnd w:id="222"/>
      <w:bookmarkEnd w:id="223"/>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24" w:name="_Toc95730176"/>
      <w:bookmarkStart w:id="225" w:name="_Toc147630803"/>
      <w:bookmarkStart w:id="226" w:name="_Toc274203254"/>
      <w:r>
        <w:rPr>
          <w:rStyle w:val="CharSectno"/>
        </w:rPr>
        <w:t>34</w:t>
      </w:r>
      <w:r>
        <w:rPr>
          <w:snapToGrid w:val="0"/>
        </w:rPr>
        <w:t>.</w:t>
      </w:r>
      <w:r>
        <w:rPr>
          <w:snapToGrid w:val="0"/>
        </w:rPr>
        <w:tab/>
        <w:t>Contribution by employer and assessment by Board</w:t>
      </w:r>
      <w:bookmarkEnd w:id="224"/>
      <w:bookmarkEnd w:id="225"/>
      <w:bookmarkEnd w:id="226"/>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27" w:name="_Toc95730177"/>
      <w:bookmarkStart w:id="228" w:name="_Toc147630804"/>
      <w:bookmarkStart w:id="229" w:name="_Toc274203255"/>
      <w:r>
        <w:rPr>
          <w:rStyle w:val="CharSectno"/>
        </w:rPr>
        <w:t>35</w:t>
      </w:r>
      <w:r>
        <w:rPr>
          <w:snapToGrid w:val="0"/>
        </w:rPr>
        <w:t>.</w:t>
      </w:r>
      <w:r>
        <w:rPr>
          <w:snapToGrid w:val="0"/>
        </w:rPr>
        <w:tab/>
        <w:t>Register of employers and register of employees</w:t>
      </w:r>
      <w:bookmarkEnd w:id="227"/>
      <w:bookmarkEnd w:id="228"/>
      <w:bookmarkEnd w:id="229"/>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30" w:name="_Toc95730178"/>
      <w:bookmarkStart w:id="231" w:name="_Toc147630805"/>
      <w:bookmarkStart w:id="232" w:name="_Toc274203256"/>
      <w:r>
        <w:rPr>
          <w:rStyle w:val="CharSectno"/>
        </w:rPr>
        <w:t>36</w:t>
      </w:r>
      <w:r>
        <w:rPr>
          <w:snapToGrid w:val="0"/>
        </w:rPr>
        <w:t>.</w:t>
      </w:r>
      <w:r>
        <w:rPr>
          <w:snapToGrid w:val="0"/>
        </w:rPr>
        <w:tab/>
        <w:t>Employer leaving Western Australia</w:t>
      </w:r>
      <w:bookmarkEnd w:id="230"/>
      <w:bookmarkEnd w:id="231"/>
      <w:bookmarkEnd w:id="232"/>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33" w:name="_Toc95730179"/>
      <w:bookmarkStart w:id="234" w:name="_Toc147630806"/>
      <w:bookmarkStart w:id="235" w:name="_Toc274203257"/>
      <w:r>
        <w:rPr>
          <w:rStyle w:val="CharSectno"/>
        </w:rPr>
        <w:t>37</w:t>
      </w:r>
      <w:r>
        <w:rPr>
          <w:snapToGrid w:val="0"/>
        </w:rPr>
        <w:t>.</w:t>
      </w:r>
      <w:r>
        <w:rPr>
          <w:snapToGrid w:val="0"/>
        </w:rPr>
        <w:tab/>
        <w:t>Recovery of long service leave contribution</w:t>
      </w:r>
      <w:bookmarkEnd w:id="233"/>
      <w:bookmarkEnd w:id="234"/>
      <w:bookmarkEnd w:id="235"/>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36" w:name="_Toc95730180"/>
      <w:bookmarkStart w:id="237" w:name="_Toc147630807"/>
      <w:bookmarkStart w:id="238" w:name="_Toc274203258"/>
      <w:r>
        <w:rPr>
          <w:rStyle w:val="CharSectno"/>
        </w:rPr>
        <w:t>38</w:t>
      </w:r>
      <w:r>
        <w:rPr>
          <w:snapToGrid w:val="0"/>
        </w:rPr>
        <w:t>.</w:t>
      </w:r>
      <w:r>
        <w:rPr>
          <w:snapToGrid w:val="0"/>
        </w:rPr>
        <w:tab/>
        <w:t>Liquidator to give notice</w:t>
      </w:r>
      <w:bookmarkEnd w:id="236"/>
      <w:bookmarkEnd w:id="237"/>
      <w:bookmarkEnd w:id="238"/>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239" w:name="_Toc95730181"/>
      <w:bookmarkStart w:id="240" w:name="_Toc147630808"/>
      <w:bookmarkStart w:id="241" w:name="_Toc274203259"/>
      <w:r>
        <w:rPr>
          <w:rStyle w:val="CharSectno"/>
        </w:rPr>
        <w:t>39</w:t>
      </w:r>
      <w:r>
        <w:rPr>
          <w:snapToGrid w:val="0"/>
        </w:rPr>
        <w:t>.</w:t>
      </w:r>
      <w:r>
        <w:rPr>
          <w:snapToGrid w:val="0"/>
        </w:rPr>
        <w:tab/>
        <w:t>Agent for absentee principal winding up business</w:t>
      </w:r>
      <w:bookmarkEnd w:id="239"/>
      <w:bookmarkEnd w:id="240"/>
      <w:bookmarkEnd w:id="241"/>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242" w:name="_Toc95730182"/>
      <w:bookmarkStart w:id="243" w:name="_Toc147630809"/>
      <w:bookmarkStart w:id="244" w:name="_Toc274203260"/>
      <w:r>
        <w:rPr>
          <w:rStyle w:val="CharSectno"/>
        </w:rPr>
        <w:t>40</w:t>
      </w:r>
      <w:r>
        <w:rPr>
          <w:snapToGrid w:val="0"/>
        </w:rPr>
        <w:t>.</w:t>
      </w:r>
      <w:r>
        <w:rPr>
          <w:snapToGrid w:val="0"/>
        </w:rPr>
        <w:tab/>
        <w:t>Where long service leave charges are not paid during lifetime</w:t>
      </w:r>
      <w:bookmarkEnd w:id="242"/>
      <w:bookmarkEnd w:id="243"/>
      <w:bookmarkEnd w:id="244"/>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45" w:name="_Toc95730183"/>
      <w:bookmarkStart w:id="246" w:name="_Toc147630810"/>
      <w:bookmarkStart w:id="247" w:name="_Toc274203261"/>
      <w:r>
        <w:rPr>
          <w:rStyle w:val="CharSectno"/>
        </w:rPr>
        <w:t>41</w:t>
      </w:r>
      <w:r>
        <w:rPr>
          <w:snapToGrid w:val="0"/>
        </w:rPr>
        <w:t>.</w:t>
      </w:r>
      <w:r>
        <w:rPr>
          <w:snapToGrid w:val="0"/>
        </w:rPr>
        <w:tab/>
        <w:t>Provisions for payment of long service leave charges by executors or administrators</w:t>
      </w:r>
      <w:bookmarkEnd w:id="245"/>
      <w:bookmarkEnd w:id="246"/>
      <w:bookmarkEnd w:id="247"/>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48" w:name="_Toc95730184"/>
      <w:bookmarkStart w:id="249" w:name="_Toc147630811"/>
      <w:bookmarkStart w:id="250" w:name="_Toc274203262"/>
      <w:r>
        <w:rPr>
          <w:rStyle w:val="CharSectno"/>
        </w:rPr>
        <w:t>42</w:t>
      </w:r>
      <w:r>
        <w:rPr>
          <w:snapToGrid w:val="0"/>
        </w:rPr>
        <w:t>.</w:t>
      </w:r>
      <w:r>
        <w:rPr>
          <w:snapToGrid w:val="0"/>
        </w:rPr>
        <w:tab/>
        <w:t>Contributions by joint employers</w:t>
      </w:r>
      <w:bookmarkEnd w:id="248"/>
      <w:bookmarkEnd w:id="249"/>
      <w:bookmarkEnd w:id="250"/>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51" w:name="_Toc95730185"/>
      <w:bookmarkStart w:id="252" w:name="_Toc147630812"/>
      <w:bookmarkStart w:id="253" w:name="_Toc274203263"/>
      <w:r>
        <w:rPr>
          <w:rStyle w:val="CharSectno"/>
        </w:rPr>
        <w:t>43</w:t>
      </w:r>
      <w:r>
        <w:rPr>
          <w:snapToGrid w:val="0"/>
        </w:rPr>
        <w:t>.</w:t>
      </w:r>
      <w:r>
        <w:rPr>
          <w:snapToGrid w:val="0"/>
        </w:rPr>
        <w:tab/>
        <w:t>Payment of penalties no relief from contributions</w:t>
      </w:r>
      <w:bookmarkEnd w:id="251"/>
      <w:bookmarkEnd w:id="252"/>
      <w:bookmarkEnd w:id="253"/>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54" w:name="_Toc95729769"/>
      <w:bookmarkStart w:id="255" w:name="_Toc95729834"/>
      <w:bookmarkStart w:id="256" w:name="_Toc95730186"/>
      <w:bookmarkStart w:id="257" w:name="_Toc95730260"/>
      <w:bookmarkStart w:id="258" w:name="_Toc97003747"/>
      <w:bookmarkStart w:id="259" w:name="_Toc102810466"/>
      <w:bookmarkStart w:id="260" w:name="_Toc116956565"/>
      <w:bookmarkStart w:id="261" w:name="_Toc116956629"/>
      <w:bookmarkStart w:id="262" w:name="_Toc116960894"/>
      <w:bookmarkStart w:id="263" w:name="_Toc118525529"/>
      <w:bookmarkStart w:id="264" w:name="_Toc118525835"/>
      <w:bookmarkStart w:id="265" w:name="_Toc120001211"/>
      <w:bookmarkStart w:id="266" w:name="_Toc139864297"/>
      <w:bookmarkStart w:id="267" w:name="_Toc140029751"/>
      <w:bookmarkStart w:id="268" w:name="_Toc140029819"/>
      <w:bookmarkStart w:id="269" w:name="_Toc147305059"/>
      <w:bookmarkStart w:id="270" w:name="_Toc147313834"/>
      <w:bookmarkStart w:id="271" w:name="_Toc147630439"/>
      <w:bookmarkStart w:id="272" w:name="_Toc147630813"/>
      <w:bookmarkStart w:id="273" w:name="_Toc147631958"/>
      <w:bookmarkStart w:id="274" w:name="_Toc147632027"/>
      <w:bookmarkStart w:id="275" w:name="_Toc157844315"/>
      <w:bookmarkStart w:id="276" w:name="_Toc241051523"/>
      <w:bookmarkStart w:id="277" w:name="_Toc259540339"/>
      <w:bookmarkStart w:id="278" w:name="_Toc259540494"/>
      <w:bookmarkStart w:id="279" w:name="_Toc260210022"/>
      <w:bookmarkStart w:id="280" w:name="_Toc261875581"/>
      <w:bookmarkStart w:id="281" w:name="_Toc262222473"/>
      <w:bookmarkStart w:id="282" w:name="_Toc263414963"/>
      <w:bookmarkStart w:id="283" w:name="_Toc263415647"/>
      <w:bookmarkStart w:id="284" w:name="_Toc267647302"/>
      <w:bookmarkStart w:id="285" w:name="_Toc274203264"/>
      <w:r>
        <w:rPr>
          <w:rStyle w:val="CharPartNo"/>
        </w:rPr>
        <w:t>Part V</w:t>
      </w:r>
      <w:r>
        <w:rPr>
          <w:rStyle w:val="CharDivNo"/>
        </w:rPr>
        <w:t> </w:t>
      </w:r>
      <w:r>
        <w:t>—</w:t>
      </w:r>
      <w:r>
        <w:rPr>
          <w:rStyle w:val="CharDivText"/>
        </w:rPr>
        <w:t> </w:t>
      </w:r>
      <w:r>
        <w:rPr>
          <w:rStyle w:val="CharPartText"/>
        </w:rPr>
        <w:t>Miscellaneous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95730187"/>
      <w:bookmarkStart w:id="287" w:name="_Toc147630814"/>
      <w:bookmarkStart w:id="288" w:name="_Toc274203265"/>
      <w:r>
        <w:rPr>
          <w:rStyle w:val="CharSectno"/>
        </w:rPr>
        <w:t>44</w:t>
      </w:r>
      <w:r>
        <w:rPr>
          <w:snapToGrid w:val="0"/>
        </w:rPr>
        <w:t>.</w:t>
      </w:r>
      <w:r>
        <w:rPr>
          <w:snapToGrid w:val="0"/>
        </w:rPr>
        <w:tab/>
        <w:t>Inspectors</w:t>
      </w:r>
      <w:bookmarkEnd w:id="286"/>
      <w:bookmarkEnd w:id="287"/>
      <w:bookmarkEnd w:id="288"/>
    </w:p>
    <w:p>
      <w:pPr>
        <w:pStyle w:val="Subsection"/>
        <w:spacing w:before="180"/>
        <w:rPr>
          <w:snapToGrid w:val="0"/>
        </w:rPr>
      </w:pPr>
      <w:r>
        <w:rPr>
          <w:snapToGrid w:val="0"/>
        </w:rPr>
        <w:tab/>
        <w:t>(1)</w:t>
      </w:r>
      <w:r>
        <w:rPr>
          <w:snapToGrid w:val="0"/>
        </w:rPr>
        <w:tab/>
        <w:t>The Board may engage or appoint such inspectors as are necessary for the purposes of this Act.</w:t>
      </w:r>
    </w:p>
    <w:p>
      <w:pPr>
        <w:pStyle w:val="Subsection"/>
        <w:spacing w:before="18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8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89" w:name="_Toc95730188"/>
      <w:bookmarkStart w:id="290" w:name="_Toc147630815"/>
      <w:bookmarkStart w:id="291" w:name="_Toc274203266"/>
      <w:r>
        <w:rPr>
          <w:rStyle w:val="CharSectno"/>
        </w:rPr>
        <w:t>45</w:t>
      </w:r>
      <w:r>
        <w:rPr>
          <w:snapToGrid w:val="0"/>
        </w:rPr>
        <w:t>.</w:t>
      </w:r>
      <w:r>
        <w:rPr>
          <w:snapToGrid w:val="0"/>
        </w:rPr>
        <w:tab/>
        <w:t>Power to obtain information and evidence</w:t>
      </w:r>
      <w:bookmarkEnd w:id="289"/>
      <w:bookmarkEnd w:id="290"/>
      <w:bookmarkEnd w:id="291"/>
    </w:p>
    <w:p>
      <w:pPr>
        <w:pStyle w:val="Subsection"/>
        <w:spacing w:before="18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80"/>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292" w:name="_Toc95730189"/>
      <w:bookmarkStart w:id="293" w:name="_Toc147630816"/>
      <w:bookmarkStart w:id="294" w:name="_Toc274203267"/>
      <w:r>
        <w:rPr>
          <w:rStyle w:val="CharSectno"/>
        </w:rPr>
        <w:t>46</w:t>
      </w:r>
      <w:r>
        <w:rPr>
          <w:snapToGrid w:val="0"/>
        </w:rPr>
        <w:t>.</w:t>
      </w:r>
      <w:r>
        <w:rPr>
          <w:snapToGrid w:val="0"/>
        </w:rPr>
        <w:tab/>
        <w:t>Access to books etc.</w:t>
      </w:r>
      <w:bookmarkEnd w:id="292"/>
      <w:bookmarkEnd w:id="293"/>
      <w:bookmarkEnd w:id="294"/>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295" w:name="_Toc95730190"/>
      <w:bookmarkStart w:id="296" w:name="_Toc147630817"/>
      <w:bookmarkStart w:id="297" w:name="_Toc274203268"/>
      <w:r>
        <w:rPr>
          <w:rStyle w:val="CharSectno"/>
        </w:rPr>
        <w:t>47</w:t>
      </w:r>
      <w:r>
        <w:rPr>
          <w:snapToGrid w:val="0"/>
        </w:rPr>
        <w:t>.</w:t>
      </w:r>
      <w:r>
        <w:rPr>
          <w:snapToGrid w:val="0"/>
        </w:rPr>
        <w:tab/>
        <w:t>Proceedings for offences against this Act</w:t>
      </w:r>
      <w:bookmarkEnd w:id="295"/>
      <w:bookmarkEnd w:id="296"/>
      <w:bookmarkEnd w:id="297"/>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298" w:name="_Toc95730191"/>
      <w:bookmarkStart w:id="299" w:name="_Toc147630818"/>
      <w:bookmarkStart w:id="300" w:name="_Toc274203269"/>
      <w:r>
        <w:rPr>
          <w:rStyle w:val="CharSectno"/>
        </w:rPr>
        <w:t>48</w:t>
      </w:r>
      <w:r>
        <w:rPr>
          <w:snapToGrid w:val="0"/>
        </w:rPr>
        <w:t>.</w:t>
      </w:r>
      <w:r>
        <w:rPr>
          <w:snapToGrid w:val="0"/>
        </w:rPr>
        <w:tab/>
        <w:t>Institution of proceedings</w:t>
      </w:r>
      <w:bookmarkEnd w:id="298"/>
      <w:bookmarkEnd w:id="299"/>
      <w:bookmarkEnd w:id="300"/>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301" w:name="_Toc95730192"/>
      <w:bookmarkStart w:id="302" w:name="_Toc147630819"/>
      <w:bookmarkStart w:id="303" w:name="_Toc274203270"/>
      <w:r>
        <w:rPr>
          <w:rStyle w:val="CharSectno"/>
        </w:rPr>
        <w:t>49</w:t>
      </w:r>
      <w:r>
        <w:rPr>
          <w:snapToGrid w:val="0"/>
        </w:rPr>
        <w:t>.</w:t>
      </w:r>
      <w:r>
        <w:rPr>
          <w:snapToGrid w:val="0"/>
        </w:rPr>
        <w:tab/>
        <w:t>Evidence</w:t>
      </w:r>
      <w:bookmarkEnd w:id="301"/>
      <w:bookmarkEnd w:id="302"/>
      <w:bookmarkEnd w:id="303"/>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304" w:name="_Toc95730193"/>
      <w:bookmarkStart w:id="305" w:name="_Toc147630820"/>
      <w:bookmarkStart w:id="306" w:name="_Toc274203271"/>
      <w:r>
        <w:rPr>
          <w:rStyle w:val="CharSectno"/>
        </w:rPr>
        <w:t>50</w:t>
      </w:r>
      <w:r>
        <w:rPr>
          <w:snapToGrid w:val="0"/>
        </w:rPr>
        <w:t>.</w:t>
      </w:r>
      <w:r>
        <w:rPr>
          <w:snapToGrid w:val="0"/>
        </w:rPr>
        <w:tab/>
        <w:t>Appeals</w:t>
      </w:r>
      <w:bookmarkEnd w:id="304"/>
      <w:bookmarkEnd w:id="305"/>
      <w:bookmarkEnd w:id="306"/>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307" w:name="_Toc95730194"/>
      <w:bookmarkStart w:id="308" w:name="_Toc147630821"/>
      <w:bookmarkStart w:id="309" w:name="_Toc274203272"/>
      <w:r>
        <w:rPr>
          <w:rStyle w:val="CharSectno"/>
        </w:rPr>
        <w:t>51</w:t>
      </w:r>
      <w:r>
        <w:rPr>
          <w:snapToGrid w:val="0"/>
        </w:rPr>
        <w:t>.</w:t>
      </w:r>
      <w:r>
        <w:rPr>
          <w:snapToGrid w:val="0"/>
        </w:rPr>
        <w:tab/>
        <w:t>Employee accumulating continuous service in more than one capacity</w:t>
      </w:r>
      <w:bookmarkEnd w:id="307"/>
      <w:bookmarkEnd w:id="308"/>
      <w:bookmarkEnd w:id="309"/>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10"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spacing w:before="240"/>
        <w:rPr>
          <w:snapToGrid w:val="0"/>
        </w:rPr>
      </w:pPr>
      <w:bookmarkStart w:id="311" w:name="_Toc147630822"/>
      <w:bookmarkStart w:id="312" w:name="_Toc274203273"/>
      <w:r>
        <w:rPr>
          <w:rStyle w:val="CharSectno"/>
        </w:rPr>
        <w:t>52</w:t>
      </w:r>
      <w:r>
        <w:rPr>
          <w:snapToGrid w:val="0"/>
        </w:rPr>
        <w:t>.</w:t>
      </w:r>
      <w:r>
        <w:rPr>
          <w:snapToGrid w:val="0"/>
        </w:rPr>
        <w:tab/>
        <w:t>Obstructing an inspector or other persons</w:t>
      </w:r>
      <w:bookmarkEnd w:id="310"/>
      <w:bookmarkEnd w:id="311"/>
      <w:bookmarkEnd w:id="312"/>
    </w:p>
    <w:p>
      <w:pPr>
        <w:pStyle w:val="Subsection"/>
        <w:spacing w:before="180"/>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spacing w:before="240"/>
        <w:rPr>
          <w:snapToGrid w:val="0"/>
        </w:rPr>
      </w:pPr>
      <w:bookmarkStart w:id="313" w:name="_Toc95730196"/>
      <w:bookmarkStart w:id="314" w:name="_Toc147630823"/>
      <w:bookmarkStart w:id="315" w:name="_Toc274203274"/>
      <w:r>
        <w:rPr>
          <w:rStyle w:val="CharSectno"/>
        </w:rPr>
        <w:t>53</w:t>
      </w:r>
      <w:r>
        <w:rPr>
          <w:snapToGrid w:val="0"/>
        </w:rPr>
        <w:t>.</w:t>
      </w:r>
      <w:r>
        <w:rPr>
          <w:snapToGrid w:val="0"/>
        </w:rPr>
        <w:tab/>
        <w:t>Protection of persons giving information under this Act</w:t>
      </w:r>
      <w:bookmarkEnd w:id="313"/>
      <w:bookmarkEnd w:id="314"/>
      <w:bookmarkEnd w:id="315"/>
    </w:p>
    <w:p>
      <w:pPr>
        <w:pStyle w:val="Subsection"/>
        <w:spacing w:before="180"/>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keepNext/>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316" w:name="_Toc95730197"/>
      <w:bookmarkStart w:id="317" w:name="_Toc147630824"/>
      <w:bookmarkStart w:id="318" w:name="_Toc274203275"/>
      <w:r>
        <w:rPr>
          <w:rStyle w:val="CharSectno"/>
        </w:rPr>
        <w:t>54</w:t>
      </w:r>
      <w:r>
        <w:rPr>
          <w:snapToGrid w:val="0"/>
        </w:rPr>
        <w:t>.</w:t>
      </w:r>
      <w:r>
        <w:rPr>
          <w:snapToGrid w:val="0"/>
        </w:rPr>
        <w:tab/>
        <w:t>Secrecy</w:t>
      </w:r>
      <w:bookmarkEnd w:id="316"/>
      <w:bookmarkEnd w:id="317"/>
      <w:bookmarkEnd w:id="318"/>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19" w:name="_Toc95730198"/>
      <w:bookmarkStart w:id="320" w:name="_Toc147630825"/>
      <w:bookmarkStart w:id="321" w:name="_Toc274203276"/>
      <w:r>
        <w:rPr>
          <w:rStyle w:val="CharSectno"/>
        </w:rPr>
        <w:t>55</w:t>
      </w:r>
      <w:r>
        <w:rPr>
          <w:snapToGrid w:val="0"/>
        </w:rPr>
        <w:t>.</w:t>
      </w:r>
      <w:r>
        <w:rPr>
          <w:snapToGrid w:val="0"/>
        </w:rPr>
        <w:tab/>
        <w:t>Effect of other awards or agreements</w:t>
      </w:r>
      <w:bookmarkEnd w:id="319"/>
      <w:bookmarkEnd w:id="320"/>
      <w:bookmarkEnd w:id="321"/>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322" w:name="_Toc147630826"/>
      <w:bookmarkStart w:id="323" w:name="_Toc274203277"/>
      <w:bookmarkStart w:id="324" w:name="_Toc95730199"/>
      <w:r>
        <w:rPr>
          <w:rStyle w:val="CharSectno"/>
        </w:rPr>
        <w:t>56</w:t>
      </w:r>
      <w:r>
        <w:t>.</w:t>
      </w:r>
      <w:r>
        <w:tab/>
        <w:t>Transitional provisions</w:t>
      </w:r>
      <w:bookmarkEnd w:id="322"/>
      <w:bookmarkEnd w:id="323"/>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325" w:name="_Toc147630827"/>
      <w:bookmarkStart w:id="326" w:name="_Toc274203278"/>
      <w:r>
        <w:rPr>
          <w:rStyle w:val="CharSectno"/>
        </w:rPr>
        <w:t>57</w:t>
      </w:r>
      <w:r>
        <w:rPr>
          <w:snapToGrid w:val="0"/>
        </w:rPr>
        <w:t>.</w:t>
      </w:r>
      <w:r>
        <w:rPr>
          <w:snapToGrid w:val="0"/>
        </w:rPr>
        <w:tab/>
        <w:t>Regulations</w:t>
      </w:r>
      <w:bookmarkEnd w:id="324"/>
      <w:bookmarkEnd w:id="325"/>
      <w:bookmarkEnd w:id="326"/>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27" w:name="_Toc95729783"/>
      <w:bookmarkStart w:id="328" w:name="_Toc95729848"/>
      <w:bookmarkStart w:id="329" w:name="_Toc95730200"/>
      <w:bookmarkStart w:id="330" w:name="_Toc116956579"/>
      <w:bookmarkStart w:id="331" w:name="_Toc116956643"/>
      <w:bookmarkStart w:id="332" w:name="_Toc116960908"/>
      <w:bookmarkStart w:id="333" w:name="_Toc118525543"/>
      <w:bookmarkStart w:id="334" w:name="_Toc118525849"/>
      <w:bookmarkStart w:id="335" w:name="_Toc120001225"/>
      <w:bookmarkStart w:id="336" w:name="_Toc139864311"/>
      <w:bookmarkStart w:id="337" w:name="_Toc140029765"/>
      <w:bookmarkStart w:id="338" w:name="_Toc140029833"/>
      <w:bookmarkStart w:id="339" w:name="_Toc147305074"/>
      <w:bookmarkStart w:id="340" w:name="_Toc147313849"/>
      <w:bookmarkStart w:id="341" w:name="_Toc147630454"/>
      <w:bookmarkStart w:id="342" w:name="_Toc147630828"/>
      <w:bookmarkStart w:id="343" w:name="_Toc147631973"/>
      <w:bookmarkStart w:id="344" w:name="_Toc147632042"/>
      <w:bookmarkStart w:id="345" w:name="_Toc157844330"/>
      <w:bookmarkStart w:id="346" w:name="_Toc241051538"/>
      <w:bookmarkStart w:id="347" w:name="_Toc259540354"/>
      <w:bookmarkStart w:id="348" w:name="_Toc259540509"/>
      <w:bookmarkStart w:id="349" w:name="_Toc260210037"/>
      <w:bookmarkStart w:id="350" w:name="_Toc261875596"/>
      <w:bookmarkStart w:id="351" w:name="_Toc262222488"/>
      <w:bookmarkStart w:id="352" w:name="_Toc263414978"/>
      <w:bookmarkStart w:id="353" w:name="_Toc263415662"/>
      <w:bookmarkStart w:id="354" w:name="_Toc267647317"/>
      <w:bookmarkStart w:id="355" w:name="_Toc274203279"/>
      <w:r>
        <w:rPr>
          <w:rStyle w:val="CharSchNo"/>
        </w:rPr>
        <w:t>Schedule</w:t>
      </w:r>
      <w:bookmarkEnd w:id="327"/>
      <w:bookmarkEnd w:id="328"/>
      <w:bookmarkEnd w:id="329"/>
      <w:bookmarkEnd w:id="330"/>
      <w:bookmarkEnd w:id="331"/>
      <w:bookmarkEnd w:id="332"/>
      <w:bookmarkEnd w:id="333"/>
      <w:bookmarkEnd w:id="334"/>
      <w:bookmarkEnd w:id="335"/>
      <w:bookmarkEnd w:id="336"/>
      <w:bookmarkEnd w:id="337"/>
      <w:bookmarkEnd w:id="338"/>
      <w:r>
        <w:rPr>
          <w:b w:val="0"/>
          <w:bCs/>
        </w:rPr>
        <w:t xml:space="preserve"> — </w:t>
      </w:r>
      <w:r>
        <w:rPr>
          <w:rStyle w:val="CharSchText"/>
        </w:rPr>
        <w:t>Transitional provisions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2"/>
        <w:outlineLvl w:val="9"/>
      </w:pPr>
      <w:bookmarkStart w:id="356" w:name="_Toc147305076"/>
      <w:bookmarkStart w:id="357" w:name="_Toc147313851"/>
      <w:bookmarkStart w:id="358" w:name="_Toc147630455"/>
      <w:bookmarkStart w:id="359" w:name="_Toc147630829"/>
      <w:bookmarkStart w:id="360" w:name="_Toc147631974"/>
      <w:bookmarkStart w:id="361" w:name="_Toc147632043"/>
      <w:bookmarkStart w:id="362" w:name="_Toc157844331"/>
      <w:bookmarkStart w:id="363" w:name="_Toc241051539"/>
      <w:bookmarkStart w:id="364" w:name="_Toc259540355"/>
      <w:bookmarkStart w:id="365" w:name="_Toc259540510"/>
      <w:bookmarkStart w:id="366" w:name="_Toc260210038"/>
      <w:bookmarkStart w:id="367" w:name="_Toc261875597"/>
      <w:bookmarkStart w:id="368" w:name="_Toc262222489"/>
      <w:bookmarkStart w:id="369" w:name="_Toc263414979"/>
      <w:bookmarkStart w:id="370" w:name="_Toc263415663"/>
      <w:bookmarkStart w:id="371" w:name="_Toc267647318"/>
      <w:bookmarkStart w:id="372" w:name="_Toc274203280"/>
      <w:r>
        <w:rPr>
          <w:rStyle w:val="CharSDivNo"/>
          <w:snapToGrid/>
        </w:rPr>
        <w:t>Division 1</w:t>
      </w:r>
      <w:r>
        <w:rPr>
          <w:snapToGrid/>
        </w:rPr>
        <w:t> — </w:t>
      </w:r>
      <w:r>
        <w:rPr>
          <w:rStyle w:val="CharSDivText"/>
        </w:rPr>
        <w:t>The appointed day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yFootnoteheading"/>
        <w:rPr>
          <w:snapToGrid w:val="0"/>
        </w:rPr>
      </w:pPr>
      <w:r>
        <w:rPr>
          <w:snapToGrid w:val="0"/>
        </w:rPr>
        <w:tab/>
        <w:t>[Heading amended by No. 36 of 2006 s. 52(c).]</w:t>
      </w:r>
    </w:p>
    <w:p>
      <w:pPr>
        <w:pStyle w:val="yHeading5"/>
      </w:pPr>
      <w:bookmarkStart w:id="373" w:name="_Toc147630830"/>
      <w:bookmarkStart w:id="374" w:name="_Toc274203281"/>
      <w:r>
        <w:rPr>
          <w:rStyle w:val="CharSClsNo"/>
        </w:rPr>
        <w:t>1</w:t>
      </w:r>
      <w:r>
        <w:t>.</w:t>
      </w:r>
      <w:bookmarkEnd w:id="373"/>
      <w:r>
        <w:tab/>
        <w:t>Employees’ service before application for registration</w:t>
      </w:r>
      <w:bookmarkEnd w:id="374"/>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375" w:name="_Toc274203282"/>
      <w:r>
        <w:t>2.</w:t>
      </w:r>
      <w:r>
        <w:tab/>
        <w:t>Employees to pay Board contributions for some employees</w:t>
      </w:r>
      <w:bookmarkEnd w:id="375"/>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376" w:name="_Toc147305079"/>
      <w:bookmarkStart w:id="377" w:name="_Toc147313854"/>
      <w:bookmarkStart w:id="378" w:name="_Toc147630458"/>
      <w:bookmarkStart w:id="379" w:name="_Toc147630832"/>
      <w:bookmarkStart w:id="380" w:name="_Toc147631977"/>
      <w:bookmarkStart w:id="381" w:name="_Toc147632046"/>
      <w:bookmarkStart w:id="382" w:name="_Toc157844334"/>
      <w:bookmarkStart w:id="383" w:name="_Toc241051542"/>
      <w:bookmarkStart w:id="384" w:name="_Toc259540358"/>
      <w:bookmarkStart w:id="385" w:name="_Toc259540513"/>
      <w:bookmarkStart w:id="386" w:name="_Toc260210039"/>
      <w:bookmarkStart w:id="387" w:name="_Toc261875598"/>
      <w:bookmarkStart w:id="388" w:name="_Toc262222490"/>
      <w:bookmarkStart w:id="389" w:name="_Toc263414982"/>
      <w:bookmarkStart w:id="390" w:name="_Toc263415666"/>
      <w:bookmarkStart w:id="391" w:name="_Toc267647321"/>
      <w:bookmarkStart w:id="392" w:name="_Toc274203283"/>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yFootnoteheading"/>
        <w:rPr>
          <w:snapToGrid w:val="0"/>
        </w:rPr>
      </w:pPr>
      <w:r>
        <w:tab/>
      </w:r>
      <w:r>
        <w:rPr>
          <w:snapToGrid w:val="0"/>
        </w:rPr>
        <w:t>[Heading inserted by No. 36 of 2006 s. 52(d).]</w:t>
      </w:r>
    </w:p>
    <w:p>
      <w:pPr>
        <w:pStyle w:val="yHeading5"/>
      </w:pPr>
      <w:bookmarkStart w:id="393" w:name="_Toc147630833"/>
      <w:bookmarkStart w:id="394" w:name="_Toc260210040"/>
      <w:bookmarkStart w:id="395" w:name="_Toc261875599"/>
      <w:bookmarkStart w:id="396" w:name="_Toc274203284"/>
      <w:r>
        <w:rPr>
          <w:rStyle w:val="CharSClsNo"/>
        </w:rPr>
        <w:t>3</w:t>
      </w:r>
      <w:r>
        <w:t>.</w:t>
      </w:r>
      <w:r>
        <w:rPr>
          <w:b w:val="0"/>
        </w:rPr>
        <w:tab/>
      </w:r>
      <w:r>
        <w:t>Service prior to commencement day</w:t>
      </w:r>
      <w:bookmarkEnd w:id="393"/>
      <w:bookmarkEnd w:id="394"/>
      <w:bookmarkEnd w:id="395"/>
      <w:bookmarkEnd w:id="396"/>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97" w:name="_Toc95729784"/>
      <w:bookmarkStart w:id="398" w:name="_Toc95729849"/>
      <w:bookmarkStart w:id="399" w:name="_Toc95730201"/>
      <w:bookmarkStart w:id="400" w:name="_Toc95730275"/>
      <w:bookmarkStart w:id="401" w:name="_Toc97003762"/>
      <w:bookmarkStart w:id="402" w:name="_Toc102810481"/>
      <w:bookmarkStart w:id="403" w:name="_Toc116956580"/>
      <w:bookmarkStart w:id="404" w:name="_Toc116956644"/>
      <w:bookmarkStart w:id="405" w:name="_Toc116960910"/>
      <w:bookmarkStart w:id="406" w:name="_Toc118525545"/>
      <w:bookmarkStart w:id="407" w:name="_Toc118525851"/>
      <w:bookmarkStart w:id="408" w:name="_Toc120001227"/>
      <w:bookmarkStart w:id="409" w:name="_Toc139864315"/>
      <w:bookmarkStart w:id="410" w:name="_Toc140029769"/>
      <w:bookmarkStart w:id="411" w:name="_Toc140029837"/>
      <w:bookmarkStart w:id="412" w:name="_Toc147305081"/>
      <w:bookmarkStart w:id="413" w:name="_Toc147313856"/>
      <w:bookmarkStart w:id="414" w:name="_Toc147630460"/>
      <w:bookmarkStart w:id="415" w:name="_Toc147630834"/>
      <w:bookmarkStart w:id="416" w:name="_Toc147631979"/>
      <w:bookmarkStart w:id="417" w:name="_Toc147632048"/>
      <w:bookmarkStart w:id="418" w:name="_Toc157844336"/>
      <w:bookmarkStart w:id="419" w:name="_Toc241051544"/>
      <w:bookmarkStart w:id="420" w:name="_Toc259540360"/>
      <w:bookmarkStart w:id="421" w:name="_Toc259540515"/>
      <w:bookmarkStart w:id="422" w:name="_Toc260210041"/>
      <w:bookmarkStart w:id="423" w:name="_Toc261875600"/>
      <w:bookmarkStart w:id="424" w:name="_Toc262222492"/>
      <w:bookmarkStart w:id="425" w:name="_Toc263414984"/>
      <w:bookmarkStart w:id="426" w:name="_Toc263415668"/>
      <w:bookmarkStart w:id="427" w:name="_Toc267647323"/>
      <w:bookmarkStart w:id="428" w:name="_Toc274203285"/>
      <w:r>
        <w:t>Notes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9" w:name="_Toc274203286"/>
      <w:r>
        <w:rPr>
          <w:snapToGrid w:val="0"/>
        </w:rPr>
        <w:t>Compilation table</w:t>
      </w:r>
      <w:bookmarkEnd w:id="429"/>
    </w:p>
    <w:tbl>
      <w:tblPr>
        <w:tblW w:w="7087" w:type="dxa"/>
        <w:tblInd w:w="9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Construction Industry Portable Paid Long Service Leave Act 1985</w:t>
            </w:r>
          </w:p>
        </w:tc>
        <w:tc>
          <w:tcPr>
            <w:tcW w:w="1133"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1" w:type="dxa"/>
          </w:tcPr>
          <w:p>
            <w:pPr>
              <w:pStyle w:val="nTable"/>
              <w:spacing w:after="4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6" w:type="dxa"/>
          </w:tcPr>
          <w:p>
            <w:pPr>
              <w:pStyle w:val="nTable"/>
              <w:spacing w:after="40"/>
              <w:ind w:right="170"/>
              <w:rPr>
                <w:sz w:val="19"/>
              </w:rPr>
            </w:pPr>
            <w:r>
              <w:rPr>
                <w:i/>
                <w:sz w:val="19"/>
              </w:rPr>
              <w:t>Act Amendment (Financial Administration and Audit) Act 1986</w:t>
            </w:r>
            <w:r>
              <w:rPr>
                <w:sz w:val="19"/>
              </w:rPr>
              <w:t xml:space="preserve"> s. 4</w:t>
            </w:r>
          </w:p>
        </w:tc>
        <w:tc>
          <w:tcPr>
            <w:tcW w:w="1133"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6" w:type="dxa"/>
          </w:tcPr>
          <w:p>
            <w:pPr>
              <w:pStyle w:val="nTable"/>
              <w:spacing w:after="40"/>
              <w:ind w:right="170"/>
              <w:rPr>
                <w:sz w:val="19"/>
              </w:rPr>
            </w:pPr>
            <w:r>
              <w:rPr>
                <w:i/>
                <w:sz w:val="19"/>
              </w:rPr>
              <w:t>Construction Industry Portable Paid Long Service Leave Amendment Act 1989</w:t>
            </w:r>
            <w:r>
              <w:rPr>
                <w:iCs/>
                <w:sz w:val="19"/>
                <w:vertAlign w:val="superscript"/>
              </w:rPr>
              <w:t> 3</w:t>
            </w:r>
          </w:p>
        </w:tc>
        <w:tc>
          <w:tcPr>
            <w:tcW w:w="1133"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38</w:t>
            </w:r>
          </w:p>
        </w:tc>
        <w:tc>
          <w:tcPr>
            <w:tcW w:w="1133"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4"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 xml:space="preserve">Corporations (Consequential Amendments) Act 2001 </w:t>
            </w:r>
            <w:r>
              <w:rPr>
                <w:sz w:val="19"/>
              </w:rPr>
              <w:t>Pt. 14</w:t>
            </w:r>
          </w:p>
        </w:tc>
        <w:tc>
          <w:tcPr>
            <w:tcW w:w="1133"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i/>
                <w:sz w:val="19"/>
              </w:rPr>
            </w:pPr>
            <w:r>
              <w:rPr>
                <w:i/>
                <w:sz w:val="19"/>
              </w:rPr>
              <w:t xml:space="preserve">Acts Amendment (Equality of Status) Act 2003 </w:t>
            </w:r>
            <w:r>
              <w:rPr>
                <w:sz w:val="19"/>
              </w:rPr>
              <w:t>Pt. 7</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4"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 xml:space="preserve">Labour Relations Legislation Amendment Act 2006 </w:t>
            </w:r>
            <w:r>
              <w:rPr>
                <w:iCs/>
                <w:snapToGrid w:val="0"/>
                <w:sz w:val="19"/>
                <w:lang w:val="en-US"/>
              </w:rPr>
              <w:t>Pt. 7 Div. 1</w:t>
            </w:r>
          </w:p>
        </w:tc>
        <w:tc>
          <w:tcPr>
            <w:tcW w:w="1133" w:type="dxa"/>
            <w:tcBorders>
              <w:top w:val="nil"/>
              <w:bottom w:val="nil"/>
            </w:tcBorders>
          </w:tcPr>
          <w:p>
            <w:pPr>
              <w:pStyle w:val="nTable"/>
              <w:spacing w:after="40"/>
              <w:rPr>
                <w:snapToGrid w:val="0"/>
                <w:sz w:val="19"/>
                <w:lang w:val="en-US"/>
              </w:rPr>
            </w:pPr>
            <w:r>
              <w:rPr>
                <w:snapToGrid w:val="0"/>
                <w:sz w:val="19"/>
                <w:lang w:val="en-US"/>
              </w:rPr>
              <w:t>36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31</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Statutes (Repeals and Miscellaneous Amendments) Act 2009 </w:t>
            </w:r>
            <w:r>
              <w:rPr>
                <w:iCs/>
                <w:snapToGrid w:val="0"/>
                <w:sz w:val="19"/>
                <w:lang w:val="en-US"/>
              </w:rPr>
              <w:t>s. 39</w:t>
            </w:r>
          </w:p>
        </w:tc>
        <w:tc>
          <w:tcPr>
            <w:tcW w:w="1133"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ind w:right="-108"/>
              <w:rPr>
                <w:snapToGrid w:val="0"/>
                <w:sz w:val="19"/>
                <w:lang w:val="en-US"/>
              </w:rPr>
            </w:pPr>
            <w:r>
              <w:rPr>
                <w:sz w:val="19"/>
              </w:rPr>
              <w:t>21 May 2009</w:t>
            </w:r>
          </w:p>
        </w:tc>
        <w:tc>
          <w:tcPr>
            <w:tcW w:w="2551" w:type="dxa"/>
            <w:tcBorders>
              <w:top w:val="nil"/>
              <w:bottom w:val="nil"/>
            </w:tcBorders>
          </w:tcPr>
          <w:p>
            <w:pPr>
              <w:pStyle w:val="nTable"/>
              <w:spacing w:after="40"/>
              <w:rPr>
                <w:snapToGrid w:val="0"/>
                <w:sz w:val="19"/>
                <w:lang w:val="en-US"/>
              </w:rPr>
            </w:pPr>
            <w:r>
              <w:rPr>
                <w:sz w:val="19"/>
              </w:rPr>
              <w:t>22 May 2009 (see s. 2(b))</w:t>
            </w:r>
          </w:p>
        </w:tc>
      </w:tr>
      <w:tr>
        <w:trPr>
          <w:cantSplit/>
        </w:trPr>
        <w:tc>
          <w:tcPr>
            <w:tcW w:w="2266" w:type="dxa"/>
          </w:tcPr>
          <w:p>
            <w:pPr>
              <w:pStyle w:val="nTable"/>
              <w:spacing w:after="40"/>
              <w:ind w:right="170"/>
              <w:rPr>
                <w:i/>
                <w:snapToGrid w:val="0"/>
                <w:sz w:val="19"/>
                <w:lang w:val="en-US"/>
              </w:rPr>
            </w:pPr>
            <w:r>
              <w:rPr>
                <w:i/>
                <w:snapToGrid w:val="0"/>
                <w:sz w:val="19"/>
                <w:lang w:val="en-US"/>
              </w:rPr>
              <w:t xml:space="preserve">Acts Amendment (Bankruptcy) Act 2009 </w:t>
            </w:r>
            <w:r>
              <w:rPr>
                <w:iCs/>
                <w:snapToGrid w:val="0"/>
                <w:sz w:val="19"/>
                <w:lang w:val="en-US"/>
              </w:rPr>
              <w:t>s. 21</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3: The </w:t>
            </w:r>
            <w:r>
              <w:rPr>
                <w:b/>
                <w:bCs/>
                <w:i/>
                <w:sz w:val="19"/>
              </w:rPr>
              <w:t>Construction Industry Portable Paid Long Service Leave Act 1985</w:t>
            </w:r>
            <w:r>
              <w:rPr>
                <w:b/>
                <w:bCs/>
                <w:i/>
                <w:sz w:val="19"/>
              </w:rPr>
              <w:br/>
            </w:r>
            <w:r>
              <w:rPr>
                <w:b/>
                <w:bCs/>
                <w:sz w:val="19"/>
              </w:rPr>
              <w:t>as at 21 May 2010</w:t>
            </w:r>
            <w:r>
              <w:rPr>
                <w:sz w:val="19"/>
              </w:rPr>
              <w:t xml:space="preserve"> (includes amendments listed above)</w:t>
            </w:r>
          </w:p>
        </w:tc>
      </w:tr>
    </w:tbl>
    <w:p>
      <w:pPr>
        <w:pStyle w:val="nSubsection"/>
        <w:spacing w:before="16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0" w:name="_Toc7405065"/>
      <w:bookmarkStart w:id="431" w:name="_Toc274203287"/>
      <w:r>
        <w:t>Provisions that have not come into operation</w:t>
      </w:r>
      <w:bookmarkEnd w:id="430"/>
      <w:bookmarkEnd w:id="43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39"/>
        <w:gridCol w:w="1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4</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34"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w:t>
      </w:r>
      <w:bookmarkStart w:id="432" w:name="UpToHere"/>
      <w:r>
        <w:t>Minister for Public Sector Management</w:t>
      </w:r>
      <w:bookmarkEnd w:id="432"/>
      <w:r>
        <w:t xml:space="preserve"> (as defined in the </w:t>
      </w:r>
      <w:r>
        <w:rPr>
          <w:i/>
        </w:rPr>
        <w:t>Interpretation Act 1984</w:t>
      </w:r>
      <w:r>
        <w:t xml:space="preserve">). This reference was amended under the </w:t>
      </w:r>
      <w:r>
        <w:rPr>
          <w:i/>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433" w:name="_Toc233107854"/>
      <w:bookmarkStart w:id="434" w:name="_Toc255473747"/>
      <w:bookmarkStart w:id="435" w:name="_Toc265583802"/>
      <w:r>
        <w:rPr>
          <w:rStyle w:val="CharSectno"/>
        </w:rPr>
        <w:t>51</w:t>
      </w:r>
      <w:r>
        <w:t>.</w:t>
      </w:r>
      <w:r>
        <w:tab/>
        <w:t>Various written laws amended</w:t>
      </w:r>
      <w:bookmarkEnd w:id="433"/>
      <w:bookmarkEnd w:id="434"/>
      <w:bookmarkEnd w:id="435"/>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center"/>
        </w:trPr>
        <w:tc>
          <w:tcPr>
            <w:tcW w:w="1702" w:type="dxa"/>
          </w:tcPr>
          <w:p>
            <w:pPr>
              <w:pStyle w:val="TableAm"/>
              <w:rPr>
                <w:sz w:val="20"/>
              </w:rPr>
            </w:pPr>
            <w:r>
              <w:rPr>
                <w:sz w:val="20"/>
              </w:rPr>
              <w:t>Sch. cl. 1</w:t>
            </w:r>
          </w:p>
        </w:tc>
        <w:tc>
          <w:tcPr>
            <w:tcW w:w="2551"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551"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center"/>
        </w:trPr>
        <w:tc>
          <w:tcPr>
            <w:tcW w:w="1702" w:type="dxa"/>
          </w:tcPr>
          <w:p>
            <w:pPr>
              <w:pStyle w:val="TableAm"/>
              <w:keepNext/>
              <w:rPr>
                <w:sz w:val="20"/>
              </w:rPr>
            </w:pPr>
            <w:r>
              <w:rPr>
                <w:sz w:val="20"/>
              </w:rPr>
              <w:t>Sch. cl. 2</w:t>
            </w:r>
          </w:p>
        </w:tc>
        <w:tc>
          <w:tcPr>
            <w:tcW w:w="2551"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551"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36" w:name="_Toc273538032"/>
      <w:bookmarkStart w:id="437" w:name="_Toc273964959"/>
      <w:bookmarkStart w:id="438" w:name="_Toc273971506"/>
      <w:r>
        <w:rPr>
          <w:rStyle w:val="CharSectno"/>
        </w:rPr>
        <w:t>89</w:t>
      </w:r>
      <w:r>
        <w:t>.</w:t>
      </w:r>
      <w:r>
        <w:tab/>
        <w:t>Various references to “Minister for Public Sector Management” amended</w:t>
      </w:r>
      <w:bookmarkEnd w:id="436"/>
      <w:bookmarkEnd w:id="437"/>
      <w:bookmarkEnd w:id="43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Construction Industry Portable Paid Long Service Leave Act 1985</w:t>
            </w:r>
          </w:p>
        </w:tc>
        <w:tc>
          <w:tcPr>
            <w:tcW w:w="3401" w:type="dxa"/>
          </w:tcPr>
          <w:p>
            <w:pPr>
              <w:pStyle w:val="TableAm"/>
              <w:rPr>
                <w:sz w:val="20"/>
              </w:rPr>
            </w:pPr>
            <w:r>
              <w:rPr>
                <w:sz w:val="20"/>
              </w:rPr>
              <w:t>s. 9(1)</w:t>
            </w:r>
          </w:p>
        </w:tc>
      </w:tr>
    </w:tbl>
    <w:p>
      <w:pPr>
        <w:pStyle w:val="BlankClose"/>
      </w:pPr>
    </w:p>
    <w:p>
      <w:pPr>
        <w:rPr>
          <w:snapToGrid w:val="0"/>
        </w:rPr>
      </w:pPr>
    </w:p>
    <w:p>
      <w:pPr>
        <w:spacing w:after="40"/>
        <w:ind w:right="170"/>
        <w:rPr>
          <w:snapToGrid w:val="0"/>
        </w:r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pPr>
        <w:rPr>
          <w:snapToGrid w:val="0"/>
        </w:rPr>
      </w:pPr>
    </w:p>
    <w:p>
      <w:pPr>
        <w:pStyle w:val="nHeading2"/>
        <w:rPr>
          <w:sz w:val="28"/>
        </w:rPr>
      </w:pPr>
      <w:bookmarkStart w:id="439" w:name="_Toc259540517"/>
      <w:bookmarkStart w:id="440" w:name="_Toc260210043"/>
      <w:bookmarkStart w:id="441" w:name="_Toc261875602"/>
      <w:bookmarkStart w:id="442" w:name="_Toc262222494"/>
      <w:bookmarkStart w:id="443" w:name="_Toc263414986"/>
      <w:bookmarkStart w:id="444" w:name="_Toc263415670"/>
      <w:bookmarkStart w:id="445" w:name="_Toc267647326"/>
      <w:bookmarkStart w:id="446" w:name="_Toc274203288"/>
      <w:r>
        <w:rPr>
          <w:sz w:val="28"/>
        </w:rPr>
        <w:t>Defined Terms</w:t>
      </w:r>
      <w:bookmarkEnd w:id="439"/>
      <w:bookmarkEnd w:id="440"/>
      <w:bookmarkEnd w:id="441"/>
      <w:bookmarkEnd w:id="442"/>
      <w:bookmarkEnd w:id="443"/>
      <w:bookmarkEnd w:id="444"/>
      <w:bookmarkEnd w:id="445"/>
      <w:bookmarkEnd w:id="44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47" w:name="DefinedTerms"/>
      <w:bookmarkEnd w:id="447"/>
      <w:r>
        <w:rPr>
          <w:snapToGrid w:val="0"/>
        </w:rPr>
        <w:t>appointed day</w:t>
      </w:r>
      <w:r>
        <w:rPr>
          <w:snapToGrid w:val="0"/>
        </w:rPr>
        <w:tab/>
        <w:t>3(1)</w:t>
      </w:r>
    </w:p>
    <w:p>
      <w:pPr>
        <w:pStyle w:val="DefinedTerms"/>
        <w:rPr>
          <w:snapToGrid w:val="0"/>
        </w:rPr>
      </w:pPr>
      <w:r>
        <w:rPr>
          <w:snapToGrid w:val="0"/>
        </w:rPr>
        <w:t>award</w:t>
      </w:r>
      <w:r>
        <w:rPr>
          <w:snapToGrid w:val="0"/>
        </w:rPr>
        <w:tab/>
        <w:t>3(1)</w:t>
      </w:r>
    </w:p>
    <w:p>
      <w:pPr>
        <w:pStyle w:val="DefinedTerms"/>
        <w:rPr>
          <w:snapToGrid w:val="0"/>
        </w:rPr>
      </w:pPr>
      <w:r>
        <w:rPr>
          <w:snapToGrid w:val="0"/>
        </w:rPr>
        <w:t>Board</w:t>
      </w:r>
      <w:r>
        <w:rPr>
          <w:snapToGrid w:val="0"/>
        </w:rPr>
        <w:tab/>
        <w:t>3(1)</w:t>
      </w:r>
    </w:p>
    <w:p>
      <w:pPr>
        <w:pStyle w:val="DefinedTerms"/>
        <w:rPr>
          <w:snapToGrid w:val="0"/>
        </w:rPr>
      </w:pPr>
      <w:r>
        <w:rPr>
          <w:snapToGrid w:val="0"/>
        </w:rPr>
        <w:t>books</w:t>
      </w:r>
      <w:r>
        <w:rPr>
          <w:snapToGrid w:val="0"/>
        </w:rPr>
        <w:tab/>
        <w:t>3(1)</w:t>
      </w:r>
    </w:p>
    <w:p>
      <w:pPr>
        <w:pStyle w:val="DefinedTerms"/>
        <w:rPr>
          <w:snapToGrid w:val="0"/>
        </w:rPr>
      </w:pPr>
      <w:r>
        <w:rPr>
          <w:snapToGrid w:val="0"/>
        </w:rPr>
        <w:t>chief executive officer</w:t>
      </w:r>
      <w:r>
        <w:rPr>
          <w:snapToGrid w:val="0"/>
        </w:rPr>
        <w:tab/>
        <w:t>3(1)</w:t>
      </w:r>
    </w:p>
    <w:p>
      <w:pPr>
        <w:pStyle w:val="DefinedTerms"/>
        <w:rPr>
          <w:snapToGrid w:val="0"/>
        </w:rPr>
      </w:pPr>
      <w:r>
        <w:rPr>
          <w:snapToGrid w:val="0"/>
        </w:rPr>
        <w:t>commencement day</w:t>
      </w:r>
      <w:r>
        <w:rPr>
          <w:snapToGrid w:val="0"/>
        </w:rPr>
        <w:tab/>
        <w:t>Sch. cl. 3(7)</w:t>
      </w:r>
    </w:p>
    <w:p>
      <w:pPr>
        <w:pStyle w:val="DefinedTerms"/>
        <w:rPr>
          <w:snapToGrid w:val="0"/>
        </w:rPr>
      </w:pPr>
      <w:r>
        <w:rPr>
          <w:snapToGrid w:val="0"/>
        </w:rPr>
        <w:t>construction industry</w:t>
      </w:r>
      <w:r>
        <w:rPr>
          <w:snapToGrid w:val="0"/>
        </w:rPr>
        <w:tab/>
        <w:t>3(1), 29A(1)</w:t>
      </w:r>
    </w:p>
    <w:p>
      <w:pPr>
        <w:pStyle w:val="DefinedTerms"/>
        <w:rPr>
          <w:snapToGrid w:val="0"/>
        </w:rPr>
      </w:pPr>
      <w:r>
        <w:rPr>
          <w:snapToGrid w:val="0"/>
        </w:rPr>
        <w:t>corresponding law</w:t>
      </w:r>
      <w:r>
        <w:rPr>
          <w:snapToGrid w:val="0"/>
        </w:rPr>
        <w:tab/>
        <w:t>29A(1)</w:t>
      </w:r>
    </w:p>
    <w:p>
      <w:pPr>
        <w:pStyle w:val="DefinedTerms"/>
        <w:rPr>
          <w:snapToGrid w:val="0"/>
        </w:rPr>
      </w:pPr>
      <w:r>
        <w:rPr>
          <w:snapToGrid w:val="0"/>
        </w:rPr>
        <w:t>corresponding public employer in this State</w:t>
      </w:r>
      <w:r>
        <w:rPr>
          <w:snapToGrid w:val="0"/>
        </w:rPr>
        <w:tab/>
        <w:t>29A(1)</w:t>
      </w:r>
    </w:p>
    <w:p>
      <w:pPr>
        <w:pStyle w:val="DefinedTerms"/>
        <w:rPr>
          <w:snapToGrid w:val="0"/>
        </w:rPr>
      </w:pPr>
      <w:r>
        <w:rPr>
          <w:snapToGrid w:val="0"/>
        </w:rPr>
        <w:t>day of service</w:t>
      </w:r>
      <w:r>
        <w:rPr>
          <w:snapToGrid w:val="0"/>
        </w:rPr>
        <w:tab/>
        <w:t>3(1)</w:t>
      </w:r>
    </w:p>
    <w:p>
      <w:pPr>
        <w:pStyle w:val="DefinedTerms"/>
        <w:rPr>
          <w:snapToGrid w:val="0"/>
        </w:rPr>
      </w:pPr>
      <w:r>
        <w:rPr>
          <w:snapToGrid w:val="0"/>
        </w:rPr>
        <w:t>employee</w:t>
      </w:r>
      <w:r>
        <w:rPr>
          <w:snapToGrid w:val="0"/>
        </w:rPr>
        <w:tab/>
        <w:t>3(1)</w:t>
      </w:r>
    </w:p>
    <w:p>
      <w:pPr>
        <w:pStyle w:val="DefinedTerms"/>
        <w:rPr>
          <w:snapToGrid w:val="0"/>
        </w:rPr>
      </w:pPr>
      <w:r>
        <w:rPr>
          <w:snapToGrid w:val="0"/>
        </w:rPr>
        <w:t>employees register</w:t>
      </w:r>
      <w:r>
        <w:rPr>
          <w:snapToGrid w:val="0"/>
        </w:rPr>
        <w:tab/>
        <w:t>3(1)</w:t>
      </w:r>
    </w:p>
    <w:p>
      <w:pPr>
        <w:pStyle w:val="DefinedTerms"/>
        <w:rPr>
          <w:snapToGrid w:val="0"/>
        </w:rPr>
      </w:pPr>
      <w:r>
        <w:rPr>
          <w:snapToGrid w:val="0"/>
        </w:rPr>
        <w:t>employer</w:t>
      </w:r>
      <w:r>
        <w:rPr>
          <w:snapToGrid w:val="0"/>
        </w:rPr>
        <w:tab/>
        <w:t>3(1)</w:t>
      </w:r>
    </w:p>
    <w:p>
      <w:pPr>
        <w:pStyle w:val="DefinedTerms"/>
        <w:rPr>
          <w:snapToGrid w:val="0"/>
        </w:rPr>
      </w:pPr>
      <w:r>
        <w:rPr>
          <w:snapToGrid w:val="0"/>
        </w:rPr>
        <w:t>employers register</w:t>
      </w:r>
      <w:r>
        <w:rPr>
          <w:snapToGrid w:val="0"/>
        </w:rPr>
        <w:tab/>
        <w:t>3(1)</w:t>
      </w:r>
    </w:p>
    <w:p>
      <w:pPr>
        <w:pStyle w:val="DefinedTerms"/>
        <w:rPr>
          <w:snapToGrid w:val="0"/>
        </w:rPr>
      </w:pPr>
      <w:r>
        <w:rPr>
          <w:snapToGrid w:val="0"/>
        </w:rPr>
        <w:t>member</w:t>
      </w:r>
      <w:r>
        <w:rPr>
          <w:snapToGrid w:val="0"/>
        </w:rPr>
        <w:tab/>
        <w:t>3(1)</w:t>
      </w:r>
    </w:p>
    <w:p>
      <w:pPr>
        <w:pStyle w:val="DefinedTerms"/>
        <w:rPr>
          <w:snapToGrid w:val="0"/>
        </w:rPr>
      </w:pPr>
      <w:r>
        <w:rPr>
          <w:snapToGrid w:val="0"/>
        </w:rPr>
        <w:t>ordinary pay</w:t>
      </w:r>
      <w:r>
        <w:rPr>
          <w:snapToGrid w:val="0"/>
        </w:rPr>
        <w:tab/>
        <w:t>3(1), 21(3), 51(2)</w:t>
      </w:r>
    </w:p>
    <w:p>
      <w:pPr>
        <w:pStyle w:val="DefinedTerms"/>
        <w:rPr>
          <w:snapToGrid w:val="0"/>
        </w:rPr>
      </w:pPr>
      <w:r>
        <w:rPr>
          <w:snapToGrid w:val="0"/>
        </w:rPr>
        <w:t>union</w:t>
      </w:r>
      <w:r>
        <w:rPr>
          <w:snapToGrid w:val="0"/>
        </w:rPr>
        <w:tab/>
        <w:t>3(1)</w:t>
      </w:r>
    </w:p>
    <w:p>
      <w:pPr>
        <w:pStyle w:val="DefinedTerms"/>
        <w:rPr>
          <w:snapToGrid w:val="0"/>
        </w:rPr>
      </w:pPr>
      <w:r>
        <w:rPr>
          <w:snapToGrid w:val="0"/>
        </w:rPr>
        <w:t>year of service</w:t>
      </w:r>
      <w:r>
        <w:rPr>
          <w:snapToGrid w:val="0"/>
        </w:rPr>
        <w:tab/>
        <w:t>3(1)</w:t>
      </w:r>
    </w:p>
    <w:p>
      <w:pPr>
        <w:pStyle w:val="DefinedTerms"/>
        <w:rPr>
          <w:snapToGrid w:val="0"/>
        </w:r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rPr>
          <w:snapToGrid w:val="0"/>
        </w:rPr>
      </w:pPr>
    </w:p>
    <w:sectPr>
      <w:headerReference w:type="even" r:id="rId36"/>
      <w:headerReference w:type="default" r:id="rId37"/>
      <w:headerReference w:type="first" r:id="rId3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The appointed day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The appointed day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12558</Words>
  <Characters>59152</Characters>
  <Application>Microsoft Office Word</Application>
  <DocSecurity>0</DocSecurity>
  <Lines>1598</Lines>
  <Paragraphs>843</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70867</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1985 - 03-c0-01</dc:title>
  <dc:subject/>
  <dc:creator/>
  <cp:keywords/>
  <dc:description/>
  <cp:lastModifiedBy>svcMRProcess</cp:lastModifiedBy>
  <cp:revision>4</cp:revision>
  <cp:lastPrinted>2010-06-04T04:18:00Z</cp:lastPrinted>
  <dcterms:created xsi:type="dcterms:W3CDTF">2018-08-21T22:20:00Z</dcterms:created>
  <dcterms:modified xsi:type="dcterms:W3CDTF">2018-08-21T22:20:00Z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175</vt:i4>
  </property>
  <property fmtid="{D5CDD505-2E9C-101B-9397-08002B2CF9AE}" pid="6" name="AsAtDate">
    <vt:lpwstr>01 Oct 2010</vt:lpwstr>
  </property>
  <property fmtid="{D5CDD505-2E9C-101B-9397-08002B2CF9AE}" pid="7" name="Suffix">
    <vt:lpwstr>03-c0-01</vt:lpwstr>
  </property>
  <property fmtid="{D5CDD505-2E9C-101B-9397-08002B2CF9AE}" pid="8" name="ReprintNo">
    <vt:lpwstr>3</vt:lpwstr>
  </property>
</Properties>
</file>