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Curriculum Council Act 1997</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Curriculum Council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_Toc274207104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_Toc274207105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_Toc274207106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_Toc274207107 \h </w:instrText>
      </w:r>
      <w:r>
        <w:fldChar w:fldCharType="separate"/>
      </w:r>
      <w:r>
        <w:t>4</w:t>
      </w:r>
      <w:r>
        <w:fldChar w:fldCharType="end"/>
      </w:r>
    </w:p>
    <w:p>
      <w:pPr>
        <w:pStyle w:val="TOC2"/>
        <w:tabs>
          <w:tab w:val="right" w:leader="dot" w:pos="7086"/>
        </w:tabs>
        <w:rPr>
          <w:b w:val="0"/>
          <w:sz w:val="24"/>
          <w:szCs w:val="24"/>
        </w:rPr>
      </w:pPr>
      <w:r>
        <w:rPr>
          <w:szCs w:val="30"/>
        </w:rPr>
        <w:t>Part 2 — The Curriculum Council</w:t>
      </w:r>
    </w:p>
    <w:p>
      <w:pPr>
        <w:pStyle w:val="TOC8"/>
        <w:rPr>
          <w:sz w:val="24"/>
          <w:szCs w:val="24"/>
        </w:rPr>
      </w:pPr>
      <w:r>
        <w:rPr>
          <w:szCs w:val="24"/>
        </w:rPr>
        <w:t>5</w:t>
      </w:r>
      <w:r>
        <w:rPr>
          <w:snapToGrid w:val="0"/>
          <w:szCs w:val="24"/>
        </w:rPr>
        <w:t>.</w:t>
      </w:r>
      <w:r>
        <w:rPr>
          <w:snapToGrid w:val="0"/>
          <w:szCs w:val="24"/>
        </w:rPr>
        <w:tab/>
        <w:t>Curriculum Council established</w:t>
      </w:r>
      <w:r>
        <w:tab/>
      </w:r>
      <w:r>
        <w:fldChar w:fldCharType="begin"/>
      </w:r>
      <w:r>
        <w:instrText xml:space="preserve"> PAGEREF _Toc274207109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Members of Council</w:t>
      </w:r>
      <w:r>
        <w:tab/>
      </w:r>
      <w:r>
        <w:fldChar w:fldCharType="begin"/>
      </w:r>
      <w:r>
        <w:instrText xml:space="preserve"> PAGEREF _Toc274207110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Constitution, proceedings etc.</w:t>
      </w:r>
      <w:r>
        <w:tab/>
      </w:r>
      <w:r>
        <w:fldChar w:fldCharType="begin"/>
      </w:r>
      <w:r>
        <w:instrText xml:space="preserve"> PAGEREF _Toc274207111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Remuneration of members</w:t>
      </w:r>
      <w:r>
        <w:tab/>
      </w:r>
      <w:r>
        <w:fldChar w:fldCharType="begin"/>
      </w:r>
      <w:r>
        <w:instrText xml:space="preserve"> PAGEREF _Toc274207112 \h </w:instrText>
      </w:r>
      <w:r>
        <w:fldChar w:fldCharType="separate"/>
      </w:r>
      <w:r>
        <w:t>6</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9</w:t>
      </w:r>
      <w:r>
        <w:rPr>
          <w:snapToGrid w:val="0"/>
          <w:szCs w:val="24"/>
        </w:rPr>
        <w:t>.</w:t>
      </w:r>
      <w:r>
        <w:rPr>
          <w:snapToGrid w:val="0"/>
          <w:szCs w:val="24"/>
        </w:rPr>
        <w:tab/>
        <w:t>Curriculum framework</w:t>
      </w:r>
      <w:r>
        <w:tab/>
      </w:r>
      <w:r>
        <w:fldChar w:fldCharType="begin"/>
      </w:r>
      <w:r>
        <w:instrText xml:space="preserve"> PAGEREF _Toc274207114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Implementation of curriculum framework</w:t>
      </w:r>
      <w:r>
        <w:tab/>
      </w:r>
      <w:r>
        <w:fldChar w:fldCharType="begin"/>
      </w:r>
      <w:r>
        <w:instrText xml:space="preserve"> PAGEREF _Toc274207115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Exemption from curriculum framework</w:t>
      </w:r>
      <w:r>
        <w:tab/>
      </w:r>
      <w:r>
        <w:fldChar w:fldCharType="begin"/>
      </w:r>
      <w:r>
        <w:instrText xml:space="preserve"> PAGEREF _Toc274207116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Senior secondary schooling</w:t>
      </w:r>
      <w:r>
        <w:tab/>
      </w:r>
      <w:r>
        <w:fldChar w:fldCharType="begin"/>
      </w:r>
      <w:r>
        <w:instrText xml:space="preserve"> PAGEREF _Toc274207117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Advice to Minister</w:t>
      </w:r>
      <w:r>
        <w:tab/>
      </w:r>
      <w:r>
        <w:fldChar w:fldCharType="begin"/>
      </w:r>
      <w:r>
        <w:instrText xml:space="preserve"> PAGEREF _Toc274207118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Information and register</w:t>
      </w:r>
      <w:r>
        <w:tab/>
      </w:r>
      <w:r>
        <w:fldChar w:fldCharType="begin"/>
      </w:r>
      <w:r>
        <w:instrText xml:space="preserve"> PAGEREF _Toc274207119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Powers</w:t>
      </w:r>
      <w:r>
        <w:tab/>
      </w:r>
      <w:r>
        <w:fldChar w:fldCharType="begin"/>
      </w:r>
      <w:r>
        <w:instrText xml:space="preserve"> PAGEREF _Toc274207120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Performance of functions</w:t>
      </w:r>
      <w:r>
        <w:tab/>
      </w:r>
      <w:r>
        <w:fldChar w:fldCharType="begin"/>
      </w:r>
      <w:r>
        <w:instrText xml:space="preserve"> PAGEREF _Toc274207121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Delegation</w:t>
      </w:r>
      <w:r>
        <w:tab/>
      </w:r>
      <w:r>
        <w:fldChar w:fldCharType="begin"/>
      </w:r>
      <w:r>
        <w:instrText xml:space="preserve"> PAGEREF _Toc274207122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Minister may give directions</w:t>
      </w:r>
      <w:r>
        <w:tab/>
      </w:r>
      <w:r>
        <w:fldChar w:fldCharType="begin"/>
      </w:r>
      <w:r>
        <w:instrText xml:space="preserve"> PAGEREF _Toc274207123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Minister to have access to information</w:t>
      </w:r>
      <w:r>
        <w:tab/>
      </w:r>
      <w:r>
        <w:fldChar w:fldCharType="begin"/>
      </w:r>
      <w:r>
        <w:instrText xml:space="preserve"> PAGEREF _Toc274207124 \h </w:instrText>
      </w:r>
      <w:r>
        <w:fldChar w:fldCharType="separate"/>
      </w:r>
      <w:r>
        <w:t>14</w:t>
      </w:r>
      <w:r>
        <w:fldChar w:fldCharType="end"/>
      </w:r>
    </w:p>
    <w:p>
      <w:pPr>
        <w:pStyle w:val="TOC2"/>
        <w:tabs>
          <w:tab w:val="right" w:leader="dot" w:pos="7086"/>
        </w:tabs>
        <w:rPr>
          <w:b w:val="0"/>
          <w:sz w:val="24"/>
          <w:szCs w:val="24"/>
        </w:rPr>
      </w:pPr>
      <w:r>
        <w:rPr>
          <w:szCs w:val="30"/>
        </w:rPr>
        <w:t>Part 3A</w:t>
      </w:r>
      <w:r>
        <w:rPr>
          <w:b w:val="0"/>
          <w:szCs w:val="30"/>
        </w:rPr>
        <w:t> </w:t>
      </w:r>
      <w:r>
        <w:rPr>
          <w:szCs w:val="30"/>
        </w:rPr>
        <w:t>—</w:t>
      </w:r>
      <w:r>
        <w:rPr>
          <w:b w:val="0"/>
          <w:szCs w:val="30"/>
        </w:rPr>
        <w:t> </w:t>
      </w:r>
      <w:r>
        <w:rPr>
          <w:szCs w:val="30"/>
        </w:rPr>
        <w:t>Student records</w:t>
      </w:r>
    </w:p>
    <w:p>
      <w:pPr>
        <w:pStyle w:val="TOC8"/>
        <w:rPr>
          <w:sz w:val="24"/>
          <w:szCs w:val="24"/>
        </w:rPr>
      </w:pPr>
      <w:r>
        <w:rPr>
          <w:szCs w:val="24"/>
        </w:rPr>
        <w:t>19A.</w:t>
      </w:r>
      <w:r>
        <w:rPr>
          <w:szCs w:val="24"/>
        </w:rPr>
        <w:tab/>
        <w:t>Terms used in this Part</w:t>
      </w:r>
      <w:r>
        <w:tab/>
      </w:r>
      <w:r>
        <w:fldChar w:fldCharType="begin"/>
      </w:r>
      <w:r>
        <w:instrText xml:space="preserve"> PAGEREF _Toc274207126 \h </w:instrText>
      </w:r>
      <w:r>
        <w:fldChar w:fldCharType="separate"/>
      </w:r>
      <w:r>
        <w:t>16</w:t>
      </w:r>
      <w:r>
        <w:fldChar w:fldCharType="end"/>
      </w:r>
    </w:p>
    <w:p>
      <w:pPr>
        <w:pStyle w:val="TOC8"/>
        <w:rPr>
          <w:sz w:val="24"/>
          <w:szCs w:val="24"/>
        </w:rPr>
      </w:pPr>
      <w:r>
        <w:rPr>
          <w:szCs w:val="24"/>
        </w:rPr>
        <w:t>19B.</w:t>
      </w:r>
      <w:r>
        <w:rPr>
          <w:szCs w:val="24"/>
        </w:rPr>
        <w:tab/>
        <w:t>Application of this Part to overseas students</w:t>
      </w:r>
      <w:r>
        <w:tab/>
      </w:r>
      <w:r>
        <w:fldChar w:fldCharType="begin"/>
      </w:r>
      <w:r>
        <w:instrText xml:space="preserve"> PAGEREF _Toc274207127 \h </w:instrText>
      </w:r>
      <w:r>
        <w:fldChar w:fldCharType="separate"/>
      </w:r>
      <w:r>
        <w:t>18</w:t>
      </w:r>
      <w:r>
        <w:fldChar w:fldCharType="end"/>
      </w:r>
    </w:p>
    <w:p>
      <w:pPr>
        <w:pStyle w:val="TOC8"/>
        <w:rPr>
          <w:sz w:val="24"/>
          <w:szCs w:val="24"/>
        </w:rPr>
      </w:pPr>
      <w:r>
        <w:rPr>
          <w:szCs w:val="24"/>
        </w:rPr>
        <w:t>19C.</w:t>
      </w:r>
      <w:r>
        <w:rPr>
          <w:szCs w:val="24"/>
        </w:rPr>
        <w:tab/>
        <w:t>When student record to be opened</w:t>
      </w:r>
      <w:r>
        <w:tab/>
      </w:r>
      <w:r>
        <w:fldChar w:fldCharType="begin"/>
      </w:r>
      <w:r>
        <w:instrText xml:space="preserve"> PAGEREF _Toc274207128 \h </w:instrText>
      </w:r>
      <w:r>
        <w:fldChar w:fldCharType="separate"/>
      </w:r>
      <w:r>
        <w:t>18</w:t>
      </w:r>
      <w:r>
        <w:fldChar w:fldCharType="end"/>
      </w:r>
    </w:p>
    <w:p>
      <w:pPr>
        <w:pStyle w:val="TOC8"/>
        <w:rPr>
          <w:sz w:val="24"/>
          <w:szCs w:val="24"/>
        </w:rPr>
      </w:pPr>
      <w:r>
        <w:rPr>
          <w:szCs w:val="24"/>
        </w:rPr>
        <w:t>19D.</w:t>
      </w:r>
      <w:r>
        <w:rPr>
          <w:szCs w:val="24"/>
        </w:rPr>
        <w:tab/>
        <w:t>Provider may be directed to open student record</w:t>
      </w:r>
      <w:r>
        <w:tab/>
      </w:r>
      <w:r>
        <w:fldChar w:fldCharType="begin"/>
      </w:r>
      <w:r>
        <w:instrText xml:space="preserve"> PAGEREF _Toc274207129 \h </w:instrText>
      </w:r>
      <w:r>
        <w:fldChar w:fldCharType="separate"/>
      </w:r>
      <w:r>
        <w:t>19</w:t>
      </w:r>
      <w:r>
        <w:fldChar w:fldCharType="end"/>
      </w:r>
    </w:p>
    <w:p>
      <w:pPr>
        <w:pStyle w:val="TOC8"/>
        <w:rPr>
          <w:sz w:val="24"/>
          <w:szCs w:val="24"/>
        </w:rPr>
      </w:pPr>
      <w:r>
        <w:rPr>
          <w:szCs w:val="24"/>
        </w:rPr>
        <w:t>19E.</w:t>
      </w:r>
      <w:r>
        <w:rPr>
          <w:szCs w:val="24"/>
        </w:rPr>
        <w:tab/>
        <w:t>How student record is opened</w:t>
      </w:r>
      <w:r>
        <w:tab/>
      </w:r>
      <w:r>
        <w:fldChar w:fldCharType="begin"/>
      </w:r>
      <w:r>
        <w:instrText xml:space="preserve"> PAGEREF _Toc274207130 \h </w:instrText>
      </w:r>
      <w:r>
        <w:fldChar w:fldCharType="separate"/>
      </w:r>
      <w:r>
        <w:t>19</w:t>
      </w:r>
      <w:r>
        <w:fldChar w:fldCharType="end"/>
      </w:r>
    </w:p>
    <w:p>
      <w:pPr>
        <w:pStyle w:val="TOC8"/>
        <w:rPr>
          <w:sz w:val="24"/>
          <w:szCs w:val="24"/>
        </w:rPr>
      </w:pPr>
      <w:r>
        <w:rPr>
          <w:szCs w:val="24"/>
        </w:rPr>
        <w:t>19F.</w:t>
      </w:r>
      <w:r>
        <w:rPr>
          <w:szCs w:val="24"/>
        </w:rPr>
        <w:tab/>
        <w:t>Notifications relating to enrolment and employment</w:t>
      </w:r>
      <w:r>
        <w:tab/>
      </w:r>
      <w:r>
        <w:fldChar w:fldCharType="begin"/>
      </w:r>
      <w:r>
        <w:instrText xml:space="preserve"> PAGEREF _Toc274207131 \h </w:instrText>
      </w:r>
      <w:r>
        <w:fldChar w:fldCharType="separate"/>
      </w:r>
      <w:r>
        <w:t>19</w:t>
      </w:r>
      <w:r>
        <w:fldChar w:fldCharType="end"/>
      </w:r>
    </w:p>
    <w:p>
      <w:pPr>
        <w:pStyle w:val="TOC8"/>
        <w:rPr>
          <w:sz w:val="24"/>
          <w:szCs w:val="24"/>
        </w:rPr>
      </w:pPr>
      <w:r>
        <w:rPr>
          <w:szCs w:val="24"/>
        </w:rPr>
        <w:t>19G.</w:t>
      </w:r>
      <w:r>
        <w:rPr>
          <w:szCs w:val="24"/>
        </w:rPr>
        <w:tab/>
        <w:t>Notification of achievements</w:t>
      </w:r>
      <w:r>
        <w:tab/>
      </w:r>
      <w:r>
        <w:fldChar w:fldCharType="begin"/>
      </w:r>
      <w:r>
        <w:instrText xml:space="preserve"> PAGEREF _Toc274207132 \h </w:instrText>
      </w:r>
      <w:r>
        <w:fldChar w:fldCharType="separate"/>
      </w:r>
      <w:r>
        <w:t>20</w:t>
      </w:r>
      <w:r>
        <w:fldChar w:fldCharType="end"/>
      </w:r>
    </w:p>
    <w:p>
      <w:pPr>
        <w:pStyle w:val="TOC8"/>
        <w:rPr>
          <w:sz w:val="24"/>
          <w:szCs w:val="24"/>
        </w:rPr>
      </w:pPr>
      <w:r>
        <w:rPr>
          <w:szCs w:val="24"/>
        </w:rPr>
        <w:t>19H.</w:t>
      </w:r>
      <w:r>
        <w:rPr>
          <w:szCs w:val="24"/>
        </w:rPr>
        <w:tab/>
        <w:t>Further provisions relating to information</w:t>
      </w:r>
      <w:r>
        <w:tab/>
      </w:r>
      <w:r>
        <w:fldChar w:fldCharType="begin"/>
      </w:r>
      <w:r>
        <w:instrText xml:space="preserve"> PAGEREF _Toc274207133 \h </w:instrText>
      </w:r>
      <w:r>
        <w:fldChar w:fldCharType="separate"/>
      </w:r>
      <w:r>
        <w:t>21</w:t>
      </w:r>
      <w:r>
        <w:fldChar w:fldCharType="end"/>
      </w:r>
    </w:p>
    <w:p>
      <w:pPr>
        <w:pStyle w:val="TOC8"/>
        <w:rPr>
          <w:sz w:val="24"/>
          <w:szCs w:val="24"/>
        </w:rPr>
      </w:pPr>
      <w:r>
        <w:rPr>
          <w:szCs w:val="24"/>
        </w:rPr>
        <w:t>19I.</w:t>
      </w:r>
      <w:r>
        <w:rPr>
          <w:szCs w:val="24"/>
        </w:rPr>
        <w:tab/>
        <w:t>Database of student records and use of information by Council</w:t>
      </w:r>
      <w:r>
        <w:tab/>
      </w:r>
      <w:r>
        <w:fldChar w:fldCharType="begin"/>
      </w:r>
      <w:r>
        <w:instrText xml:space="preserve"> PAGEREF _Toc274207134 \h </w:instrText>
      </w:r>
      <w:r>
        <w:fldChar w:fldCharType="separate"/>
      </w:r>
      <w:r>
        <w:t>21</w:t>
      </w:r>
      <w:r>
        <w:fldChar w:fldCharType="end"/>
      </w:r>
    </w:p>
    <w:p>
      <w:pPr>
        <w:pStyle w:val="TOC8"/>
        <w:rPr>
          <w:sz w:val="24"/>
          <w:szCs w:val="24"/>
        </w:rPr>
      </w:pPr>
      <w:r>
        <w:rPr>
          <w:szCs w:val="24"/>
        </w:rPr>
        <w:t>19J.</w:t>
      </w:r>
      <w:r>
        <w:rPr>
          <w:szCs w:val="24"/>
        </w:rPr>
        <w:tab/>
        <w:t>Provision of information to student concerned</w:t>
      </w:r>
      <w:r>
        <w:tab/>
      </w:r>
      <w:r>
        <w:fldChar w:fldCharType="begin"/>
      </w:r>
      <w:r>
        <w:instrText xml:space="preserve"> PAGEREF _Toc274207135 \h </w:instrText>
      </w:r>
      <w:r>
        <w:fldChar w:fldCharType="separate"/>
      </w:r>
      <w:r>
        <w:t>22</w:t>
      </w:r>
      <w:r>
        <w:fldChar w:fldCharType="end"/>
      </w:r>
    </w:p>
    <w:p>
      <w:pPr>
        <w:pStyle w:val="TOC8"/>
        <w:rPr>
          <w:sz w:val="24"/>
          <w:szCs w:val="24"/>
        </w:rPr>
      </w:pPr>
      <w:r>
        <w:rPr>
          <w:szCs w:val="24"/>
        </w:rPr>
        <w:t>19K.</w:t>
      </w:r>
      <w:r>
        <w:rPr>
          <w:szCs w:val="24"/>
        </w:rPr>
        <w:tab/>
        <w:t>Disclosure by Council for checking purposes</w:t>
      </w:r>
      <w:r>
        <w:tab/>
      </w:r>
      <w:r>
        <w:fldChar w:fldCharType="begin"/>
      </w:r>
      <w:r>
        <w:instrText xml:space="preserve"> PAGEREF _Toc274207136 \h </w:instrText>
      </w:r>
      <w:r>
        <w:fldChar w:fldCharType="separate"/>
      </w:r>
      <w:r>
        <w:t>22</w:t>
      </w:r>
      <w:r>
        <w:fldChar w:fldCharType="end"/>
      </w:r>
    </w:p>
    <w:p>
      <w:pPr>
        <w:pStyle w:val="TOC8"/>
        <w:rPr>
          <w:sz w:val="24"/>
          <w:szCs w:val="24"/>
        </w:rPr>
      </w:pPr>
      <w:r>
        <w:rPr>
          <w:szCs w:val="24"/>
        </w:rPr>
        <w:t>19L.</w:t>
      </w:r>
      <w:r>
        <w:rPr>
          <w:szCs w:val="24"/>
        </w:rPr>
        <w:tab/>
        <w:t>Provision of information to Minister for planning purposes</w:t>
      </w:r>
      <w:r>
        <w:tab/>
      </w:r>
      <w:r>
        <w:fldChar w:fldCharType="begin"/>
      </w:r>
      <w:r>
        <w:instrText xml:space="preserve"> PAGEREF _Toc274207137 \h </w:instrText>
      </w:r>
      <w:r>
        <w:fldChar w:fldCharType="separate"/>
      </w:r>
      <w:r>
        <w:t>22</w:t>
      </w:r>
      <w:r>
        <w:fldChar w:fldCharType="end"/>
      </w:r>
    </w:p>
    <w:p>
      <w:pPr>
        <w:pStyle w:val="TOC8"/>
        <w:rPr>
          <w:sz w:val="24"/>
          <w:szCs w:val="24"/>
        </w:rPr>
      </w:pPr>
      <w:r>
        <w:rPr>
          <w:szCs w:val="24"/>
        </w:rPr>
        <w:t>19M.</w:t>
      </w:r>
      <w:r>
        <w:rPr>
          <w:szCs w:val="24"/>
        </w:rPr>
        <w:tab/>
        <w:t>Provision of information to Minister for monitoring and assisting compliance and participation</w:t>
      </w:r>
      <w:r>
        <w:tab/>
      </w:r>
      <w:r>
        <w:fldChar w:fldCharType="begin"/>
      </w:r>
      <w:r>
        <w:instrText xml:space="preserve"> PAGEREF _Toc274207138 \h </w:instrText>
      </w:r>
      <w:r>
        <w:fldChar w:fldCharType="separate"/>
      </w:r>
      <w:r>
        <w:t>23</w:t>
      </w:r>
      <w:r>
        <w:fldChar w:fldCharType="end"/>
      </w:r>
    </w:p>
    <w:p>
      <w:pPr>
        <w:pStyle w:val="TOC8"/>
        <w:rPr>
          <w:sz w:val="24"/>
          <w:szCs w:val="24"/>
        </w:rPr>
      </w:pPr>
      <w:r>
        <w:rPr>
          <w:szCs w:val="24"/>
        </w:rPr>
        <w:t>19N.</w:t>
      </w:r>
      <w:r>
        <w:rPr>
          <w:szCs w:val="24"/>
        </w:rPr>
        <w:tab/>
        <w:t>Disclosure of information by Minister</w:t>
      </w:r>
      <w:r>
        <w:tab/>
      </w:r>
      <w:r>
        <w:fldChar w:fldCharType="begin"/>
      </w:r>
      <w:r>
        <w:instrText xml:space="preserve"> PAGEREF _Toc274207139 \h </w:instrText>
      </w:r>
      <w:r>
        <w:fldChar w:fldCharType="separate"/>
      </w:r>
      <w:r>
        <w:t>24</w:t>
      </w:r>
      <w:r>
        <w:fldChar w:fldCharType="end"/>
      </w:r>
    </w:p>
    <w:p>
      <w:pPr>
        <w:pStyle w:val="TOC8"/>
        <w:rPr>
          <w:sz w:val="24"/>
          <w:szCs w:val="24"/>
        </w:rPr>
      </w:pPr>
      <w:r>
        <w:rPr>
          <w:szCs w:val="24"/>
        </w:rPr>
        <w:t>19O.</w:t>
      </w:r>
      <w:r>
        <w:rPr>
          <w:szCs w:val="24"/>
        </w:rPr>
        <w:tab/>
        <w:t>Delegation and subdelegation</w:t>
      </w:r>
      <w:r>
        <w:tab/>
      </w:r>
      <w:r>
        <w:fldChar w:fldCharType="begin"/>
      </w:r>
      <w:r>
        <w:instrText xml:space="preserve"> PAGEREF _Toc274207140 \h </w:instrText>
      </w:r>
      <w:r>
        <w:fldChar w:fldCharType="separate"/>
      </w:r>
      <w:r>
        <w:t>25</w:t>
      </w:r>
      <w:r>
        <w:fldChar w:fldCharType="end"/>
      </w:r>
    </w:p>
    <w:p>
      <w:pPr>
        <w:pStyle w:val="TOC8"/>
        <w:rPr>
          <w:sz w:val="24"/>
          <w:szCs w:val="24"/>
        </w:rPr>
      </w:pPr>
      <w:r>
        <w:rPr>
          <w:szCs w:val="24"/>
        </w:rPr>
        <w:t>19P.</w:t>
      </w:r>
      <w:r>
        <w:rPr>
          <w:szCs w:val="24"/>
        </w:rPr>
        <w:tab/>
        <w:t>Provision of information to certain entities</w:t>
      </w:r>
      <w:r>
        <w:tab/>
      </w:r>
      <w:r>
        <w:fldChar w:fldCharType="begin"/>
      </w:r>
      <w:r>
        <w:instrText xml:space="preserve"> PAGEREF _Toc274207141 \h </w:instrText>
      </w:r>
      <w:r>
        <w:fldChar w:fldCharType="separate"/>
      </w:r>
      <w:r>
        <w:t>25</w:t>
      </w:r>
      <w:r>
        <w:fldChar w:fldCharType="end"/>
      </w:r>
    </w:p>
    <w:p>
      <w:pPr>
        <w:pStyle w:val="TOC2"/>
        <w:tabs>
          <w:tab w:val="right" w:leader="dot" w:pos="7086"/>
        </w:tabs>
        <w:rPr>
          <w:b w:val="0"/>
          <w:sz w:val="24"/>
          <w:szCs w:val="24"/>
        </w:rPr>
      </w:pPr>
      <w:r>
        <w:rPr>
          <w:szCs w:val="30"/>
        </w:rPr>
        <w:t>Part 4 — Staff</w:t>
      </w:r>
    </w:p>
    <w:p>
      <w:pPr>
        <w:pStyle w:val="TOC8"/>
        <w:rPr>
          <w:sz w:val="24"/>
          <w:szCs w:val="24"/>
        </w:rPr>
      </w:pPr>
      <w:r>
        <w:rPr>
          <w:szCs w:val="24"/>
        </w:rPr>
        <w:t>20</w:t>
      </w:r>
      <w:r>
        <w:rPr>
          <w:snapToGrid w:val="0"/>
          <w:szCs w:val="24"/>
        </w:rPr>
        <w:t>.</w:t>
      </w:r>
      <w:r>
        <w:rPr>
          <w:snapToGrid w:val="0"/>
          <w:szCs w:val="24"/>
        </w:rPr>
        <w:tab/>
        <w:t>Chief executive officer</w:t>
      </w:r>
      <w:r>
        <w:tab/>
      </w:r>
      <w:r>
        <w:fldChar w:fldCharType="begin"/>
      </w:r>
      <w:r>
        <w:instrText xml:space="preserve"> PAGEREF _Toc274207143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Other staff</w:t>
      </w:r>
      <w:r>
        <w:tab/>
      </w:r>
      <w:r>
        <w:fldChar w:fldCharType="begin"/>
      </w:r>
      <w:r>
        <w:instrText xml:space="preserve"> PAGEREF _Toc274207144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Use of other government staff etc.</w:t>
      </w:r>
      <w:r>
        <w:tab/>
      </w:r>
      <w:r>
        <w:fldChar w:fldCharType="begin"/>
      </w:r>
      <w:r>
        <w:instrText xml:space="preserve"> PAGEREF _Toc274207145 \h </w:instrText>
      </w:r>
      <w:r>
        <w:fldChar w:fldCharType="separate"/>
      </w:r>
      <w:r>
        <w:t>27</w:t>
      </w:r>
      <w:r>
        <w:fldChar w:fldCharType="end"/>
      </w:r>
    </w:p>
    <w:p>
      <w:pPr>
        <w:pStyle w:val="TOC2"/>
        <w:tabs>
          <w:tab w:val="right" w:leader="dot" w:pos="7086"/>
        </w:tabs>
        <w:rPr>
          <w:b w:val="0"/>
          <w:sz w:val="24"/>
          <w:szCs w:val="24"/>
        </w:rPr>
      </w:pPr>
      <w:r>
        <w:rPr>
          <w:szCs w:val="30"/>
        </w:rPr>
        <w:t>Part 5 — Financial provisions</w:t>
      </w:r>
    </w:p>
    <w:p>
      <w:pPr>
        <w:pStyle w:val="TOC8"/>
        <w:rPr>
          <w:sz w:val="24"/>
          <w:szCs w:val="24"/>
        </w:rPr>
      </w:pPr>
      <w:r>
        <w:rPr>
          <w:szCs w:val="24"/>
        </w:rPr>
        <w:t>23</w:t>
      </w:r>
      <w:r>
        <w:rPr>
          <w:snapToGrid w:val="0"/>
          <w:szCs w:val="24"/>
        </w:rPr>
        <w:t>.</w:t>
      </w:r>
      <w:r>
        <w:rPr>
          <w:snapToGrid w:val="0"/>
          <w:szCs w:val="24"/>
        </w:rPr>
        <w:tab/>
        <w:t>Funds of Council</w:t>
      </w:r>
      <w:r>
        <w:tab/>
      </w:r>
      <w:r>
        <w:fldChar w:fldCharType="begin"/>
      </w:r>
      <w:r>
        <w:instrText xml:space="preserve"> PAGEREF _Toc274207147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Curriculum Council Account</w:t>
      </w:r>
      <w:r>
        <w:tab/>
      </w:r>
      <w:r>
        <w:fldChar w:fldCharType="begin"/>
      </w:r>
      <w:r>
        <w:instrText xml:space="preserve"> PAGEREF _Toc274207148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Borrowing from Treasury</w:t>
      </w:r>
      <w:r>
        <w:tab/>
      </w:r>
      <w:r>
        <w:fldChar w:fldCharType="begin"/>
      </w:r>
      <w:r>
        <w:instrText xml:space="preserve"> PAGEREF _Toc274207149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Other borrowing</w:t>
      </w:r>
      <w:r>
        <w:tab/>
      </w:r>
      <w:r>
        <w:fldChar w:fldCharType="begin"/>
      </w:r>
      <w:r>
        <w:instrText xml:space="preserve"> PAGEREF _Toc274207150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Guarantee by Treasurer</w:t>
      </w:r>
      <w:r>
        <w:tab/>
      </w:r>
      <w:r>
        <w:fldChar w:fldCharType="begin"/>
      </w:r>
      <w:r>
        <w:instrText xml:space="preserve"> PAGEREF _Toc274207151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Effect of guarantee</w:t>
      </w:r>
      <w:r>
        <w:tab/>
      </w:r>
      <w:r>
        <w:fldChar w:fldCharType="begin"/>
      </w:r>
      <w:r>
        <w:instrText xml:space="preserve"> PAGEREF _Toc274207152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_Toc274207153 \h </w:instrText>
      </w:r>
      <w:r>
        <w:fldChar w:fldCharType="separate"/>
      </w:r>
      <w:r>
        <w:t>30</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30</w:t>
      </w:r>
      <w:r>
        <w:rPr>
          <w:snapToGrid w:val="0"/>
          <w:szCs w:val="24"/>
        </w:rPr>
        <w:t>.</w:t>
      </w:r>
      <w:r>
        <w:rPr>
          <w:snapToGrid w:val="0"/>
          <w:szCs w:val="24"/>
        </w:rPr>
        <w:tab/>
        <w:t>Protection from liability</w:t>
      </w:r>
      <w:r>
        <w:tab/>
      </w:r>
      <w:r>
        <w:fldChar w:fldCharType="begin"/>
      </w:r>
      <w:r>
        <w:instrText xml:space="preserve"> PAGEREF _Toc274207155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Execution of documents by Council</w:t>
      </w:r>
      <w:r>
        <w:tab/>
      </w:r>
      <w:r>
        <w:fldChar w:fldCharType="begin"/>
      </w:r>
      <w:r>
        <w:instrText xml:space="preserve"> PAGEREF _Toc274207156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Confidentiality</w:t>
      </w:r>
      <w:r>
        <w:tab/>
      </w:r>
      <w:r>
        <w:fldChar w:fldCharType="begin"/>
      </w:r>
      <w:r>
        <w:instrText xml:space="preserve"> PAGEREF _Toc274207157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_Toc274207158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Repeal</w:t>
      </w:r>
      <w:r>
        <w:tab/>
      </w:r>
      <w:r>
        <w:fldChar w:fldCharType="begin"/>
      </w:r>
      <w:r>
        <w:instrText xml:space="preserve"> PAGEREF _Toc274207159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Review of Act</w:t>
      </w:r>
      <w:r>
        <w:tab/>
      </w:r>
      <w:r>
        <w:fldChar w:fldCharType="begin"/>
      </w:r>
      <w:r>
        <w:instrText xml:space="preserve"> PAGEREF _Toc274207160 \h </w:instrText>
      </w:r>
      <w:r>
        <w:fldChar w:fldCharType="separate"/>
      </w:r>
      <w:r>
        <w:t>34</w:t>
      </w:r>
      <w:r>
        <w:fldChar w:fldCharType="end"/>
      </w:r>
    </w:p>
    <w:p>
      <w:pPr>
        <w:pStyle w:val="TOC2"/>
        <w:tabs>
          <w:tab w:val="right" w:leader="dot" w:pos="7086"/>
        </w:tabs>
        <w:rPr>
          <w:b w:val="0"/>
          <w:sz w:val="24"/>
          <w:szCs w:val="24"/>
        </w:rPr>
      </w:pPr>
      <w:r>
        <w:rPr>
          <w:szCs w:val="28"/>
        </w:rPr>
        <w:t>Schedule 1 — Provisions as to Council</w:t>
      </w:r>
    </w:p>
    <w:p>
      <w:pPr>
        <w:pStyle w:val="TOC4"/>
        <w:tabs>
          <w:tab w:val="right" w:leader="dot" w:pos="7086"/>
        </w:tabs>
        <w:rPr>
          <w:b w:val="0"/>
          <w:sz w:val="24"/>
          <w:szCs w:val="24"/>
        </w:rPr>
      </w:pPr>
      <w:r>
        <w:rPr>
          <w:szCs w:val="24"/>
        </w:rPr>
        <w:t>Division 1 — Provisions as to constitution and proceedings of the Council</w:t>
      </w:r>
    </w:p>
    <w:p>
      <w:pPr>
        <w:pStyle w:val="TOC8"/>
        <w:rPr>
          <w:sz w:val="24"/>
          <w:szCs w:val="24"/>
        </w:rPr>
      </w:pPr>
      <w:r>
        <w:rPr>
          <w:szCs w:val="22"/>
        </w:rPr>
        <w:t>1.</w:t>
      </w:r>
      <w:r>
        <w:rPr>
          <w:szCs w:val="22"/>
        </w:rPr>
        <w:tab/>
        <w:t>Term of office</w:t>
      </w:r>
      <w:r>
        <w:tab/>
      </w:r>
      <w:r>
        <w:fldChar w:fldCharType="begin"/>
      </w:r>
      <w:r>
        <w:instrText xml:space="preserve"> PAGEREF _Toc274207163 \h </w:instrText>
      </w:r>
      <w:r>
        <w:fldChar w:fldCharType="separate"/>
      </w:r>
      <w:r>
        <w:t>35</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_Toc274207164 \h </w:instrText>
      </w:r>
      <w:r>
        <w:fldChar w:fldCharType="separate"/>
      </w:r>
      <w:r>
        <w:t>35</w:t>
      </w:r>
      <w:r>
        <w:fldChar w:fldCharType="end"/>
      </w:r>
    </w:p>
    <w:p>
      <w:pPr>
        <w:pStyle w:val="TOC8"/>
        <w:rPr>
          <w:sz w:val="24"/>
          <w:szCs w:val="24"/>
        </w:rPr>
      </w:pPr>
      <w:r>
        <w:rPr>
          <w:szCs w:val="22"/>
        </w:rPr>
        <w:t>3.</w:t>
      </w:r>
      <w:r>
        <w:rPr>
          <w:szCs w:val="22"/>
        </w:rPr>
        <w:tab/>
        <w:t>Leave of absence</w:t>
      </w:r>
      <w:r>
        <w:tab/>
      </w:r>
      <w:r>
        <w:fldChar w:fldCharType="begin"/>
      </w:r>
      <w:r>
        <w:instrText xml:space="preserve"> PAGEREF _Toc274207165 \h </w:instrText>
      </w:r>
      <w:r>
        <w:fldChar w:fldCharType="separate"/>
      </w:r>
      <w:r>
        <w:t>35</w:t>
      </w:r>
      <w:r>
        <w:fldChar w:fldCharType="end"/>
      </w:r>
    </w:p>
    <w:p>
      <w:pPr>
        <w:pStyle w:val="TOC8"/>
        <w:rPr>
          <w:sz w:val="24"/>
          <w:szCs w:val="24"/>
        </w:rPr>
      </w:pPr>
      <w:r>
        <w:rPr>
          <w:szCs w:val="22"/>
        </w:rPr>
        <w:t>4.</w:t>
      </w:r>
      <w:r>
        <w:rPr>
          <w:szCs w:val="22"/>
        </w:rPr>
        <w:tab/>
        <w:t>Appointed member unable to act</w:t>
      </w:r>
      <w:r>
        <w:tab/>
      </w:r>
      <w:r>
        <w:fldChar w:fldCharType="begin"/>
      </w:r>
      <w:r>
        <w:instrText xml:space="preserve"> PAGEREF _Toc274207166 \h </w:instrText>
      </w:r>
      <w:r>
        <w:fldChar w:fldCharType="separate"/>
      </w:r>
      <w:r>
        <w:t>36</w:t>
      </w:r>
      <w:r>
        <w:fldChar w:fldCharType="end"/>
      </w:r>
    </w:p>
    <w:p>
      <w:pPr>
        <w:pStyle w:val="TOC8"/>
        <w:rPr>
          <w:sz w:val="24"/>
          <w:szCs w:val="24"/>
        </w:rPr>
      </w:pPr>
      <w:r>
        <w:rPr>
          <w:szCs w:val="22"/>
        </w:rPr>
        <w:t>5.</w:t>
      </w:r>
      <w:r>
        <w:rPr>
          <w:szCs w:val="22"/>
        </w:rPr>
        <w:tab/>
        <w:t>Chief executive officer unable to attend</w:t>
      </w:r>
      <w:r>
        <w:tab/>
      </w:r>
      <w:r>
        <w:fldChar w:fldCharType="begin"/>
      </w:r>
      <w:r>
        <w:instrText xml:space="preserve"> PAGEREF _Toc274207167 \h </w:instrText>
      </w:r>
      <w:r>
        <w:fldChar w:fldCharType="separate"/>
      </w:r>
      <w:r>
        <w:t>36</w:t>
      </w:r>
      <w:r>
        <w:fldChar w:fldCharType="end"/>
      </w:r>
    </w:p>
    <w:p>
      <w:pPr>
        <w:pStyle w:val="TOC8"/>
        <w:rPr>
          <w:sz w:val="24"/>
          <w:szCs w:val="24"/>
        </w:rPr>
      </w:pPr>
      <w:r>
        <w:rPr>
          <w:szCs w:val="22"/>
        </w:rPr>
        <w:t>6.</w:t>
      </w:r>
      <w:r>
        <w:rPr>
          <w:szCs w:val="22"/>
        </w:rPr>
        <w:tab/>
        <w:t>Saving</w:t>
      </w:r>
      <w:r>
        <w:tab/>
      </w:r>
      <w:r>
        <w:fldChar w:fldCharType="begin"/>
      </w:r>
      <w:r>
        <w:instrText xml:space="preserve"> PAGEREF _Toc274207168 \h </w:instrText>
      </w:r>
      <w:r>
        <w:fldChar w:fldCharType="separate"/>
      </w:r>
      <w:r>
        <w:t>36</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_Toc274207169 \h </w:instrText>
      </w:r>
      <w:r>
        <w:fldChar w:fldCharType="separate"/>
      </w:r>
      <w:r>
        <w:t>36</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_Toc274207170 \h </w:instrText>
      </w:r>
      <w:r>
        <w:fldChar w:fldCharType="separate"/>
      </w:r>
      <w:r>
        <w:t>36</w:t>
      </w:r>
      <w:r>
        <w:fldChar w:fldCharType="end"/>
      </w:r>
    </w:p>
    <w:p>
      <w:pPr>
        <w:pStyle w:val="TOC8"/>
        <w:rPr>
          <w:sz w:val="24"/>
          <w:szCs w:val="24"/>
        </w:rPr>
      </w:pPr>
      <w:r>
        <w:rPr>
          <w:szCs w:val="22"/>
        </w:rPr>
        <w:t>9.</w:t>
      </w:r>
      <w:r>
        <w:rPr>
          <w:szCs w:val="22"/>
        </w:rPr>
        <w:tab/>
        <w:t>Quorum</w:t>
      </w:r>
      <w:r>
        <w:tab/>
      </w:r>
      <w:r>
        <w:fldChar w:fldCharType="begin"/>
      </w:r>
      <w:r>
        <w:instrText xml:space="preserve"> PAGEREF _Toc274207171 \h </w:instrText>
      </w:r>
      <w:r>
        <w:fldChar w:fldCharType="separate"/>
      </w:r>
      <w:r>
        <w:t>37</w:t>
      </w:r>
      <w:r>
        <w:fldChar w:fldCharType="end"/>
      </w:r>
    </w:p>
    <w:p>
      <w:pPr>
        <w:pStyle w:val="TOC8"/>
        <w:rPr>
          <w:sz w:val="24"/>
          <w:szCs w:val="24"/>
        </w:rPr>
      </w:pPr>
      <w:r>
        <w:rPr>
          <w:szCs w:val="22"/>
        </w:rPr>
        <w:t>10.</w:t>
      </w:r>
      <w:r>
        <w:rPr>
          <w:szCs w:val="22"/>
        </w:rPr>
        <w:tab/>
        <w:t>Voting</w:t>
      </w:r>
      <w:r>
        <w:tab/>
      </w:r>
      <w:r>
        <w:fldChar w:fldCharType="begin"/>
      </w:r>
      <w:r>
        <w:instrText xml:space="preserve"> PAGEREF _Toc274207172 \h </w:instrText>
      </w:r>
      <w:r>
        <w:fldChar w:fldCharType="separate"/>
      </w:r>
      <w:r>
        <w:t>37</w:t>
      </w:r>
      <w:r>
        <w:fldChar w:fldCharType="end"/>
      </w:r>
    </w:p>
    <w:p>
      <w:pPr>
        <w:pStyle w:val="TOC8"/>
        <w:rPr>
          <w:sz w:val="24"/>
          <w:szCs w:val="24"/>
        </w:rPr>
      </w:pPr>
      <w:r>
        <w:rPr>
          <w:szCs w:val="22"/>
        </w:rPr>
        <w:t>11.</w:t>
      </w:r>
      <w:r>
        <w:rPr>
          <w:szCs w:val="22"/>
        </w:rPr>
        <w:tab/>
        <w:t>Minutes</w:t>
      </w:r>
      <w:r>
        <w:tab/>
      </w:r>
      <w:r>
        <w:fldChar w:fldCharType="begin"/>
      </w:r>
      <w:r>
        <w:instrText xml:space="preserve"> PAGEREF _Toc274207173 \h </w:instrText>
      </w:r>
      <w:r>
        <w:fldChar w:fldCharType="separate"/>
      </w:r>
      <w:r>
        <w:t>37</w:t>
      </w:r>
      <w:r>
        <w:fldChar w:fldCharType="end"/>
      </w:r>
    </w:p>
    <w:p>
      <w:pPr>
        <w:pStyle w:val="TOC8"/>
        <w:rPr>
          <w:sz w:val="24"/>
          <w:szCs w:val="24"/>
        </w:rPr>
      </w:pPr>
      <w:r>
        <w:rPr>
          <w:szCs w:val="22"/>
        </w:rPr>
        <w:t>12.</w:t>
      </w:r>
      <w:r>
        <w:rPr>
          <w:szCs w:val="22"/>
        </w:rPr>
        <w:tab/>
        <w:t>Resolution without meeting</w:t>
      </w:r>
      <w:r>
        <w:tab/>
      </w:r>
      <w:r>
        <w:fldChar w:fldCharType="begin"/>
      </w:r>
      <w:r>
        <w:instrText xml:space="preserve"> PAGEREF _Toc274207174 \h </w:instrText>
      </w:r>
      <w:r>
        <w:fldChar w:fldCharType="separate"/>
      </w:r>
      <w:r>
        <w:t>37</w:t>
      </w:r>
      <w:r>
        <w:fldChar w:fldCharType="end"/>
      </w:r>
    </w:p>
    <w:p>
      <w:pPr>
        <w:pStyle w:val="TOC8"/>
        <w:rPr>
          <w:sz w:val="24"/>
          <w:szCs w:val="24"/>
        </w:rPr>
      </w:pPr>
      <w:r>
        <w:rPr>
          <w:szCs w:val="22"/>
        </w:rPr>
        <w:t>13.</w:t>
      </w:r>
      <w:r>
        <w:rPr>
          <w:szCs w:val="22"/>
        </w:rPr>
        <w:tab/>
        <w:t>Telephone or video meetings</w:t>
      </w:r>
      <w:r>
        <w:tab/>
      </w:r>
      <w:r>
        <w:fldChar w:fldCharType="begin"/>
      </w:r>
      <w:r>
        <w:instrText xml:space="preserve"> PAGEREF _Toc274207175 \h </w:instrText>
      </w:r>
      <w:r>
        <w:fldChar w:fldCharType="separate"/>
      </w:r>
      <w:r>
        <w:t>37</w:t>
      </w:r>
      <w:r>
        <w:fldChar w:fldCharType="end"/>
      </w:r>
    </w:p>
    <w:p>
      <w:pPr>
        <w:pStyle w:val="TOC8"/>
        <w:rPr>
          <w:sz w:val="24"/>
          <w:szCs w:val="24"/>
        </w:rPr>
      </w:pPr>
      <w:r>
        <w:rPr>
          <w:szCs w:val="22"/>
        </w:rPr>
        <w:t>14.</w:t>
      </w:r>
      <w:r>
        <w:rPr>
          <w:szCs w:val="22"/>
        </w:rPr>
        <w:tab/>
        <w:t>Committees</w:t>
      </w:r>
      <w:r>
        <w:tab/>
      </w:r>
      <w:r>
        <w:fldChar w:fldCharType="begin"/>
      </w:r>
      <w:r>
        <w:instrText xml:space="preserve"> PAGEREF _Toc274207176 \h </w:instrText>
      </w:r>
      <w:r>
        <w:fldChar w:fldCharType="separate"/>
      </w:r>
      <w:r>
        <w:t>37</w:t>
      </w:r>
      <w:r>
        <w:fldChar w:fldCharType="end"/>
      </w:r>
    </w:p>
    <w:p>
      <w:pPr>
        <w:pStyle w:val="TOC8"/>
        <w:rPr>
          <w:sz w:val="24"/>
          <w:szCs w:val="24"/>
        </w:rPr>
      </w:pPr>
      <w:r>
        <w:rPr>
          <w:szCs w:val="22"/>
        </w:rPr>
        <w:t>15.</w:t>
      </w:r>
      <w:r>
        <w:rPr>
          <w:szCs w:val="22"/>
        </w:rPr>
        <w:tab/>
        <w:t>Council to determine own procedures</w:t>
      </w:r>
      <w:r>
        <w:tab/>
      </w:r>
      <w:r>
        <w:fldChar w:fldCharType="begin"/>
      </w:r>
      <w:r>
        <w:instrText xml:space="preserve"> PAGEREF _Toc274207177 \h </w:instrText>
      </w:r>
      <w:r>
        <w:fldChar w:fldCharType="separate"/>
      </w:r>
      <w:r>
        <w:t>38</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 of interests</w:t>
      </w:r>
      <w:r>
        <w:tab/>
      </w:r>
      <w:r>
        <w:fldChar w:fldCharType="begin"/>
      </w:r>
      <w:r>
        <w:instrText xml:space="preserve"> PAGEREF _Toc274207179 \h </w:instrText>
      </w:r>
      <w:r>
        <w:fldChar w:fldCharType="separate"/>
      </w:r>
      <w:r>
        <w:t>38</w:t>
      </w:r>
      <w:r>
        <w:fldChar w:fldCharType="end"/>
      </w:r>
    </w:p>
    <w:p>
      <w:pPr>
        <w:pStyle w:val="TOC8"/>
        <w:rPr>
          <w:sz w:val="24"/>
          <w:szCs w:val="24"/>
        </w:rPr>
      </w:pPr>
      <w:r>
        <w:rPr>
          <w:szCs w:val="22"/>
        </w:rPr>
        <w:t>17.</w:t>
      </w:r>
      <w:r>
        <w:rPr>
          <w:szCs w:val="22"/>
        </w:rPr>
        <w:tab/>
        <w:t>Voting by interested members</w:t>
      </w:r>
      <w:r>
        <w:tab/>
      </w:r>
      <w:r>
        <w:fldChar w:fldCharType="begin"/>
      </w:r>
      <w:r>
        <w:instrText xml:space="preserve"> PAGEREF _Toc274207180 \h </w:instrText>
      </w:r>
      <w:r>
        <w:fldChar w:fldCharType="separate"/>
      </w:r>
      <w:r>
        <w:t>38</w:t>
      </w:r>
      <w:r>
        <w:fldChar w:fldCharType="end"/>
      </w:r>
    </w:p>
    <w:p>
      <w:pPr>
        <w:pStyle w:val="TOC8"/>
        <w:rPr>
          <w:sz w:val="24"/>
          <w:szCs w:val="24"/>
        </w:rPr>
      </w:pPr>
      <w:r>
        <w:rPr>
          <w:szCs w:val="22"/>
        </w:rPr>
        <w:t>18.</w:t>
      </w:r>
      <w:r>
        <w:rPr>
          <w:szCs w:val="22"/>
        </w:rPr>
        <w:tab/>
        <w:t>Clause 17 may be declared inapplicable</w:t>
      </w:r>
      <w:r>
        <w:tab/>
      </w:r>
      <w:r>
        <w:fldChar w:fldCharType="begin"/>
      </w:r>
      <w:r>
        <w:instrText xml:space="preserve"> PAGEREF _Toc274207181 \h </w:instrText>
      </w:r>
      <w:r>
        <w:fldChar w:fldCharType="separate"/>
      </w:r>
      <w:r>
        <w:t>39</w:t>
      </w:r>
      <w:r>
        <w:fldChar w:fldCharType="end"/>
      </w:r>
    </w:p>
    <w:p>
      <w:pPr>
        <w:pStyle w:val="TOC8"/>
        <w:rPr>
          <w:sz w:val="24"/>
          <w:szCs w:val="24"/>
        </w:rPr>
      </w:pPr>
      <w:r>
        <w:rPr>
          <w:szCs w:val="22"/>
        </w:rPr>
        <w:t>19.</w:t>
      </w:r>
      <w:r>
        <w:rPr>
          <w:szCs w:val="22"/>
        </w:rPr>
        <w:tab/>
        <w:t>Quorum where clause 18 applies</w:t>
      </w:r>
      <w:r>
        <w:tab/>
      </w:r>
      <w:r>
        <w:fldChar w:fldCharType="begin"/>
      </w:r>
      <w:r>
        <w:instrText xml:space="preserve"> PAGEREF _Toc274207182 \h </w:instrText>
      </w:r>
      <w:r>
        <w:fldChar w:fldCharType="separate"/>
      </w:r>
      <w:r>
        <w:t>39</w:t>
      </w:r>
      <w:r>
        <w:fldChar w:fldCharType="end"/>
      </w:r>
    </w:p>
    <w:p>
      <w:pPr>
        <w:pStyle w:val="TOC8"/>
        <w:rPr>
          <w:sz w:val="24"/>
          <w:szCs w:val="24"/>
        </w:rPr>
      </w:pPr>
      <w:r>
        <w:rPr>
          <w:szCs w:val="22"/>
        </w:rPr>
        <w:t>20.</w:t>
      </w:r>
      <w:r>
        <w:rPr>
          <w:szCs w:val="22"/>
        </w:rPr>
        <w:tab/>
        <w:t>Minister may declare clauses 17 and 19 inapplicable</w:t>
      </w:r>
      <w:r>
        <w:tab/>
      </w:r>
      <w:r>
        <w:fldChar w:fldCharType="begin"/>
      </w:r>
      <w:r>
        <w:instrText xml:space="preserve"> PAGEREF _Toc274207183 \h </w:instrText>
      </w:r>
      <w:r>
        <w:fldChar w:fldCharType="separate"/>
      </w:r>
      <w:r>
        <w:t>39</w:t>
      </w:r>
      <w:r>
        <w:fldChar w:fldCharType="end"/>
      </w:r>
    </w:p>
    <w:p>
      <w:pPr>
        <w:pStyle w:val="TOC2"/>
        <w:tabs>
          <w:tab w:val="right" w:leader="dot" w:pos="7086"/>
        </w:tabs>
        <w:rPr>
          <w:b w:val="0"/>
          <w:sz w:val="24"/>
          <w:szCs w:val="24"/>
        </w:rPr>
      </w:pPr>
      <w:r>
        <w:rPr>
          <w:szCs w:val="28"/>
        </w:rPr>
        <w:t>Schedule 2 — Transitional and savings provisions</w:t>
      </w:r>
    </w:p>
    <w:p>
      <w:pPr>
        <w:pStyle w:val="TOC8"/>
        <w:rPr>
          <w:sz w:val="24"/>
          <w:szCs w:val="24"/>
        </w:rPr>
      </w:pPr>
      <w:r>
        <w:rPr>
          <w:szCs w:val="22"/>
        </w:rPr>
        <w:t>1.</w:t>
      </w:r>
      <w:r>
        <w:rPr>
          <w:szCs w:val="22"/>
        </w:rPr>
        <w:tab/>
        <w:t>Terms used in this Schedule</w:t>
      </w:r>
      <w:r>
        <w:tab/>
      </w:r>
      <w:r>
        <w:fldChar w:fldCharType="begin"/>
      </w:r>
      <w:r>
        <w:instrText xml:space="preserve"> PAGEREF _Toc274207185 \h </w:instrText>
      </w:r>
      <w:r>
        <w:fldChar w:fldCharType="separate"/>
      </w:r>
      <w:r>
        <w:t>40</w:t>
      </w:r>
      <w:r>
        <w:fldChar w:fldCharType="end"/>
      </w:r>
    </w:p>
    <w:p>
      <w:pPr>
        <w:pStyle w:val="TOC8"/>
        <w:rPr>
          <w:sz w:val="24"/>
          <w:szCs w:val="24"/>
        </w:rPr>
      </w:pPr>
      <w:r>
        <w:rPr>
          <w:szCs w:val="22"/>
        </w:rPr>
        <w:t>2.</w:t>
      </w:r>
      <w:r>
        <w:rPr>
          <w:szCs w:val="22"/>
        </w:rPr>
        <w:tab/>
        <w:t>Interpretation Act to apply</w:t>
      </w:r>
      <w:r>
        <w:tab/>
      </w:r>
      <w:r>
        <w:fldChar w:fldCharType="begin"/>
      </w:r>
      <w:r>
        <w:instrText xml:space="preserve"> PAGEREF _Toc274207186 \h </w:instrText>
      </w:r>
      <w:r>
        <w:fldChar w:fldCharType="separate"/>
      </w:r>
      <w:r>
        <w:t>40</w:t>
      </w:r>
      <w:r>
        <w:fldChar w:fldCharType="end"/>
      </w:r>
    </w:p>
    <w:p>
      <w:pPr>
        <w:pStyle w:val="TOC8"/>
        <w:rPr>
          <w:sz w:val="24"/>
          <w:szCs w:val="24"/>
        </w:rPr>
      </w:pPr>
      <w:r>
        <w:rPr>
          <w:szCs w:val="22"/>
        </w:rPr>
        <w:t>3.</w:t>
      </w:r>
      <w:r>
        <w:rPr>
          <w:szCs w:val="22"/>
        </w:rPr>
        <w:tab/>
        <w:t>Authority abolished</w:t>
      </w:r>
      <w:r>
        <w:tab/>
      </w:r>
      <w:r>
        <w:fldChar w:fldCharType="begin"/>
      </w:r>
      <w:r>
        <w:instrText xml:space="preserve"> PAGEREF _Toc274207187 \h </w:instrText>
      </w:r>
      <w:r>
        <w:fldChar w:fldCharType="separate"/>
      </w:r>
      <w:r>
        <w:t>40</w:t>
      </w:r>
      <w:r>
        <w:fldChar w:fldCharType="end"/>
      </w:r>
    </w:p>
    <w:p>
      <w:pPr>
        <w:pStyle w:val="TOC8"/>
        <w:rPr>
          <w:sz w:val="24"/>
          <w:szCs w:val="24"/>
        </w:rPr>
      </w:pPr>
      <w:r>
        <w:rPr>
          <w:szCs w:val="22"/>
        </w:rPr>
        <w:t>4.</w:t>
      </w:r>
      <w:r>
        <w:rPr>
          <w:szCs w:val="22"/>
        </w:rPr>
        <w:tab/>
        <w:t>Devolution of Authority’s assets, liabilities etc.</w:t>
      </w:r>
      <w:r>
        <w:tab/>
      </w:r>
      <w:r>
        <w:fldChar w:fldCharType="begin"/>
      </w:r>
      <w:r>
        <w:instrText xml:space="preserve"> PAGEREF _Toc274207188 \h </w:instrText>
      </w:r>
      <w:r>
        <w:fldChar w:fldCharType="separate"/>
      </w:r>
      <w:r>
        <w:t>40</w:t>
      </w:r>
      <w:r>
        <w:fldChar w:fldCharType="end"/>
      </w:r>
    </w:p>
    <w:p>
      <w:pPr>
        <w:pStyle w:val="TOC8"/>
        <w:rPr>
          <w:sz w:val="24"/>
          <w:szCs w:val="24"/>
        </w:rPr>
      </w:pPr>
      <w:r>
        <w:rPr>
          <w:szCs w:val="22"/>
        </w:rPr>
        <w:t>5.</w:t>
      </w:r>
      <w:r>
        <w:rPr>
          <w:szCs w:val="22"/>
        </w:rPr>
        <w:tab/>
        <w:t>Transition to staff of Council</w:t>
      </w:r>
      <w:r>
        <w:tab/>
      </w:r>
      <w:r>
        <w:fldChar w:fldCharType="begin"/>
      </w:r>
      <w:r>
        <w:instrText xml:space="preserve"> PAGEREF _Toc274207189 \h </w:instrText>
      </w:r>
      <w:r>
        <w:fldChar w:fldCharType="separate"/>
      </w:r>
      <w:r>
        <w:t>41</w:t>
      </w:r>
      <w:r>
        <w:fldChar w:fldCharType="end"/>
      </w:r>
    </w:p>
    <w:p>
      <w:pPr>
        <w:pStyle w:val="TOC8"/>
        <w:rPr>
          <w:sz w:val="24"/>
          <w:szCs w:val="24"/>
        </w:rPr>
      </w:pPr>
      <w:r>
        <w:rPr>
          <w:szCs w:val="22"/>
        </w:rPr>
        <w:t>6.</w:t>
      </w:r>
      <w:r>
        <w:rPr>
          <w:szCs w:val="22"/>
        </w:rPr>
        <w:tab/>
        <w:t>Employees’ rights preserved</w:t>
      </w:r>
      <w:r>
        <w:tab/>
      </w:r>
      <w:r>
        <w:fldChar w:fldCharType="begin"/>
      </w:r>
      <w:r>
        <w:instrText xml:space="preserve"> PAGEREF _Toc274207190 \h </w:instrText>
      </w:r>
      <w:r>
        <w:fldChar w:fldCharType="separate"/>
      </w:r>
      <w:r>
        <w:t>41</w:t>
      </w:r>
      <w:r>
        <w:fldChar w:fldCharType="end"/>
      </w:r>
    </w:p>
    <w:p>
      <w:pPr>
        <w:pStyle w:val="TOC8"/>
        <w:rPr>
          <w:sz w:val="24"/>
          <w:szCs w:val="24"/>
        </w:rPr>
      </w:pPr>
      <w:r>
        <w:rPr>
          <w:szCs w:val="22"/>
        </w:rPr>
        <w:t>7.</w:t>
      </w:r>
      <w:r>
        <w:rPr>
          <w:szCs w:val="22"/>
        </w:rPr>
        <w:tab/>
        <w:t>Funds</w:t>
      </w:r>
      <w:r>
        <w:tab/>
      </w:r>
      <w:r>
        <w:fldChar w:fldCharType="begin"/>
      </w:r>
      <w:r>
        <w:instrText xml:space="preserve"> PAGEREF _Toc274207191 \h </w:instrText>
      </w:r>
      <w:r>
        <w:fldChar w:fldCharType="separate"/>
      </w:r>
      <w:r>
        <w:t>42</w:t>
      </w:r>
      <w:r>
        <w:fldChar w:fldCharType="end"/>
      </w:r>
    </w:p>
    <w:p>
      <w:pPr>
        <w:pStyle w:val="TOC8"/>
        <w:rPr>
          <w:sz w:val="24"/>
          <w:szCs w:val="24"/>
        </w:rPr>
      </w:pPr>
      <w:r>
        <w:rPr>
          <w:szCs w:val="22"/>
        </w:rPr>
        <w:t>8.</w:t>
      </w:r>
      <w:r>
        <w:rPr>
          <w:szCs w:val="22"/>
        </w:rPr>
        <w:tab/>
        <w:t>Annual report for part of a year</w:t>
      </w:r>
      <w:r>
        <w:tab/>
      </w:r>
      <w:r>
        <w:fldChar w:fldCharType="begin"/>
      </w:r>
      <w:r>
        <w:instrText xml:space="preserve"> PAGEREF _Toc274207192 \h </w:instrText>
      </w:r>
      <w:r>
        <w:fldChar w:fldCharType="separate"/>
      </w:r>
      <w:r>
        <w:t>42</w:t>
      </w:r>
      <w:r>
        <w:fldChar w:fldCharType="end"/>
      </w:r>
    </w:p>
    <w:p>
      <w:pPr>
        <w:pStyle w:val="TOC8"/>
        <w:rPr>
          <w:sz w:val="24"/>
          <w:szCs w:val="24"/>
        </w:rPr>
      </w:pPr>
      <w:r>
        <w:rPr>
          <w:szCs w:val="22"/>
        </w:rPr>
        <w:t>9.</w:t>
      </w:r>
      <w:r>
        <w:rPr>
          <w:szCs w:val="22"/>
        </w:rPr>
        <w:tab/>
        <w:t>Completion of things commenced</w:t>
      </w:r>
      <w:r>
        <w:tab/>
      </w:r>
      <w:r>
        <w:fldChar w:fldCharType="begin"/>
      </w:r>
      <w:r>
        <w:instrText xml:space="preserve"> PAGEREF _Toc274207193 \h </w:instrText>
      </w:r>
      <w:r>
        <w:fldChar w:fldCharType="separate"/>
      </w:r>
      <w:r>
        <w:t>43</w:t>
      </w:r>
      <w:r>
        <w:fldChar w:fldCharType="end"/>
      </w:r>
    </w:p>
    <w:p>
      <w:pPr>
        <w:pStyle w:val="TOC8"/>
        <w:rPr>
          <w:sz w:val="24"/>
          <w:szCs w:val="24"/>
        </w:rPr>
      </w:pPr>
      <w:r>
        <w:rPr>
          <w:szCs w:val="22"/>
        </w:rPr>
        <w:t>10.</w:t>
      </w:r>
      <w:r>
        <w:rPr>
          <w:szCs w:val="22"/>
        </w:rPr>
        <w:tab/>
        <w:t>Continuing effect of things done</w:t>
      </w:r>
      <w:r>
        <w:tab/>
      </w:r>
      <w:r>
        <w:fldChar w:fldCharType="begin"/>
      </w:r>
      <w:r>
        <w:instrText xml:space="preserve"> PAGEREF _Toc274207194 \h </w:instrText>
      </w:r>
      <w:r>
        <w:fldChar w:fldCharType="separate"/>
      </w:r>
      <w:r>
        <w:t>43</w:t>
      </w:r>
      <w:r>
        <w:fldChar w:fldCharType="end"/>
      </w:r>
    </w:p>
    <w:p>
      <w:pPr>
        <w:pStyle w:val="TOC8"/>
        <w:rPr>
          <w:sz w:val="24"/>
          <w:szCs w:val="24"/>
        </w:rPr>
      </w:pPr>
      <w:r>
        <w:rPr>
          <w:szCs w:val="22"/>
        </w:rPr>
        <w:t>11.</w:t>
      </w:r>
      <w:r>
        <w:rPr>
          <w:szCs w:val="22"/>
        </w:rPr>
        <w:tab/>
        <w:t>Immunity to continue</w:t>
      </w:r>
      <w:r>
        <w:tab/>
      </w:r>
      <w:r>
        <w:fldChar w:fldCharType="begin"/>
      </w:r>
      <w:r>
        <w:instrText xml:space="preserve"> PAGEREF _Toc274207195 \h </w:instrText>
      </w:r>
      <w:r>
        <w:fldChar w:fldCharType="separate"/>
      </w:r>
      <w:r>
        <w:t>43</w:t>
      </w:r>
      <w:r>
        <w:fldChar w:fldCharType="end"/>
      </w:r>
    </w:p>
    <w:p>
      <w:pPr>
        <w:pStyle w:val="TOC8"/>
        <w:rPr>
          <w:sz w:val="24"/>
          <w:szCs w:val="24"/>
        </w:rPr>
      </w:pPr>
      <w:r>
        <w:rPr>
          <w:szCs w:val="22"/>
        </w:rPr>
        <w:t>12.</w:t>
      </w:r>
      <w:r>
        <w:rPr>
          <w:szCs w:val="22"/>
        </w:rPr>
        <w:tab/>
        <w:t>Agreements and instruments generally</w:t>
      </w:r>
      <w:r>
        <w:tab/>
      </w:r>
      <w:r>
        <w:fldChar w:fldCharType="begin"/>
      </w:r>
      <w:r>
        <w:instrText xml:space="preserve"> PAGEREF _Toc274207196 \h </w:instrText>
      </w:r>
      <w:r>
        <w:fldChar w:fldCharType="separate"/>
      </w:r>
      <w:r>
        <w:t>43</w:t>
      </w:r>
      <w:r>
        <w:fldChar w:fldCharType="end"/>
      </w:r>
    </w:p>
    <w:p>
      <w:pPr>
        <w:pStyle w:val="TOC8"/>
        <w:rPr>
          <w:sz w:val="24"/>
          <w:szCs w:val="24"/>
        </w:rPr>
      </w:pPr>
      <w:r>
        <w:rPr>
          <w:szCs w:val="22"/>
        </w:rPr>
        <w:t>13.</w:t>
      </w:r>
      <w:r>
        <w:rPr>
          <w:szCs w:val="22"/>
        </w:rPr>
        <w:tab/>
        <w:t>Further transitional provision may be made</w:t>
      </w:r>
      <w:r>
        <w:tab/>
      </w:r>
      <w:r>
        <w:fldChar w:fldCharType="begin"/>
      </w:r>
      <w:r>
        <w:instrText xml:space="preserve"> PAGEREF _Toc274207197 \h </w:instrText>
      </w:r>
      <w:r>
        <w:fldChar w:fldCharType="separate"/>
      </w:r>
      <w:r>
        <w:t>44</w:t>
      </w:r>
      <w:r>
        <w:fldChar w:fldCharType="end"/>
      </w:r>
    </w:p>
    <w:p>
      <w:pPr>
        <w:pStyle w:val="TOC8"/>
        <w:rPr>
          <w:sz w:val="24"/>
          <w:szCs w:val="24"/>
        </w:rPr>
      </w:pPr>
      <w:r>
        <w:rPr>
          <w:szCs w:val="22"/>
        </w:rPr>
        <w:t>14.</w:t>
      </w:r>
      <w:r>
        <w:rPr>
          <w:szCs w:val="22"/>
        </w:rPr>
        <w:tab/>
        <w:t>Exemption from State tax</w:t>
      </w:r>
      <w:r>
        <w:tab/>
      </w:r>
      <w:r>
        <w:fldChar w:fldCharType="begin"/>
      </w:r>
      <w:r>
        <w:instrText xml:space="preserve"> PAGEREF _Toc274207198 \h </w:instrText>
      </w:r>
      <w:r>
        <w:fldChar w:fldCharType="separate"/>
      </w:r>
      <w:r>
        <w:t>44</w:t>
      </w:r>
      <w:r>
        <w:fldChar w:fldCharType="end"/>
      </w:r>
    </w:p>
    <w:p>
      <w:pPr>
        <w:pStyle w:val="TOC8"/>
        <w:rPr>
          <w:sz w:val="24"/>
          <w:szCs w:val="24"/>
        </w:rPr>
      </w:pPr>
      <w:r>
        <w:rPr>
          <w:szCs w:val="22"/>
        </w:rPr>
        <w:t>15.</w:t>
      </w:r>
      <w:r>
        <w:rPr>
          <w:szCs w:val="22"/>
        </w:rPr>
        <w:tab/>
        <w:t>Registration of documents</w:t>
      </w:r>
      <w:r>
        <w:tab/>
      </w:r>
      <w:r>
        <w:fldChar w:fldCharType="begin"/>
      </w:r>
      <w:r>
        <w:instrText xml:space="preserve"> PAGEREF _Toc274207199 \h </w:instrText>
      </w:r>
      <w:r>
        <w:fldChar w:fldCharType="separate"/>
      </w:r>
      <w:r>
        <w:t>45</w:t>
      </w:r>
      <w:r>
        <w:fldChar w:fldCharType="end"/>
      </w:r>
    </w:p>
    <w:p>
      <w:pPr>
        <w:pStyle w:val="TOC8"/>
        <w:rPr>
          <w:sz w:val="24"/>
          <w:szCs w:val="24"/>
        </w:rPr>
      </w:pPr>
      <w:r>
        <w:rPr>
          <w:szCs w:val="22"/>
        </w:rPr>
        <w:t>16.</w:t>
      </w:r>
      <w:r>
        <w:rPr>
          <w:szCs w:val="22"/>
        </w:rPr>
        <w:tab/>
        <w:t>Saving</w:t>
      </w:r>
      <w:r>
        <w:tab/>
      </w:r>
      <w:r>
        <w:fldChar w:fldCharType="begin"/>
      </w:r>
      <w:r>
        <w:instrText xml:space="preserve"> PAGEREF _Toc274207200 \h </w:instrText>
      </w:r>
      <w:r>
        <w:fldChar w:fldCharType="separate"/>
      </w:r>
      <w:r>
        <w:t>45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_Toc274207202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_Toc274207203 \h </w:instrText>
      </w:r>
      <w:r>
        <w:fldChar w:fldCharType="separate"/>
      </w:r>
      <w:r>
        <w:t>47</w:t>
      </w:r>
      <w:r>
        <w:fldChar w:fldCharType="end"/>
      </w:r>
    </w:p>
    <w:p>
      <w:pPr>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Curriculum Council Act 1997</w:t>
      </w:r>
    </w:p>
    <w:p>
      <w:pPr>
        <w:pStyle w:val="LongTitle"/>
        <w:rPr>
          <w:snapToGrid w:val="0"/>
        </w:rPr>
      </w:pPr>
      <w:r>
        <w:rPr>
          <w:snapToGrid w:val="0"/>
        </w:rPr>
        <w:t xml:space="preserve">An Act to establish a council with functions relating to curriculum development and accreditation and certification of student achievement, </w:t>
      </w:r>
      <w:r>
        <w:t xml:space="preserve">to provide for a database relating to participation in education, training or employment by children during their secondary school years, </w:t>
      </w:r>
      <w:r>
        <w:rPr>
          <w:snapToGrid w:val="0"/>
        </w:rPr>
        <w:t xml:space="preserve">to repeal the </w:t>
      </w:r>
      <w:r>
        <w:rPr>
          <w:i/>
          <w:snapToGrid w:val="0"/>
        </w:rPr>
        <w:t>Secondary Education Authority Act 1984</w:t>
      </w:r>
      <w:r>
        <w:rPr>
          <w:snapToGrid w:val="0"/>
        </w:rPr>
        <w:t xml:space="preserve">, and for related purposes. </w:t>
      </w:r>
    </w:p>
    <w:p>
      <w:pPr>
        <w:pStyle w:val="Footnotelongtitle"/>
      </w:pPr>
      <w:r>
        <w:tab/>
        <w:t>[Long title amended by No. 22 of 2005 s. 42.]</w:t>
      </w:r>
    </w:p>
    <w:p>
      <w:pPr>
        <w:pStyle w:val="Heading2"/>
      </w:pPr>
      <w:bookmarkStart w:id="1" w:name="_Toc72573512"/>
      <w:bookmarkStart w:id="2" w:name="_Toc120341371"/>
      <w:bookmarkStart w:id="3" w:name="_Toc120355744"/>
      <w:bookmarkStart w:id="4" w:name="_Toc123645471"/>
      <w:bookmarkStart w:id="5" w:name="_Toc123645572"/>
      <w:bookmarkStart w:id="6" w:name="_Toc124139441"/>
      <w:bookmarkStart w:id="7" w:name="_Toc157845820"/>
      <w:bookmarkStart w:id="8" w:name="_Toc161720527"/>
      <w:bookmarkStart w:id="9" w:name="_Toc161722979"/>
      <w:bookmarkStart w:id="10" w:name="_Toc163956947"/>
      <w:bookmarkStart w:id="11" w:name="_Toc163964937"/>
      <w:bookmarkStart w:id="12" w:name="_Toc165698379"/>
      <w:bookmarkStart w:id="13" w:name="_Toc232394755"/>
      <w:bookmarkStart w:id="14" w:name="_Toc268269087"/>
      <w:bookmarkStart w:id="15" w:name="_Toc272057658"/>
      <w:bookmarkStart w:id="16" w:name="_Toc27420710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520109132"/>
      <w:bookmarkStart w:id="18" w:name="_Toc17002417"/>
      <w:bookmarkStart w:id="19" w:name="_Toc123645472"/>
      <w:bookmarkStart w:id="20" w:name="_Toc274207104"/>
      <w:r>
        <w:rPr>
          <w:rStyle w:val="CharSectno"/>
        </w:rPr>
        <w:t>1</w:t>
      </w:r>
      <w:r>
        <w:rPr>
          <w:snapToGrid w:val="0"/>
        </w:rPr>
        <w:t>.</w:t>
      </w:r>
      <w:r>
        <w:rPr>
          <w:snapToGrid w:val="0"/>
        </w:rPr>
        <w:tab/>
        <w:t>Short title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Curriculum Council Act 1997</w:t>
      </w:r>
      <w:r>
        <w:rPr>
          <w:snapToGrid w:val="0"/>
          <w:vertAlign w:val="superscript"/>
        </w:rPr>
        <w:t> 1</w:t>
      </w:r>
      <w:r>
        <w:rPr>
          <w:snapToGrid w:val="0"/>
        </w:rPr>
        <w:t>.</w:t>
      </w:r>
    </w:p>
    <w:p>
      <w:pPr>
        <w:pStyle w:val="Heading5"/>
        <w:rPr>
          <w:snapToGrid w:val="0"/>
        </w:rPr>
      </w:pPr>
      <w:bookmarkStart w:id="21" w:name="_Toc520109133"/>
      <w:bookmarkStart w:id="22" w:name="_Toc17002418"/>
      <w:bookmarkStart w:id="23" w:name="_Toc123645473"/>
      <w:bookmarkStart w:id="24" w:name="_Toc274207105"/>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5" w:name="_Toc520109134"/>
      <w:bookmarkStart w:id="26" w:name="_Toc17002419"/>
      <w:bookmarkStart w:id="27" w:name="_Toc123645474"/>
      <w:bookmarkStart w:id="28" w:name="_Toc274207106"/>
      <w:r>
        <w:rPr>
          <w:rStyle w:val="CharSectno"/>
        </w:rPr>
        <w:t>3</w:t>
      </w:r>
      <w:r>
        <w:rPr>
          <w:snapToGrid w:val="0"/>
        </w:rPr>
        <w:t>.</w:t>
      </w:r>
      <w:r>
        <w:rPr>
          <w:snapToGrid w:val="0"/>
        </w:rPr>
        <w:tab/>
      </w:r>
      <w:bookmarkEnd w:id="25"/>
      <w:bookmarkEnd w:id="26"/>
      <w:bookmarkEnd w:id="27"/>
      <w:r>
        <w:rPr>
          <w:snapToGrid w:val="0"/>
        </w:rPr>
        <w:t>Terms used in this Act</w:t>
      </w:r>
      <w:bookmarkEnd w:id="28"/>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appointed member</w:t>
      </w:r>
      <w:r>
        <w:t xml:space="preserve"> means a member of the Council appointed under section 6(1)(a) or (c);</w:t>
      </w:r>
    </w:p>
    <w:p>
      <w:pPr>
        <w:pStyle w:val="Defstart"/>
      </w:pPr>
      <w:r>
        <w:rPr>
          <w:b/>
        </w:rPr>
        <w:tab/>
      </w:r>
      <w:r>
        <w:rPr>
          <w:rStyle w:val="CharDefText"/>
        </w:rPr>
        <w:t>assessment</w:t>
      </w:r>
      <w:r>
        <w:t xml:space="preserve"> includes examination;</w:t>
      </w:r>
    </w:p>
    <w:p>
      <w:pPr>
        <w:pStyle w:val="Defstart"/>
      </w:pPr>
      <w:r>
        <w:rPr>
          <w:b/>
        </w:rPr>
        <w:tab/>
      </w:r>
      <w:r>
        <w:rPr>
          <w:rStyle w:val="CharDefText"/>
        </w:rPr>
        <w:t>chairperson</w:t>
      </w:r>
      <w:r>
        <w:t xml:space="preserve"> means the chairperson of the Council;</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 committee appointed under clause 14 of Schedule 1;</w:t>
      </w:r>
    </w:p>
    <w:p>
      <w:pPr>
        <w:pStyle w:val="Defstart"/>
      </w:pPr>
      <w:r>
        <w:rPr>
          <w:b/>
        </w:rPr>
        <w:tab/>
      </w:r>
      <w:r>
        <w:rPr>
          <w:rStyle w:val="CharDefText"/>
        </w:rPr>
        <w:t>compulsory education period</w:t>
      </w:r>
      <w:r>
        <w:t xml:space="preserve"> means the compulsory education period under </w:t>
      </w:r>
      <w:r>
        <w:rPr>
          <w:bCs/>
        </w:rPr>
        <w:t xml:space="preserve">the </w:t>
      </w:r>
      <w:r>
        <w:rPr>
          <w:bCs/>
          <w:i/>
          <w:iCs/>
        </w:rPr>
        <w:t xml:space="preserve">School Education Act 1999 </w:t>
      </w:r>
      <w:r>
        <w:t xml:space="preserve">determined on the basis of a model under which — </w:t>
      </w:r>
    </w:p>
    <w:p>
      <w:pPr>
        <w:pStyle w:val="Defpara"/>
      </w:pPr>
      <w:r>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pPr>
      <w:r>
        <w:rPr>
          <w:b/>
        </w:rPr>
        <w:tab/>
      </w:r>
      <w:r>
        <w:rPr>
          <w:rStyle w:val="CharDefText"/>
        </w:rPr>
        <w:t>Council</w:t>
      </w:r>
      <w:r>
        <w:t xml:space="preserve"> means the Curriculum Council established under section 5;</w:t>
      </w:r>
    </w:p>
    <w:p>
      <w:pPr>
        <w:pStyle w:val="Defstart"/>
      </w:pPr>
      <w:r>
        <w:rPr>
          <w:b/>
        </w:rPr>
        <w:tab/>
      </w:r>
      <w:r>
        <w:rPr>
          <w:rStyle w:val="CharDefText"/>
        </w:rPr>
        <w:t>course of study</w:t>
      </w:r>
      <w:r>
        <w:t xml:space="preserve"> means a course, education programme, subject or syllabus;</w:t>
      </w:r>
    </w:p>
    <w:p>
      <w:pPr>
        <w:pStyle w:val="Defstart"/>
      </w:pPr>
      <w:r>
        <w:rPr>
          <w:b/>
        </w:rPr>
        <w:tab/>
      </w:r>
      <w:r>
        <w:rPr>
          <w:rStyle w:val="CharDefText"/>
        </w:rPr>
        <w:t>Education Department</w:t>
      </w:r>
      <w:r>
        <w:t xml:space="preserve"> means the department referred to in section 228 of the </w:t>
      </w:r>
      <w:r>
        <w:rPr>
          <w:i/>
        </w:rPr>
        <w:t>School Education Act 1999</w:t>
      </w:r>
      <w:r>
        <w:t>;</w:t>
      </w:r>
    </w:p>
    <w:p>
      <w:pPr>
        <w:pStyle w:val="Defstart"/>
      </w:pPr>
      <w:r>
        <w:rPr>
          <w:b/>
        </w:rPr>
        <w:tab/>
      </w:r>
      <w:r>
        <w:rPr>
          <w:rStyle w:val="CharDefText"/>
        </w:rPr>
        <w:t>education provider</w:t>
      </w:r>
      <w:r>
        <w:t xml:space="preserve"> means — </w:t>
      </w:r>
    </w:p>
    <w:p>
      <w:pPr>
        <w:pStyle w:val="Defpara"/>
      </w:pPr>
      <w:r>
        <w:tab/>
        <w:t>(a)</w:t>
      </w:r>
      <w:r>
        <w:tab/>
        <w:t>a governing body; and</w:t>
      </w:r>
    </w:p>
    <w:p>
      <w:pPr>
        <w:pStyle w:val="Defpara"/>
      </w:pPr>
      <w:r>
        <w:tab/>
        <w:t>(b)</w:t>
      </w:r>
      <w:r>
        <w:tab/>
        <w:t xml:space="preserve">in relation to a student, a parent of the student who is registered under the </w:t>
      </w:r>
      <w:r>
        <w:rPr>
          <w:i/>
        </w:rPr>
        <w:t>School Education Act 1999</w:t>
      </w:r>
      <w:r>
        <w:t xml:space="preserve"> as the student’s home educator;</w:t>
      </w:r>
    </w:p>
    <w:p>
      <w:pPr>
        <w:pStyle w:val="Defstart"/>
        <w:keepNext/>
      </w:pPr>
      <w:r>
        <w:rPr>
          <w:b/>
        </w:rPr>
        <w:tab/>
      </w:r>
      <w:r>
        <w:rPr>
          <w:rStyle w:val="CharDefText"/>
        </w:rPr>
        <w:t>governing body</w:t>
      </w:r>
      <w:r>
        <w:t xml:space="preserve"> means — </w:t>
      </w:r>
    </w:p>
    <w:p>
      <w:pPr>
        <w:pStyle w:val="Defpara"/>
      </w:pPr>
      <w:r>
        <w:tab/>
        <w:t>(a)</w:t>
      </w:r>
      <w:r>
        <w:tab/>
        <w:t xml:space="preserve">in relation to a government school as defined in the </w:t>
      </w:r>
      <w:r>
        <w:rPr>
          <w:i/>
        </w:rPr>
        <w:t>School Education Act 1999</w:t>
      </w:r>
      <w:r>
        <w:t>, the chief executive officer of the Education Department;</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xml:space="preserve">, in relation to a student, means instruction provided by a parent who is registered under the </w:t>
      </w:r>
      <w:r>
        <w:rPr>
          <w:i/>
        </w:rPr>
        <w:t>School Education Act 1999</w:t>
      </w:r>
      <w:r>
        <w:t xml:space="preserve"> as the student’s home educator;</w:t>
      </w:r>
    </w:p>
    <w:p>
      <w:pPr>
        <w:pStyle w:val="Defstart"/>
      </w:pPr>
      <w:r>
        <w:rPr>
          <w:b/>
        </w:rPr>
        <w:tab/>
      </w:r>
      <w:r>
        <w:rPr>
          <w:rStyle w:val="CharDefText"/>
        </w:rPr>
        <w:t>member of staff</w:t>
      </w:r>
      <w:r>
        <w:t xml:space="preserve"> means — </w:t>
      </w:r>
    </w:p>
    <w:p>
      <w:pPr>
        <w:pStyle w:val="Defpara"/>
      </w:pPr>
      <w:r>
        <w:tab/>
        <w:t>(a)</w:t>
      </w:r>
      <w:r>
        <w:tab/>
        <w:t>an officer referred to in section 21(1);</w:t>
      </w:r>
    </w:p>
    <w:p>
      <w:pPr>
        <w:pStyle w:val="Defpara"/>
      </w:pPr>
      <w:r>
        <w:tab/>
        <w:t>(b)</w:t>
      </w:r>
      <w:r>
        <w:tab/>
        <w:t>a person referred to in section 21(2);</w:t>
      </w:r>
    </w:p>
    <w:p>
      <w:pPr>
        <w:pStyle w:val="Defpara"/>
      </w:pPr>
      <w:r>
        <w:tab/>
        <w:t>(c)</w:t>
      </w:r>
      <w:r>
        <w:tab/>
        <w:t xml:space="preserve">a person engaged or appointed by the Council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rPr>
          <w:b/>
        </w:rPr>
      </w:pPr>
      <w:r>
        <w:rPr>
          <w:b/>
        </w:rPr>
        <w:tab/>
      </w:r>
      <w:r>
        <w:rPr>
          <w:rStyle w:val="CharDefText"/>
        </w:rPr>
        <w:t>member of the Council</w:t>
      </w:r>
      <w:r>
        <w:t xml:space="preserve"> includes a person acting under clause 4 or 5 of Schedule 1;</w:t>
      </w:r>
    </w:p>
    <w:p>
      <w:pPr>
        <w:pStyle w:val="Defstart"/>
      </w:pPr>
      <w:r>
        <w:rPr>
          <w:b/>
        </w:rPr>
        <w:tab/>
      </w:r>
      <w:r>
        <w:rPr>
          <w:rStyle w:val="CharDefText"/>
        </w:rPr>
        <w:t>school</w:t>
      </w:r>
      <w:r>
        <w:t xml:space="preserve"> means a school as defined in the </w:t>
      </w:r>
      <w:r>
        <w:rPr>
          <w:i/>
        </w:rPr>
        <w:t>School Education Act 1999</w:t>
      </w:r>
      <w:r>
        <w:t xml:space="preserve"> or a community kindergarten registered under Part 5 of that Act;</w:t>
      </w:r>
    </w:p>
    <w:p>
      <w:pPr>
        <w:pStyle w:val="Defstart"/>
      </w:pPr>
      <w:r>
        <w:rPr>
          <w:b/>
        </w:rPr>
        <w:tab/>
      </w:r>
      <w:r>
        <w:rPr>
          <w:rStyle w:val="CharDefText"/>
        </w:rPr>
        <w:t>school system</w:t>
      </w:r>
      <w:r>
        <w:t xml:space="preserve"> means a system of not less than 3 non</w:t>
      </w:r>
      <w:r>
        <w:noBreakHyphen/>
        <w:t>government schools under which a person or body exercises supervisory control over the schools in the system;</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w:t>
      </w:r>
    </w:p>
    <w:p>
      <w:pPr>
        <w:pStyle w:val="Heading5"/>
        <w:rPr>
          <w:snapToGrid w:val="0"/>
        </w:rPr>
      </w:pPr>
      <w:bookmarkStart w:id="29" w:name="_Toc520109135"/>
      <w:bookmarkStart w:id="30" w:name="_Toc17002420"/>
      <w:bookmarkStart w:id="31" w:name="_Toc123645475"/>
      <w:bookmarkStart w:id="32" w:name="_Toc274207107"/>
      <w:r>
        <w:rPr>
          <w:rStyle w:val="CharSectno"/>
        </w:rPr>
        <w:t>4</w:t>
      </w:r>
      <w:r>
        <w:rPr>
          <w:snapToGrid w:val="0"/>
        </w:rPr>
        <w:t>.</w:t>
      </w:r>
      <w:r>
        <w:rPr>
          <w:snapToGrid w:val="0"/>
        </w:rPr>
        <w:tab/>
        <w:t>Objects</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main objects of this Act are to — </w:t>
      </w:r>
    </w:p>
    <w:p>
      <w:pPr>
        <w:pStyle w:val="Indenta"/>
        <w:rPr>
          <w:snapToGrid w:val="0"/>
        </w:rPr>
      </w:pPr>
      <w:r>
        <w:rPr>
          <w:snapToGrid w:val="0"/>
        </w:rPr>
        <w:tab/>
        <w:t>(a)</w:t>
      </w:r>
      <w:r>
        <w:rPr>
          <w:snapToGrid w:val="0"/>
        </w:rPr>
        <w:tab/>
        <w:t>establish the Curriculum Council;</w:t>
      </w:r>
    </w:p>
    <w:p>
      <w:pPr>
        <w:pStyle w:val="Indenta"/>
        <w:rPr>
          <w:snapToGrid w:val="0"/>
        </w:rPr>
      </w:pPr>
      <w:r>
        <w:rPr>
          <w:snapToGrid w:val="0"/>
        </w:rPr>
        <w:tab/>
        <w:t>(b)</w:t>
      </w:r>
      <w:r>
        <w:rPr>
          <w:snapToGrid w:val="0"/>
        </w:rPr>
        <w:tab/>
        <w:t>provide for the development and implementation of a curriculum framework for schooling which, taking account of the needs of students, sets out the knowledge, understanding, skills, values and attitudes that students are expected to acquire;</w:t>
      </w:r>
    </w:p>
    <w:p>
      <w:pPr>
        <w:pStyle w:val="Indenta"/>
        <w:rPr>
          <w:snapToGrid w:val="0"/>
        </w:rPr>
      </w:pPr>
      <w:r>
        <w:rPr>
          <w:snapToGrid w:val="0"/>
        </w:rPr>
        <w:tab/>
        <w:t>(c)</w:t>
      </w:r>
      <w:r>
        <w:rPr>
          <w:snapToGrid w:val="0"/>
        </w:rPr>
        <w:tab/>
        <w:t xml:space="preserve">provide for the development and accreditation of courses of study for </w:t>
      </w:r>
      <w:r>
        <w:t xml:space="preserve">senior secondary </w:t>
      </w:r>
      <w:r>
        <w:rPr>
          <w:snapToGrid w:val="0"/>
        </w:rPr>
        <w:t xml:space="preserve">schooling; </w:t>
      </w:r>
    </w:p>
    <w:p>
      <w:pPr>
        <w:pStyle w:val="Indenta"/>
      </w:pPr>
      <w:r>
        <w:rPr>
          <w:snapToGrid w:val="0"/>
        </w:rPr>
        <w:tab/>
        <w:t>(d)</w:t>
      </w:r>
      <w:r>
        <w:rPr>
          <w:snapToGrid w:val="0"/>
        </w:rPr>
        <w:tab/>
        <w:t>provide for the assessment and certification of student achievement</w:t>
      </w:r>
      <w:r>
        <w:t>; and</w:t>
      </w:r>
    </w:p>
    <w:p>
      <w:pPr>
        <w:pStyle w:val="Indenta"/>
      </w:pPr>
      <w:r>
        <w:tab/>
        <w:t>(e)</w:t>
      </w:r>
      <w:r>
        <w:tab/>
        <w:t xml:space="preserve">provide for the maintenance of a database of information relating to participation by children during their secondary school years in education, training or employment as provided for by the </w:t>
      </w:r>
      <w:r>
        <w:rPr>
          <w:i/>
          <w:iCs/>
        </w:rPr>
        <w:t>School Education Act 1999</w:t>
      </w:r>
      <w:r>
        <w:t>.</w:t>
      </w:r>
    </w:p>
    <w:p>
      <w:pPr>
        <w:pStyle w:val="Footnotesection"/>
      </w:pPr>
      <w:r>
        <w:tab/>
        <w:t>[Section 4 amended by No. 22 of 2005 s. 44.]</w:t>
      </w:r>
    </w:p>
    <w:p>
      <w:pPr>
        <w:pStyle w:val="Heading2"/>
      </w:pPr>
      <w:bookmarkStart w:id="33" w:name="_Toc72573517"/>
      <w:bookmarkStart w:id="34" w:name="_Toc120341376"/>
      <w:bookmarkStart w:id="35" w:name="_Toc120355749"/>
      <w:bookmarkStart w:id="36" w:name="_Toc123645476"/>
      <w:bookmarkStart w:id="37" w:name="_Toc123645577"/>
      <w:bookmarkStart w:id="38" w:name="_Toc124139446"/>
      <w:bookmarkStart w:id="39" w:name="_Toc157845825"/>
      <w:bookmarkStart w:id="40" w:name="_Toc161720532"/>
      <w:bookmarkStart w:id="41" w:name="_Toc161722984"/>
      <w:bookmarkStart w:id="42" w:name="_Toc163956952"/>
      <w:bookmarkStart w:id="43" w:name="_Toc163964942"/>
      <w:bookmarkStart w:id="44" w:name="_Toc165698384"/>
      <w:bookmarkStart w:id="45" w:name="_Toc232394760"/>
      <w:bookmarkStart w:id="46" w:name="_Toc268269092"/>
      <w:bookmarkStart w:id="47" w:name="_Toc272057663"/>
      <w:bookmarkStart w:id="48" w:name="_Toc274207108"/>
      <w:r>
        <w:rPr>
          <w:rStyle w:val="CharPartNo"/>
        </w:rPr>
        <w:t>Part 2</w:t>
      </w:r>
      <w:r>
        <w:rPr>
          <w:rStyle w:val="CharDivNo"/>
        </w:rPr>
        <w:t> </w:t>
      </w:r>
      <w:r>
        <w:t>—</w:t>
      </w:r>
      <w:r>
        <w:rPr>
          <w:rStyle w:val="CharDivText"/>
        </w:rPr>
        <w:t> </w:t>
      </w:r>
      <w:r>
        <w:rPr>
          <w:rStyle w:val="CharPartText"/>
        </w:rPr>
        <w:t>The Curriculum Council</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520109136"/>
      <w:bookmarkStart w:id="50" w:name="_Toc17002421"/>
      <w:bookmarkStart w:id="51" w:name="_Toc123645477"/>
      <w:bookmarkStart w:id="52" w:name="_Toc274207109"/>
      <w:r>
        <w:rPr>
          <w:rStyle w:val="CharSectno"/>
        </w:rPr>
        <w:t>5</w:t>
      </w:r>
      <w:r>
        <w:rPr>
          <w:snapToGrid w:val="0"/>
        </w:rPr>
        <w:t>.</w:t>
      </w:r>
      <w:r>
        <w:rPr>
          <w:snapToGrid w:val="0"/>
        </w:rPr>
        <w:tab/>
        <w:t>Curriculum Council established</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 body called the Curriculum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Subsection"/>
        <w:rPr>
          <w:snapToGrid w:val="0"/>
        </w:rPr>
      </w:pPr>
      <w:r>
        <w:rPr>
          <w:snapToGrid w:val="0"/>
        </w:rPr>
        <w:tab/>
        <w:t>(4)</w:t>
      </w:r>
      <w:r>
        <w:rPr>
          <w:snapToGrid w:val="0"/>
        </w:rPr>
        <w:tab/>
        <w:t>The Council is an agent of the Crown and enjoys the status, immunities and privileges of the Crown.</w:t>
      </w:r>
    </w:p>
    <w:p>
      <w:pPr>
        <w:pStyle w:val="Heading5"/>
        <w:rPr>
          <w:snapToGrid w:val="0"/>
        </w:rPr>
      </w:pPr>
      <w:bookmarkStart w:id="53" w:name="_Toc520109137"/>
      <w:bookmarkStart w:id="54" w:name="_Toc17002422"/>
      <w:bookmarkStart w:id="55" w:name="_Toc123645478"/>
      <w:bookmarkStart w:id="56" w:name="_Toc274207110"/>
      <w:r>
        <w:rPr>
          <w:rStyle w:val="CharSectno"/>
        </w:rPr>
        <w:t>6</w:t>
      </w:r>
      <w:r>
        <w:rPr>
          <w:snapToGrid w:val="0"/>
        </w:rPr>
        <w:t>.</w:t>
      </w:r>
      <w:r>
        <w:rPr>
          <w:snapToGrid w:val="0"/>
        </w:rPr>
        <w:tab/>
        <w:t>Members of Council</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Council is to consist of the following members — </w:t>
      </w:r>
    </w:p>
    <w:p>
      <w:pPr>
        <w:pStyle w:val="Indenta"/>
        <w:rPr>
          <w:snapToGrid w:val="0"/>
        </w:rPr>
      </w:pPr>
      <w:r>
        <w:rPr>
          <w:snapToGrid w:val="0"/>
        </w:rPr>
        <w:tab/>
        <w:t>(a)</w:t>
      </w:r>
      <w:r>
        <w:rPr>
          <w:snapToGrid w:val="0"/>
        </w:rPr>
        <w:tab/>
        <w:t xml:space="preserve">a chairperson appointed by the Minister; </w:t>
      </w:r>
    </w:p>
    <w:p>
      <w:pPr>
        <w:pStyle w:val="Indenta"/>
        <w:rPr>
          <w:snapToGrid w:val="0"/>
        </w:rPr>
      </w:pPr>
      <w:r>
        <w:rPr>
          <w:snapToGrid w:val="0"/>
        </w:rPr>
        <w:tab/>
        <w:t>(b)</w:t>
      </w:r>
      <w:r>
        <w:rPr>
          <w:snapToGrid w:val="0"/>
        </w:rPr>
        <w:tab/>
        <w:t>the chief executive officer; and</w:t>
      </w:r>
    </w:p>
    <w:p>
      <w:pPr>
        <w:pStyle w:val="Indenta"/>
        <w:rPr>
          <w:snapToGrid w:val="0"/>
        </w:rPr>
      </w:pPr>
      <w:r>
        <w:rPr>
          <w:snapToGrid w:val="0"/>
        </w:rPr>
        <w:tab/>
        <w:t>(c)</w:t>
      </w:r>
      <w:r>
        <w:rPr>
          <w:snapToGrid w:val="0"/>
        </w:rPr>
        <w:tab/>
        <w:t>11 other persons appointed by the Minister.</w:t>
      </w:r>
    </w:p>
    <w:p>
      <w:pPr>
        <w:pStyle w:val="Subsection"/>
        <w:rPr>
          <w:snapToGrid w:val="0"/>
        </w:rPr>
      </w:pPr>
      <w:r>
        <w:rPr>
          <w:snapToGrid w:val="0"/>
        </w:rPr>
        <w:tab/>
        <w:t>(2)</w:t>
      </w:r>
      <w:r>
        <w:rPr>
          <w:snapToGrid w:val="0"/>
        </w:rPr>
        <w:tab/>
        <w:t>Of the persons appointed under subsection (1)(c) — </w:t>
      </w:r>
    </w:p>
    <w:p>
      <w:pPr>
        <w:pStyle w:val="Indenta"/>
        <w:rPr>
          <w:snapToGrid w:val="0"/>
        </w:rPr>
      </w:pPr>
      <w:r>
        <w:rPr>
          <w:snapToGrid w:val="0"/>
        </w:rPr>
        <w:tab/>
        <w:t>(a)</w:t>
      </w:r>
      <w:r>
        <w:rPr>
          <w:snapToGrid w:val="0"/>
        </w:rPr>
        <w:tab/>
        <w:t>3 are, in the opinion of the Minister, to have experience and expertise in industry, education or community affairs;</w:t>
      </w:r>
    </w:p>
    <w:p>
      <w:pPr>
        <w:pStyle w:val="Indenta"/>
        <w:rPr>
          <w:snapToGrid w:val="0"/>
        </w:rPr>
      </w:pPr>
      <w:r>
        <w:rPr>
          <w:snapToGrid w:val="0"/>
        </w:rPr>
        <w:tab/>
        <w:t>(b)</w:t>
      </w:r>
      <w:r>
        <w:rPr>
          <w:snapToGrid w:val="0"/>
        </w:rPr>
        <w:tab/>
        <w:t>2 are to be nominated by the chief executive officer of the Education Department;</w:t>
      </w:r>
    </w:p>
    <w:p>
      <w:pPr>
        <w:pStyle w:val="Indenta"/>
        <w:rPr>
          <w:snapToGrid w:val="0"/>
        </w:rPr>
      </w:pPr>
      <w:r>
        <w:rPr>
          <w:snapToGrid w:val="0"/>
        </w:rPr>
        <w:tab/>
        <w:t>(c)</w:t>
      </w:r>
      <w:r>
        <w:rPr>
          <w:snapToGrid w:val="0"/>
        </w:rPr>
        <w:tab/>
        <w:t>one is to be nominated by the Catholic Education Commission;</w:t>
      </w:r>
    </w:p>
    <w:p>
      <w:pPr>
        <w:pStyle w:val="Indenta"/>
        <w:rPr>
          <w:snapToGrid w:val="0"/>
        </w:rPr>
      </w:pPr>
      <w:r>
        <w:rPr>
          <w:snapToGrid w:val="0"/>
        </w:rPr>
        <w:tab/>
        <w:t>(d)</w:t>
      </w:r>
      <w:r>
        <w:rPr>
          <w:snapToGrid w:val="0"/>
        </w:rPr>
        <w:tab/>
        <w:t>one is to be nominated by the Association of Independent Schools of Western Australia;</w:t>
      </w:r>
    </w:p>
    <w:p>
      <w:pPr>
        <w:pStyle w:val="Indenta"/>
        <w:rPr>
          <w:snapToGrid w:val="0"/>
        </w:rPr>
      </w:pPr>
      <w:r>
        <w:rPr>
          <w:snapToGrid w:val="0"/>
        </w:rPr>
        <w:tab/>
        <w:t>(e)</w:t>
      </w:r>
      <w:r>
        <w:rPr>
          <w:snapToGrid w:val="0"/>
        </w:rPr>
        <w:tab/>
        <w:t xml:space="preserve">one is to be nominated by the chief executive as defined in the </w:t>
      </w:r>
      <w:r>
        <w:rPr>
          <w:i/>
          <w:snapToGrid w:val="0"/>
        </w:rPr>
        <w:t>Vocational Education and Training Act 1996</w:t>
      </w:r>
      <w:r>
        <w:rPr>
          <w:snapToGrid w:val="0"/>
        </w:rPr>
        <w:t>;</w:t>
      </w:r>
    </w:p>
    <w:p>
      <w:pPr>
        <w:pStyle w:val="Indenta"/>
        <w:rPr>
          <w:snapToGrid w:val="0"/>
        </w:rPr>
      </w:pPr>
      <w:r>
        <w:rPr>
          <w:snapToGrid w:val="0"/>
        </w:rPr>
        <w:tab/>
        <w:t>(f)</w:t>
      </w:r>
      <w:r>
        <w:rPr>
          <w:snapToGrid w:val="0"/>
        </w:rPr>
        <w:tab/>
        <w:t>one is to be nominated by either — </w:t>
      </w:r>
    </w:p>
    <w:p>
      <w:pPr>
        <w:pStyle w:val="Indenti"/>
        <w:rPr>
          <w:snapToGrid w:val="0"/>
        </w:rPr>
      </w:pPr>
      <w:r>
        <w:rPr>
          <w:snapToGrid w:val="0"/>
        </w:rPr>
        <w:tab/>
        <w:t>(i)</w:t>
      </w:r>
      <w:r>
        <w:rPr>
          <w:snapToGrid w:val="0"/>
        </w:rPr>
        <w:tab/>
        <w:t>the chief executive officer of the Curtin University of Technology;</w:t>
      </w:r>
    </w:p>
    <w:p>
      <w:pPr>
        <w:pStyle w:val="Indenti"/>
        <w:rPr>
          <w:snapToGrid w:val="0"/>
        </w:rPr>
      </w:pPr>
      <w:r>
        <w:rPr>
          <w:snapToGrid w:val="0"/>
        </w:rPr>
        <w:tab/>
        <w:t>(ii)</w:t>
      </w:r>
      <w:r>
        <w:rPr>
          <w:snapToGrid w:val="0"/>
        </w:rPr>
        <w:tab/>
        <w:t>the chief executive officer of the Edith Cowan University;</w:t>
      </w:r>
    </w:p>
    <w:p>
      <w:pPr>
        <w:pStyle w:val="Indenti"/>
        <w:rPr>
          <w:snapToGrid w:val="0"/>
        </w:rPr>
      </w:pPr>
      <w:r>
        <w:rPr>
          <w:snapToGrid w:val="0"/>
        </w:rPr>
        <w:tab/>
        <w:t>(iii)</w:t>
      </w:r>
      <w:r>
        <w:rPr>
          <w:snapToGrid w:val="0"/>
        </w:rPr>
        <w:tab/>
        <w:t>the Vice</w:t>
      </w:r>
      <w:r>
        <w:rPr>
          <w:snapToGrid w:val="0"/>
        </w:rPr>
        <w:noBreakHyphen/>
        <w:t>Chancellor of Murdoch University;</w:t>
      </w:r>
    </w:p>
    <w:p>
      <w:pPr>
        <w:pStyle w:val="Indenti"/>
        <w:rPr>
          <w:snapToGrid w:val="0"/>
        </w:rPr>
      </w:pPr>
      <w:r>
        <w:rPr>
          <w:snapToGrid w:val="0"/>
        </w:rPr>
        <w:tab/>
        <w:t>(iv)</w:t>
      </w:r>
      <w:r>
        <w:rPr>
          <w:snapToGrid w:val="0"/>
        </w:rPr>
        <w:tab/>
        <w:t>the Vice</w:t>
      </w:r>
      <w:r>
        <w:rPr>
          <w:snapToGrid w:val="0"/>
        </w:rPr>
        <w:noBreakHyphen/>
        <w:t>Chancellor of The University of Western Australia; or</w:t>
      </w:r>
    </w:p>
    <w:p>
      <w:pPr>
        <w:pStyle w:val="Indenti"/>
        <w:rPr>
          <w:snapToGrid w:val="0"/>
        </w:rPr>
      </w:pPr>
      <w:r>
        <w:rPr>
          <w:snapToGrid w:val="0"/>
        </w:rPr>
        <w:tab/>
        <w:t>(v)</w:t>
      </w:r>
      <w:r>
        <w:rPr>
          <w:snapToGrid w:val="0"/>
        </w:rPr>
        <w:tab/>
        <w:t>the Vice</w:t>
      </w:r>
      <w:r>
        <w:rPr>
          <w:snapToGrid w:val="0"/>
        </w:rPr>
        <w:noBreakHyphen/>
        <w:t>Chancellor of The University of Notre Dame Australia,</w:t>
      </w:r>
    </w:p>
    <w:p>
      <w:pPr>
        <w:pStyle w:val="Indenta"/>
        <w:rPr>
          <w:snapToGrid w:val="0"/>
        </w:rPr>
      </w:pPr>
      <w:r>
        <w:rPr>
          <w:snapToGrid w:val="0"/>
        </w:rPr>
        <w:tab/>
      </w:r>
      <w:r>
        <w:rPr>
          <w:snapToGrid w:val="0"/>
        </w:rPr>
        <w:tab/>
        <w:t>as determined by the Minister;</w:t>
      </w:r>
    </w:p>
    <w:p>
      <w:pPr>
        <w:pStyle w:val="Indenta"/>
        <w:rPr>
          <w:snapToGrid w:val="0"/>
        </w:rPr>
      </w:pPr>
      <w:r>
        <w:rPr>
          <w:snapToGrid w:val="0"/>
        </w:rPr>
        <w:tab/>
        <w:t>(g)</w:t>
      </w:r>
      <w:r>
        <w:rPr>
          <w:snapToGrid w:val="0"/>
        </w:rPr>
        <w:tab/>
        <w:t>one is to be a representative of the interests of teachers and is to be appointed on the recommendation of the State School Teachers’ Union of Western Australia and the Independent Schools Salaried Officers’ Association; and</w:t>
      </w:r>
    </w:p>
    <w:p>
      <w:pPr>
        <w:pStyle w:val="Indenta"/>
        <w:rPr>
          <w:snapToGrid w:val="0"/>
        </w:rPr>
      </w:pPr>
      <w:r>
        <w:rPr>
          <w:snapToGrid w:val="0"/>
        </w:rPr>
        <w:tab/>
        <w:t>(h)</w:t>
      </w:r>
      <w:r>
        <w:rPr>
          <w:snapToGrid w:val="0"/>
        </w:rPr>
        <w:tab/>
        <w:t>one is to be a representative of the interests of parents of children attending school and is to be appointed on the recommendation of the Western Australian Council of State School Organisations (Inc.) and the Parents and Friends’ Federation of Western Australia (Inc.).</w:t>
      </w:r>
    </w:p>
    <w:p>
      <w:pPr>
        <w:pStyle w:val="Footnotesection"/>
      </w:pPr>
      <w:r>
        <w:tab/>
        <w:t>(3)</w:t>
      </w:r>
      <w:r>
        <w:tab/>
        <w:t>If, within 30 days of a request to do so, a person or body referred to in subsection (2)(b), (c), (d), (e), (f), (g) or (h) fails to nominate a person in accordance with that request, the Minister may make such appointment for the purpose of that provision as the Minister thinks fit.</w:t>
      </w:r>
    </w:p>
    <w:p>
      <w:pPr>
        <w:pStyle w:val="Heading5"/>
        <w:rPr>
          <w:snapToGrid w:val="0"/>
        </w:rPr>
      </w:pPr>
      <w:bookmarkStart w:id="57" w:name="_Toc520109138"/>
      <w:bookmarkStart w:id="58" w:name="_Toc17002423"/>
      <w:bookmarkStart w:id="59" w:name="_Toc123645479"/>
      <w:bookmarkStart w:id="60" w:name="_Toc274207111"/>
      <w:r>
        <w:rPr>
          <w:rStyle w:val="CharSectno"/>
        </w:rPr>
        <w:t>7</w:t>
      </w:r>
      <w:r>
        <w:rPr>
          <w:snapToGrid w:val="0"/>
        </w:rPr>
        <w:t>.</w:t>
      </w:r>
      <w:r>
        <w:rPr>
          <w:snapToGrid w:val="0"/>
        </w:rPr>
        <w:tab/>
        <w:t>Constitution, proceedings etc.</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Schedule 1 has effect with respect to the Council and its members.</w:t>
      </w:r>
    </w:p>
    <w:p>
      <w:pPr>
        <w:pStyle w:val="Heading5"/>
        <w:rPr>
          <w:snapToGrid w:val="0"/>
        </w:rPr>
      </w:pPr>
      <w:bookmarkStart w:id="61" w:name="_Toc520109139"/>
      <w:bookmarkStart w:id="62" w:name="_Toc17002424"/>
      <w:bookmarkStart w:id="63" w:name="_Toc123645480"/>
      <w:bookmarkStart w:id="64" w:name="_Toc274207112"/>
      <w:r>
        <w:rPr>
          <w:rStyle w:val="CharSectno"/>
        </w:rPr>
        <w:t>8</w:t>
      </w:r>
      <w:r>
        <w:rPr>
          <w:snapToGrid w:val="0"/>
        </w:rPr>
        <w:t>.</w:t>
      </w:r>
      <w:r>
        <w:rPr>
          <w:snapToGrid w:val="0"/>
        </w:rPr>
        <w:tab/>
        <w:t>Remuneration of members</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A member of the Council or a committee, other than the chief executive officer, is to be paid such remuneration and travelling and other allowances as are determined in his or her case by the Minister on the recommendation of the Minister for Public Sector Management.</w:t>
      </w:r>
    </w:p>
    <w:p>
      <w:pPr>
        <w:pStyle w:val="Heading2"/>
      </w:pPr>
      <w:bookmarkStart w:id="65" w:name="_Toc72573522"/>
      <w:bookmarkStart w:id="66" w:name="_Toc120341381"/>
      <w:bookmarkStart w:id="67" w:name="_Toc120355754"/>
      <w:bookmarkStart w:id="68" w:name="_Toc123645481"/>
      <w:bookmarkStart w:id="69" w:name="_Toc123645582"/>
      <w:bookmarkStart w:id="70" w:name="_Toc124139451"/>
      <w:bookmarkStart w:id="71" w:name="_Toc157845830"/>
      <w:bookmarkStart w:id="72" w:name="_Toc161720537"/>
      <w:bookmarkStart w:id="73" w:name="_Toc161722989"/>
      <w:bookmarkStart w:id="74" w:name="_Toc163956957"/>
      <w:bookmarkStart w:id="75" w:name="_Toc163964947"/>
      <w:bookmarkStart w:id="76" w:name="_Toc165698389"/>
      <w:bookmarkStart w:id="77" w:name="_Toc232394765"/>
      <w:bookmarkStart w:id="78" w:name="_Toc268269097"/>
      <w:bookmarkStart w:id="79" w:name="_Toc272057668"/>
      <w:bookmarkStart w:id="80" w:name="_Toc274207113"/>
      <w:r>
        <w:rPr>
          <w:rStyle w:val="CharPartNo"/>
        </w:rPr>
        <w:t>Part 3</w:t>
      </w:r>
      <w:r>
        <w:rPr>
          <w:rStyle w:val="CharDivNo"/>
        </w:rPr>
        <w:t> </w:t>
      </w:r>
      <w:r>
        <w:t>—</w:t>
      </w:r>
      <w:r>
        <w:rPr>
          <w:rStyle w:val="CharDivText"/>
        </w:rPr>
        <w:t> </w:t>
      </w:r>
      <w:r>
        <w:rPr>
          <w:rStyle w:val="CharPartText"/>
        </w:rPr>
        <w:t>Functions and powers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520109140"/>
      <w:bookmarkStart w:id="82" w:name="_Toc17002425"/>
      <w:bookmarkStart w:id="83" w:name="_Toc123645482"/>
      <w:bookmarkStart w:id="84" w:name="_Toc274207114"/>
      <w:r>
        <w:rPr>
          <w:rStyle w:val="CharSectno"/>
        </w:rPr>
        <w:t>9</w:t>
      </w:r>
      <w:r>
        <w:rPr>
          <w:snapToGrid w:val="0"/>
        </w:rPr>
        <w:t>.</w:t>
      </w:r>
      <w:r>
        <w:rPr>
          <w:snapToGrid w:val="0"/>
        </w:rPr>
        <w:tab/>
        <w:t>Curriculum framework</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It is a function of the Council to — </w:t>
      </w:r>
    </w:p>
    <w:p>
      <w:pPr>
        <w:pStyle w:val="Indenta"/>
        <w:rPr>
          <w:snapToGrid w:val="0"/>
        </w:rPr>
      </w:pPr>
      <w:r>
        <w:rPr>
          <w:snapToGrid w:val="0"/>
        </w:rPr>
        <w:tab/>
        <w:t>(a)</w:t>
      </w:r>
      <w:r>
        <w:rPr>
          <w:snapToGrid w:val="0"/>
        </w:rPr>
        <w:tab/>
        <w:t xml:space="preserve">control, direct and coordinate the development of a curriculum framework for schooling; </w:t>
      </w:r>
    </w:p>
    <w:p>
      <w:pPr>
        <w:pStyle w:val="Indenta"/>
        <w:rPr>
          <w:snapToGrid w:val="0"/>
        </w:rPr>
      </w:pPr>
      <w:r>
        <w:rPr>
          <w:snapToGrid w:val="0"/>
        </w:rPr>
        <w:tab/>
        <w:t>(b)</w:t>
      </w:r>
      <w:r>
        <w:rPr>
          <w:snapToGrid w:val="0"/>
        </w:rPr>
        <w:tab/>
        <w:t>approve a curriculum framework for schooling;</w:t>
      </w:r>
    </w:p>
    <w:p>
      <w:pPr>
        <w:pStyle w:val="Indenta"/>
        <w:rPr>
          <w:snapToGrid w:val="0"/>
        </w:rPr>
      </w:pPr>
      <w:r>
        <w:rPr>
          <w:snapToGrid w:val="0"/>
        </w:rPr>
        <w:tab/>
        <w:t>(c)</w:t>
      </w:r>
      <w:r>
        <w:rPr>
          <w:snapToGrid w:val="0"/>
        </w:rPr>
        <w:tab/>
        <w:t>evaluate, review and revise as it thinks fit the curriculum framework;</w:t>
      </w:r>
    </w:p>
    <w:p>
      <w:pPr>
        <w:pStyle w:val="Indenta"/>
        <w:rPr>
          <w:snapToGrid w:val="0"/>
        </w:rPr>
      </w:pPr>
      <w:r>
        <w:rPr>
          <w:snapToGrid w:val="0"/>
        </w:rPr>
        <w:tab/>
        <w:t>(d)</w:t>
      </w:r>
      <w:r>
        <w:rPr>
          <w:snapToGrid w:val="0"/>
        </w:rPr>
        <w:tab/>
        <w:t>determine and coordinate arrangements to be used or followed for the implementation of the curriculum framework;</w:t>
      </w:r>
    </w:p>
    <w:p>
      <w:pPr>
        <w:pStyle w:val="Indenta"/>
        <w:rPr>
          <w:snapToGrid w:val="0"/>
        </w:rPr>
      </w:pPr>
      <w:r>
        <w:rPr>
          <w:snapToGrid w:val="0"/>
        </w:rPr>
        <w:tab/>
        <w:t>(e)</w:t>
      </w:r>
      <w:r>
        <w:rPr>
          <w:snapToGrid w:val="0"/>
        </w:rPr>
        <w:tab/>
        <w:t>identify priorities and develop, distribute and evaluate curriculum documentation and other materials which facilitate implementation of the curriculum framework;</w:t>
      </w:r>
    </w:p>
    <w:p>
      <w:pPr>
        <w:pStyle w:val="Indenta"/>
        <w:rPr>
          <w:snapToGrid w:val="0"/>
        </w:rPr>
      </w:pPr>
      <w:r>
        <w:rPr>
          <w:snapToGrid w:val="0"/>
        </w:rPr>
        <w:tab/>
        <w:t>(f)</w:t>
      </w:r>
      <w:r>
        <w:rPr>
          <w:snapToGrid w:val="0"/>
        </w:rPr>
        <w:tab/>
        <w:t>develop professional development plans necessary to support implementation of the curriculum framework;</w:t>
      </w:r>
    </w:p>
    <w:p>
      <w:pPr>
        <w:pStyle w:val="Indenta"/>
        <w:rPr>
          <w:snapToGrid w:val="0"/>
        </w:rPr>
      </w:pPr>
      <w:r>
        <w:rPr>
          <w:snapToGrid w:val="0"/>
        </w:rPr>
        <w:tab/>
        <w:t>(g)</w:t>
      </w:r>
      <w:r>
        <w:rPr>
          <w:snapToGrid w:val="0"/>
        </w:rPr>
        <w:tab/>
        <w:t>establish, in accordance with the approved curriculum framework, the minimum requirements for graduation from secondary school and for the issue of a certificate of student achievement; and</w:t>
      </w:r>
    </w:p>
    <w:p>
      <w:pPr>
        <w:pStyle w:val="Indenta"/>
        <w:rPr>
          <w:snapToGrid w:val="0"/>
        </w:rPr>
      </w:pPr>
      <w:r>
        <w:rPr>
          <w:snapToGrid w:val="0"/>
        </w:rPr>
        <w:tab/>
        <w:t>(h)</w:t>
      </w:r>
      <w:r>
        <w:rPr>
          <w:snapToGrid w:val="0"/>
        </w:rPr>
        <w:tab/>
        <w:t>establish, determine the criteria for, and administer, exhibitions and awards to be granted in recognition of student achievement.</w:t>
      </w:r>
    </w:p>
    <w:p>
      <w:pPr>
        <w:pStyle w:val="Subsection"/>
        <w:rPr>
          <w:snapToGrid w:val="0"/>
        </w:rPr>
      </w:pPr>
      <w:r>
        <w:rPr>
          <w:snapToGrid w:val="0"/>
        </w:rPr>
        <w:tab/>
        <w:t>(2)</w:t>
      </w:r>
      <w:r>
        <w:rPr>
          <w:snapToGrid w:val="0"/>
        </w:rPr>
        <w:tab/>
        <w:t>The Council is to ensure that — </w:t>
      </w:r>
    </w:p>
    <w:p>
      <w:pPr>
        <w:pStyle w:val="Indenta"/>
        <w:rPr>
          <w:snapToGrid w:val="0"/>
        </w:rPr>
      </w:pPr>
      <w:r>
        <w:rPr>
          <w:snapToGrid w:val="0"/>
        </w:rPr>
        <w:tab/>
        <w:t>(a)</w:t>
      </w:r>
      <w:r>
        <w:rPr>
          <w:snapToGrid w:val="0"/>
        </w:rPr>
        <w:tab/>
        <w:t>each school receives free of charge a hard copy of the most recent curriculum framework approved by the Council; and</w:t>
      </w:r>
    </w:p>
    <w:p>
      <w:pPr>
        <w:pStyle w:val="Indenta"/>
        <w:rPr>
          <w:snapToGrid w:val="0"/>
        </w:rPr>
      </w:pPr>
      <w:r>
        <w:rPr>
          <w:snapToGrid w:val="0"/>
        </w:rPr>
        <w:tab/>
        <w:t>(b)</w:t>
      </w:r>
      <w:r>
        <w:rPr>
          <w:snapToGrid w:val="0"/>
        </w:rPr>
        <w:tab/>
        <w:t>that curriculum framework is made available to the public in any manner the Council thinks fit.</w:t>
      </w:r>
    </w:p>
    <w:p>
      <w:pPr>
        <w:pStyle w:val="Heading5"/>
        <w:rPr>
          <w:snapToGrid w:val="0"/>
        </w:rPr>
      </w:pPr>
      <w:bookmarkStart w:id="85" w:name="_Toc520109141"/>
      <w:bookmarkStart w:id="86" w:name="_Toc17002426"/>
      <w:bookmarkStart w:id="87" w:name="_Toc123645483"/>
      <w:bookmarkStart w:id="88" w:name="_Toc274207115"/>
      <w:r>
        <w:rPr>
          <w:rStyle w:val="CharSectno"/>
        </w:rPr>
        <w:t>10</w:t>
      </w:r>
      <w:r>
        <w:rPr>
          <w:snapToGrid w:val="0"/>
        </w:rPr>
        <w:t>.</w:t>
      </w:r>
      <w:r>
        <w:rPr>
          <w:snapToGrid w:val="0"/>
        </w:rPr>
        <w:tab/>
        <w:t>Implementation of curriculum framework</w:t>
      </w:r>
      <w:bookmarkEnd w:id="85"/>
      <w:bookmarkEnd w:id="86"/>
      <w:bookmarkEnd w:id="87"/>
      <w:bookmarkEnd w:id="88"/>
      <w:r>
        <w:rPr>
          <w:snapToGrid w:val="0"/>
        </w:rPr>
        <w:t xml:space="preserve"> </w:t>
      </w:r>
    </w:p>
    <w:p>
      <w:pPr>
        <w:pStyle w:val="Subsection"/>
        <w:keepNext/>
        <w:rPr>
          <w:snapToGrid w:val="0"/>
        </w:rPr>
      </w:pPr>
      <w:r>
        <w:rPr>
          <w:snapToGrid w:val="0"/>
        </w:rPr>
        <w:tab/>
        <w:t>(1)</w:t>
      </w:r>
      <w:r>
        <w:rPr>
          <w:snapToGrid w:val="0"/>
        </w:rPr>
        <w:tab/>
        <w:t>Subject to section 11 — </w:t>
      </w:r>
    </w:p>
    <w:p>
      <w:pPr>
        <w:pStyle w:val="Indenta"/>
        <w:rPr>
          <w:snapToGrid w:val="0"/>
        </w:rPr>
      </w:pPr>
      <w:r>
        <w:rPr>
          <w:snapToGrid w:val="0"/>
        </w:rPr>
        <w:tab/>
        <w:t>(a)</w:t>
      </w:r>
      <w:r>
        <w:rPr>
          <w:snapToGrid w:val="0"/>
        </w:rPr>
        <w:tab/>
        <w:t>a governing body is to ensure that each school of which it is the governing body provides schooling in accordance with the most recent curriculum framework approved by the Council; and</w:t>
      </w:r>
    </w:p>
    <w:p>
      <w:pPr>
        <w:pStyle w:val="Indenta"/>
        <w:rPr>
          <w:snapToGrid w:val="0"/>
        </w:rPr>
      </w:pPr>
      <w:r>
        <w:rPr>
          <w:snapToGrid w:val="0"/>
        </w:rPr>
        <w:tab/>
        <w:t>(b)</w:t>
      </w:r>
      <w:r>
        <w:rPr>
          <w:snapToGrid w:val="0"/>
        </w:rPr>
        <w:tab/>
        <w:t xml:space="preserve">a person providing </w:t>
      </w:r>
      <w:r>
        <w:t xml:space="preserve">home education to a student is to ensure that the education </w:t>
      </w:r>
      <w:r>
        <w:rPr>
          <w:snapToGrid w:val="0"/>
        </w:rPr>
        <w:t>is provided in accordance with the most recent curriculum framework approved by the Council.</w:t>
      </w:r>
    </w:p>
    <w:p>
      <w:pPr>
        <w:pStyle w:val="Subsection"/>
        <w:rPr>
          <w:snapToGrid w:val="0"/>
        </w:rPr>
      </w:pPr>
      <w:r>
        <w:rPr>
          <w:snapToGrid w:val="0"/>
        </w:rPr>
        <w:tab/>
        <w:t>(2)</w:t>
      </w:r>
      <w:r>
        <w:rPr>
          <w:snapToGrid w:val="0"/>
        </w:rPr>
        <w:tab/>
        <w:t>The Council may, after consultation with an education provider and with the approval of the Minister, give directions to the education provider as to — </w:t>
      </w:r>
    </w:p>
    <w:p>
      <w:pPr>
        <w:pStyle w:val="Indenta"/>
        <w:rPr>
          <w:snapToGrid w:val="0"/>
        </w:rPr>
      </w:pPr>
      <w:r>
        <w:rPr>
          <w:snapToGrid w:val="0"/>
        </w:rPr>
        <w:tab/>
        <w:t>(a)</w:t>
      </w:r>
      <w:r>
        <w:rPr>
          <w:snapToGrid w:val="0"/>
        </w:rPr>
        <w:tab/>
        <w:t>the implementation of the curriculum framework within a school system or school or in respect of a student receiving</w:t>
      </w:r>
      <w:r>
        <w:t xml:space="preserve"> home education</w:t>
      </w:r>
      <w:r>
        <w:rPr>
          <w:snapToGrid w:val="0"/>
        </w:rPr>
        <w:t>, as the case requires; and</w:t>
      </w:r>
    </w:p>
    <w:p>
      <w:pPr>
        <w:pStyle w:val="Indenta"/>
        <w:rPr>
          <w:snapToGrid w:val="0"/>
        </w:rPr>
      </w:pPr>
      <w:r>
        <w:rPr>
          <w:snapToGrid w:val="0"/>
        </w:rPr>
        <w:tab/>
        <w:t>(b)</w:t>
      </w:r>
      <w:r>
        <w:rPr>
          <w:snapToGrid w:val="0"/>
        </w:rPr>
        <w:tab/>
        <w:t>reporting requirements in relation to the implementation of the curriculum framework.</w:t>
      </w:r>
    </w:p>
    <w:p>
      <w:pPr>
        <w:pStyle w:val="Subsection"/>
        <w:rPr>
          <w:snapToGrid w:val="0"/>
        </w:rPr>
      </w:pPr>
      <w:r>
        <w:rPr>
          <w:snapToGrid w:val="0"/>
        </w:rPr>
        <w:tab/>
        <w:t>(3)</w:t>
      </w:r>
      <w:r>
        <w:rPr>
          <w:snapToGrid w:val="0"/>
        </w:rPr>
        <w:tab/>
        <w:t>Directions issued under this section are to be followed by the education provider to whom or which they are directed.</w:t>
      </w:r>
    </w:p>
    <w:p>
      <w:pPr>
        <w:pStyle w:val="Footnotesection"/>
      </w:pPr>
      <w:r>
        <w:tab/>
        <w:t>[Section 10 amended by No. 36 of 1999 s. 247.]</w:t>
      </w:r>
    </w:p>
    <w:p>
      <w:pPr>
        <w:pStyle w:val="Heading5"/>
        <w:rPr>
          <w:snapToGrid w:val="0"/>
        </w:rPr>
      </w:pPr>
      <w:bookmarkStart w:id="89" w:name="_Toc520109142"/>
      <w:bookmarkStart w:id="90" w:name="_Toc17002427"/>
      <w:bookmarkStart w:id="91" w:name="_Toc123645484"/>
      <w:bookmarkStart w:id="92" w:name="_Toc274207116"/>
      <w:r>
        <w:rPr>
          <w:rStyle w:val="CharSectno"/>
        </w:rPr>
        <w:t>11</w:t>
      </w:r>
      <w:r>
        <w:rPr>
          <w:snapToGrid w:val="0"/>
        </w:rPr>
        <w:t>.</w:t>
      </w:r>
      <w:r>
        <w:rPr>
          <w:snapToGrid w:val="0"/>
        </w:rPr>
        <w:tab/>
        <w:t>Exemption from curriculum framework</w:t>
      </w:r>
      <w:bookmarkEnd w:id="89"/>
      <w:bookmarkEnd w:id="90"/>
      <w:bookmarkEnd w:id="91"/>
      <w:bookmarkEnd w:id="92"/>
      <w:r>
        <w:rPr>
          <w:snapToGrid w:val="0"/>
        </w:rPr>
        <w:t xml:space="preserve"> </w:t>
      </w:r>
    </w:p>
    <w:p>
      <w:pPr>
        <w:pStyle w:val="Subsection"/>
        <w:spacing w:before="140"/>
        <w:rPr>
          <w:snapToGrid w:val="0"/>
        </w:rPr>
      </w:pPr>
      <w:r>
        <w:rPr>
          <w:snapToGrid w:val="0"/>
        </w:rPr>
        <w:tab/>
        <w:t>(1)</w:t>
      </w:r>
      <w:r>
        <w:rPr>
          <w:snapToGrid w:val="0"/>
        </w:rPr>
        <w:tab/>
        <w:t>The Minister may by instrument exempt an education provider from section 10(1) if the Minister is satisfied that it is appropriate in the circumstances to do so.</w:t>
      </w:r>
    </w:p>
    <w:p>
      <w:pPr>
        <w:pStyle w:val="Subsection"/>
        <w:spacing w:before="140"/>
        <w:rPr>
          <w:snapToGrid w:val="0"/>
        </w:rPr>
      </w:pPr>
      <w:r>
        <w:rPr>
          <w:snapToGrid w:val="0"/>
        </w:rPr>
        <w:tab/>
        <w:t>(2)</w:t>
      </w:r>
      <w:r>
        <w:rPr>
          <w:snapToGrid w:val="0"/>
        </w:rPr>
        <w:tab/>
        <w:t>Before the Minister grants an exemption under subsection (1), the Minister is to seek the advice of the Council and allow the Council a period of not less than 14 days to make a recommendation on the matter.</w:t>
      </w:r>
    </w:p>
    <w:p>
      <w:pPr>
        <w:pStyle w:val="Subsection"/>
        <w:spacing w:before="140"/>
        <w:rPr>
          <w:snapToGrid w:val="0"/>
        </w:rPr>
      </w:pPr>
      <w:r>
        <w:rPr>
          <w:snapToGrid w:val="0"/>
        </w:rPr>
        <w:tab/>
        <w:t>(3)</w:t>
      </w:r>
      <w:r>
        <w:rPr>
          <w:snapToGrid w:val="0"/>
        </w:rPr>
        <w:tab/>
        <w:t>The Minister is to have regard to any recommendation made by the Council under subsection (2), but is not bound to give effect to the recommendation.</w:t>
      </w:r>
    </w:p>
    <w:p>
      <w:pPr>
        <w:pStyle w:val="Subsection"/>
        <w:spacing w:before="120"/>
        <w:rPr>
          <w:snapToGrid w:val="0"/>
        </w:rPr>
      </w:pPr>
      <w:r>
        <w:rPr>
          <w:snapToGrid w:val="0"/>
        </w:rPr>
        <w:tab/>
        <w:t>(4)</w:t>
      </w:r>
      <w:r>
        <w:rPr>
          <w:snapToGrid w:val="0"/>
        </w:rPr>
        <w:tab/>
        <w:t>Section 10(1) does not apply to an education provider who or which is exempted by the Minister under subsection (1) if the conditions of the exemption are being complied with.</w:t>
      </w:r>
    </w:p>
    <w:p>
      <w:pPr>
        <w:pStyle w:val="Subsection"/>
        <w:spacing w:before="120"/>
        <w:rPr>
          <w:snapToGrid w:val="0"/>
        </w:rPr>
      </w:pPr>
      <w:r>
        <w:rPr>
          <w:snapToGrid w:val="0"/>
        </w:rPr>
        <w:tab/>
        <w:t>(5)</w:t>
      </w:r>
      <w:r>
        <w:rPr>
          <w:snapToGrid w:val="0"/>
        </w:rPr>
        <w:tab/>
        <w:t>An exemption may be limited in its operation to a specified period.</w:t>
      </w:r>
    </w:p>
    <w:p>
      <w:pPr>
        <w:pStyle w:val="Subsection"/>
        <w:spacing w:before="120"/>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make the exemption subject to any condition; and</w:t>
      </w:r>
    </w:p>
    <w:p>
      <w:pPr>
        <w:pStyle w:val="Indenta"/>
        <w:rPr>
          <w:snapToGrid w:val="0"/>
        </w:rPr>
      </w:pPr>
      <w:r>
        <w:rPr>
          <w:snapToGrid w:val="0"/>
        </w:rPr>
        <w:tab/>
        <w:t>(b)</w:t>
      </w:r>
      <w:r>
        <w:rPr>
          <w:snapToGrid w:val="0"/>
        </w:rPr>
        <w:tab/>
        <w:t>impose any further condition or vary or revoke a condition at any time.</w:t>
      </w:r>
    </w:p>
    <w:p>
      <w:pPr>
        <w:pStyle w:val="Heading5"/>
        <w:rPr>
          <w:snapToGrid w:val="0"/>
        </w:rPr>
      </w:pPr>
      <w:bookmarkStart w:id="93" w:name="_Toc520109143"/>
      <w:bookmarkStart w:id="94" w:name="_Toc17002428"/>
      <w:bookmarkStart w:id="95" w:name="_Toc123645485"/>
      <w:bookmarkStart w:id="96" w:name="_Toc274207117"/>
      <w:r>
        <w:rPr>
          <w:rStyle w:val="CharSectno"/>
        </w:rPr>
        <w:t>12</w:t>
      </w:r>
      <w:r>
        <w:rPr>
          <w:snapToGrid w:val="0"/>
        </w:rPr>
        <w:t>.</w:t>
      </w:r>
      <w:r>
        <w:rPr>
          <w:snapToGrid w:val="0"/>
        </w:rPr>
        <w:tab/>
        <w:t>Senior secondary schooling</w:t>
      </w:r>
      <w:bookmarkEnd w:id="93"/>
      <w:bookmarkEnd w:id="94"/>
      <w:bookmarkEnd w:id="95"/>
      <w:bookmarkEnd w:id="96"/>
    </w:p>
    <w:p>
      <w:pPr>
        <w:pStyle w:val="Subsection"/>
        <w:spacing w:before="120"/>
      </w:pPr>
      <w:r>
        <w:tab/>
        <w:t>(1)</w:t>
      </w:r>
      <w:r>
        <w:tab/>
        <w:t xml:space="preserve">In this section — </w:t>
      </w:r>
    </w:p>
    <w:p>
      <w:pPr>
        <w:pStyle w:val="Defstart"/>
      </w:pPr>
      <w:r>
        <w:rPr>
          <w:b/>
        </w:rPr>
        <w:tab/>
      </w:r>
      <w:r>
        <w:rPr>
          <w:rStyle w:val="CharDefText"/>
        </w:rPr>
        <w:t>senior secondary schooling</w:t>
      </w:r>
      <w:r>
        <w:t xml:space="preserve"> means the 11</w:t>
      </w:r>
      <w:r>
        <w:rPr>
          <w:vertAlign w:val="superscript"/>
        </w:rPr>
        <w:t>th</w:t>
      </w:r>
      <w:r>
        <w:t xml:space="preserve"> and 12</w:t>
      </w:r>
      <w:r>
        <w:rPr>
          <w:vertAlign w:val="superscript"/>
        </w:rPr>
        <w:t>th</w:t>
      </w:r>
      <w:r>
        <w:t xml:space="preserve"> years of the compulsory education period.</w:t>
      </w:r>
    </w:p>
    <w:p>
      <w:pPr>
        <w:pStyle w:val="Subsection"/>
        <w:spacing w:before="120"/>
        <w:rPr>
          <w:snapToGrid w:val="0"/>
        </w:rPr>
      </w:pPr>
      <w:r>
        <w:rPr>
          <w:snapToGrid w:val="0"/>
        </w:rPr>
        <w:tab/>
        <w:t>(2)</w:t>
      </w:r>
      <w:r>
        <w:rPr>
          <w:snapToGrid w:val="0"/>
        </w:rPr>
        <w:tab/>
        <w:t>It is a function of the Council to — </w:t>
      </w:r>
    </w:p>
    <w:p>
      <w:pPr>
        <w:pStyle w:val="Indenta"/>
        <w:spacing w:before="60"/>
        <w:rPr>
          <w:snapToGrid w:val="0"/>
        </w:rPr>
      </w:pPr>
      <w:r>
        <w:rPr>
          <w:snapToGrid w:val="0"/>
        </w:rPr>
        <w:tab/>
        <w:t>(a)</w:t>
      </w:r>
      <w:r>
        <w:rPr>
          <w:snapToGrid w:val="0"/>
        </w:rPr>
        <w:tab/>
        <w:t xml:space="preserve">establish guidelines for the development and accreditation of courses of study in which students undertaking </w:t>
      </w:r>
      <w:r>
        <w:t xml:space="preserve">senior secondary </w:t>
      </w:r>
      <w:r>
        <w:rPr>
          <w:snapToGrid w:val="0"/>
        </w:rPr>
        <w:t>schooling may be assessed for purposes of certification;</w:t>
      </w:r>
    </w:p>
    <w:p>
      <w:pPr>
        <w:pStyle w:val="Indenta"/>
        <w:spacing w:before="60"/>
        <w:rPr>
          <w:snapToGrid w:val="0"/>
        </w:rPr>
      </w:pPr>
      <w:r>
        <w:rPr>
          <w:snapToGrid w:val="0"/>
        </w:rPr>
        <w:tab/>
        <w:t>(b)</w:t>
      </w:r>
      <w:r>
        <w:rPr>
          <w:snapToGrid w:val="0"/>
        </w:rPr>
        <w:tab/>
        <w:t>accredit and evaluate courses of study prepared by the Council, or prepared in accordance with guidelines approved by the Council;</w:t>
      </w:r>
    </w:p>
    <w:p>
      <w:pPr>
        <w:pStyle w:val="Indenta"/>
        <w:spacing w:before="60"/>
        <w:rPr>
          <w:snapToGrid w:val="0"/>
        </w:rPr>
      </w:pPr>
      <w:r>
        <w:rPr>
          <w:snapToGrid w:val="0"/>
        </w:rPr>
        <w:tab/>
        <w:t>(c)</w:t>
      </w:r>
      <w:r>
        <w:rPr>
          <w:snapToGrid w:val="0"/>
        </w:rPr>
        <w:tab/>
        <w:t xml:space="preserve">accredit, for the purposes of certification of students undertaking </w:t>
      </w:r>
      <w:r>
        <w:t xml:space="preserve">senior secondary </w:t>
      </w:r>
      <w:r>
        <w:rPr>
          <w:snapToGrid w:val="0"/>
        </w:rPr>
        <w:t>schooling, partially completed secondary courses of study taken outside the State;</w:t>
      </w:r>
    </w:p>
    <w:p>
      <w:pPr>
        <w:pStyle w:val="Indenta"/>
        <w:spacing w:before="60"/>
        <w:rPr>
          <w:snapToGrid w:val="0"/>
        </w:rPr>
      </w:pPr>
      <w:r>
        <w:rPr>
          <w:snapToGrid w:val="0"/>
        </w:rPr>
        <w:tab/>
        <w:t>(d)</w:t>
      </w:r>
      <w:r>
        <w:rPr>
          <w:snapToGrid w:val="0"/>
        </w:rPr>
        <w:tab/>
        <w:t>after consultation with such persons and bodies having functions relating to secondary education, vocational education and training, and university education as the Council thinks fit, establish and carry into effect procedures for — </w:t>
      </w:r>
    </w:p>
    <w:p>
      <w:pPr>
        <w:pStyle w:val="Indenti"/>
        <w:rPr>
          <w:snapToGrid w:val="0"/>
        </w:rPr>
      </w:pPr>
      <w:r>
        <w:rPr>
          <w:snapToGrid w:val="0"/>
        </w:rPr>
        <w:tab/>
        <w:t>(i)</w:t>
      </w:r>
      <w:r>
        <w:rPr>
          <w:snapToGrid w:val="0"/>
        </w:rPr>
        <w:tab/>
        <w:t xml:space="preserve">assessment of achievement of students undertaking </w:t>
      </w:r>
      <w:r>
        <w:t xml:space="preserve">senior secondary </w:t>
      </w:r>
      <w:r>
        <w:rPr>
          <w:snapToGrid w:val="0"/>
        </w:rPr>
        <w:t>schooling, and the proper conduct of that assessment, including school and external assessment for the purposes of certification; and</w:t>
      </w:r>
    </w:p>
    <w:p>
      <w:pPr>
        <w:pStyle w:val="Indenti"/>
        <w:rPr>
          <w:snapToGrid w:val="0"/>
        </w:rPr>
      </w:pPr>
      <w:r>
        <w:rPr>
          <w:snapToGrid w:val="0"/>
        </w:rPr>
        <w:tab/>
        <w:t>(ii)</w:t>
      </w:r>
      <w:r>
        <w:rPr>
          <w:snapToGrid w:val="0"/>
        </w:rPr>
        <w:tab/>
        <w:t>ensuring the comparability of assessments of student achievement;</w:t>
      </w:r>
    </w:p>
    <w:p>
      <w:pPr>
        <w:pStyle w:val="Indenta"/>
        <w:rPr>
          <w:snapToGrid w:val="0"/>
        </w:rPr>
      </w:pPr>
      <w:r>
        <w:rPr>
          <w:snapToGrid w:val="0"/>
        </w:rPr>
        <w:tab/>
        <w:t>(e)</w:t>
      </w:r>
      <w:r>
        <w:rPr>
          <w:snapToGrid w:val="0"/>
        </w:rPr>
        <w:tab/>
        <w:t>after consultation with such persons and bodies having functions relating to secondary education, vocational education and training and university education as the Council thinks fit, determine the courses of study to be assessed within secondary schools or by the Council for the purpose of entrance to a university or as a prerequisite for vocational education and training;</w:t>
      </w:r>
    </w:p>
    <w:p>
      <w:pPr>
        <w:pStyle w:val="Indenta"/>
        <w:rPr>
          <w:snapToGrid w:val="0"/>
        </w:rPr>
      </w:pPr>
      <w:r>
        <w:rPr>
          <w:snapToGrid w:val="0"/>
        </w:rPr>
        <w:tab/>
        <w:t>(f)</w:t>
      </w:r>
      <w:r>
        <w:rPr>
          <w:snapToGrid w:val="0"/>
        </w:rPr>
        <w:tab/>
        <w:t>consult with universities, and persons and bodies having functions relating to vocational education and training, with respect to requirements and procedures for admission to university and vocational education and training, and review from time to time the effects of those requirements and procedures; and</w:t>
      </w:r>
    </w:p>
    <w:p>
      <w:pPr>
        <w:pStyle w:val="Indenta"/>
        <w:rPr>
          <w:snapToGrid w:val="0"/>
        </w:rPr>
      </w:pPr>
      <w:r>
        <w:rPr>
          <w:snapToGrid w:val="0"/>
        </w:rPr>
        <w:tab/>
        <w:t>(g)</w:t>
      </w:r>
      <w:r>
        <w:rPr>
          <w:snapToGrid w:val="0"/>
        </w:rPr>
        <w:tab/>
        <w:t>provide information to universities, and persons and bodies having functions relating to vocational education and training, on the achievement of students seeking admission to university or to vocational education and training.</w:t>
      </w:r>
    </w:p>
    <w:p>
      <w:pPr>
        <w:pStyle w:val="Footnotesection"/>
      </w:pPr>
      <w:r>
        <w:tab/>
        <w:t>[Section 12 amended by No. 22 of 2005 s. 45.]</w:t>
      </w:r>
    </w:p>
    <w:p>
      <w:pPr>
        <w:pStyle w:val="Heading5"/>
        <w:rPr>
          <w:snapToGrid w:val="0"/>
        </w:rPr>
      </w:pPr>
      <w:bookmarkStart w:id="97" w:name="_Toc520109144"/>
      <w:bookmarkStart w:id="98" w:name="_Toc17002429"/>
      <w:bookmarkStart w:id="99" w:name="_Toc123645486"/>
      <w:bookmarkStart w:id="100" w:name="_Toc274207118"/>
      <w:r>
        <w:rPr>
          <w:rStyle w:val="CharSectno"/>
        </w:rPr>
        <w:t>13</w:t>
      </w:r>
      <w:r>
        <w:rPr>
          <w:snapToGrid w:val="0"/>
        </w:rPr>
        <w:t>.</w:t>
      </w:r>
      <w:r>
        <w:rPr>
          <w:snapToGrid w:val="0"/>
        </w:rPr>
        <w:tab/>
        <w:t>Advice to Minister</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It is a function of the Council to advise the Minister on matters arising under this Act and, in particular, to advise the Minister on the granting of exemptions under section 11.</w:t>
      </w:r>
    </w:p>
    <w:p>
      <w:pPr>
        <w:pStyle w:val="Heading5"/>
        <w:rPr>
          <w:snapToGrid w:val="0"/>
        </w:rPr>
      </w:pPr>
      <w:bookmarkStart w:id="101" w:name="_Toc520109145"/>
      <w:bookmarkStart w:id="102" w:name="_Toc17002430"/>
      <w:bookmarkStart w:id="103" w:name="_Toc123645487"/>
      <w:bookmarkStart w:id="104" w:name="_Toc274207119"/>
      <w:r>
        <w:rPr>
          <w:rStyle w:val="CharSectno"/>
        </w:rPr>
        <w:t>14</w:t>
      </w:r>
      <w:r>
        <w:rPr>
          <w:snapToGrid w:val="0"/>
        </w:rPr>
        <w:t>.</w:t>
      </w:r>
      <w:r>
        <w:rPr>
          <w:snapToGrid w:val="0"/>
        </w:rPr>
        <w:tab/>
        <w:t>Information and register</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Council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records of assessment made or recognized by the Council; and</w:t>
      </w:r>
    </w:p>
    <w:p>
      <w:pPr>
        <w:pStyle w:val="Indenti"/>
        <w:rPr>
          <w:snapToGrid w:val="0"/>
        </w:rPr>
      </w:pPr>
      <w:r>
        <w:rPr>
          <w:snapToGrid w:val="0"/>
        </w:rPr>
        <w:tab/>
        <w:t>(ii)</w:t>
      </w:r>
      <w:r>
        <w:rPr>
          <w:snapToGrid w:val="0"/>
        </w:rPr>
        <w:tab/>
        <w:t>a register of courses of study which may be entered on a certificate of student achievement;</w:t>
      </w:r>
    </w:p>
    <w:p>
      <w:pPr>
        <w:pStyle w:val="Indenta"/>
        <w:spacing w:before="100"/>
        <w:rPr>
          <w:snapToGrid w:val="0"/>
        </w:rPr>
      </w:pPr>
      <w:r>
        <w:rPr>
          <w:snapToGrid w:val="0"/>
        </w:rPr>
        <w:tab/>
        <w:t>(b)</w:t>
      </w:r>
      <w:r>
        <w:rPr>
          <w:snapToGrid w:val="0"/>
        </w:rPr>
        <w:tab/>
        <w:t>liaise with governing bodies as to access by the Council to, and the maintenance of, records of assessment made within schools and school systems; and</w:t>
      </w:r>
    </w:p>
    <w:p>
      <w:pPr>
        <w:pStyle w:val="Indenta"/>
        <w:spacing w:before="100"/>
        <w:rPr>
          <w:snapToGrid w:val="0"/>
        </w:rPr>
      </w:pPr>
      <w:r>
        <w:rPr>
          <w:snapToGrid w:val="0"/>
        </w:rPr>
        <w:tab/>
        <w:t>(c)</w:t>
      </w:r>
      <w:r>
        <w:rPr>
          <w:snapToGrid w:val="0"/>
        </w:rPr>
        <w:tab/>
        <w:t>provide such statistics, information and records to any education provider on achievement of students of that education provider as the Council thinks fit.</w:t>
      </w:r>
    </w:p>
    <w:p>
      <w:pPr>
        <w:pStyle w:val="Subsection"/>
        <w:spacing w:before="180"/>
        <w:rPr>
          <w:snapToGrid w:val="0"/>
        </w:rPr>
      </w:pPr>
      <w:r>
        <w:rPr>
          <w:snapToGrid w:val="0"/>
        </w:rPr>
        <w:tab/>
        <w:t>(2)</w:t>
      </w:r>
      <w:r>
        <w:rPr>
          <w:snapToGrid w:val="0"/>
        </w:rPr>
        <w:tab/>
        <w:t>The Council is to provide, on payment of the prescribed fee, if any, a certificate of student achievement to a person who has completed secondary education and met the minimum requirements for graduation from secondary school.</w:t>
      </w:r>
    </w:p>
    <w:p>
      <w:pPr>
        <w:pStyle w:val="Subsection"/>
        <w:spacing w:before="180"/>
        <w:rPr>
          <w:snapToGrid w:val="0"/>
        </w:rPr>
      </w:pPr>
      <w:r>
        <w:rPr>
          <w:snapToGrid w:val="0"/>
        </w:rPr>
        <w:tab/>
        <w:t>(3)</w:t>
      </w:r>
      <w:r>
        <w:rPr>
          <w:snapToGrid w:val="0"/>
        </w:rPr>
        <w:tab/>
      </w:r>
      <w:r>
        <w:rPr>
          <w:snapToGrid w:val="0"/>
          <w:spacing w:val="-3"/>
        </w:rPr>
        <w:t>The Council is to provide to any person, on the request of that person and payment of the prescribed fee, if any, a copy of the record of assessment kept by the Council in relation to that person.</w:t>
      </w:r>
    </w:p>
    <w:p>
      <w:pPr>
        <w:pStyle w:val="Heading5"/>
        <w:spacing w:before="260"/>
        <w:rPr>
          <w:snapToGrid w:val="0"/>
        </w:rPr>
      </w:pPr>
      <w:bookmarkStart w:id="105" w:name="_Toc520109146"/>
      <w:bookmarkStart w:id="106" w:name="_Toc17002431"/>
      <w:bookmarkStart w:id="107" w:name="_Toc123645488"/>
      <w:bookmarkStart w:id="108" w:name="_Toc274207120"/>
      <w:r>
        <w:rPr>
          <w:rStyle w:val="CharSectno"/>
        </w:rPr>
        <w:t>15</w:t>
      </w:r>
      <w:r>
        <w:rPr>
          <w:snapToGrid w:val="0"/>
        </w:rPr>
        <w:t>.</w:t>
      </w:r>
      <w:r>
        <w:rPr>
          <w:snapToGrid w:val="0"/>
        </w:rPr>
        <w:tab/>
        <w:t>Powers</w:t>
      </w:r>
      <w:bookmarkEnd w:id="105"/>
      <w:bookmarkEnd w:id="106"/>
      <w:bookmarkEnd w:id="107"/>
      <w:bookmarkEnd w:id="108"/>
      <w:r>
        <w:rPr>
          <w:snapToGrid w:val="0"/>
        </w:rPr>
        <w:t xml:space="preserve"> </w:t>
      </w:r>
    </w:p>
    <w:p>
      <w:pPr>
        <w:pStyle w:val="Subsection"/>
        <w:spacing w:before="180"/>
        <w:rPr>
          <w:snapToGrid w:val="0"/>
        </w:rPr>
      </w:pPr>
      <w:r>
        <w:rPr>
          <w:snapToGrid w:val="0"/>
        </w:rPr>
        <w:tab/>
        <w:t>(1)</w:t>
      </w:r>
      <w:r>
        <w:rPr>
          <w:snapToGrid w:val="0"/>
        </w:rPr>
        <w:tab/>
        <w:t>The Council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Without limiting the generality of subsection (1), the Council has power to — </w:t>
      </w:r>
    </w:p>
    <w:p>
      <w:pPr>
        <w:pStyle w:val="Indenta"/>
        <w:spacing w:before="100"/>
        <w:rPr>
          <w:snapToGrid w:val="0"/>
        </w:rPr>
      </w:pPr>
      <w:r>
        <w:rPr>
          <w:snapToGrid w:val="0"/>
        </w:rPr>
        <w:tab/>
        <w:t>(a)</w:t>
      </w:r>
      <w:r>
        <w:rPr>
          <w:snapToGrid w:val="0"/>
        </w:rPr>
        <w:tab/>
        <w:t xml:space="preserve">conduct and promote relevant research; </w:t>
      </w:r>
    </w:p>
    <w:p>
      <w:pPr>
        <w:pStyle w:val="Indenta"/>
        <w:spacing w:before="100"/>
        <w:rPr>
          <w:snapToGrid w:val="0"/>
        </w:rPr>
      </w:pPr>
      <w:r>
        <w:rPr>
          <w:snapToGrid w:val="0"/>
        </w:rPr>
        <w:tab/>
        <w:t>(b)</w:t>
      </w:r>
      <w:r>
        <w:rPr>
          <w:snapToGrid w:val="0"/>
        </w:rPr>
        <w:tab/>
        <w:t>provide such facilities as the Council thinks necessary for or conducive to the performance of its functions;</w:t>
      </w:r>
    </w:p>
    <w:p>
      <w:pPr>
        <w:pStyle w:val="Indenta"/>
        <w:spacing w:before="100"/>
        <w:rPr>
          <w:snapToGrid w:val="0"/>
        </w:rPr>
      </w:pPr>
      <w:r>
        <w:rPr>
          <w:snapToGrid w:val="0"/>
        </w:rPr>
        <w:tab/>
        <w:t>(c)</w:t>
      </w:r>
      <w:r>
        <w:rPr>
          <w:snapToGrid w:val="0"/>
        </w:rPr>
        <w:tab/>
        <w:t xml:space="preserve">acquire, hold, manage, develop, dispose of and otherwise deal in real and personal property; </w:t>
      </w:r>
    </w:p>
    <w:p>
      <w:pPr>
        <w:pStyle w:val="Indenta"/>
        <w:spacing w:before="100"/>
        <w:rPr>
          <w:snapToGrid w:val="0"/>
        </w:rPr>
      </w:pPr>
      <w:r>
        <w:rPr>
          <w:snapToGrid w:val="0"/>
        </w:rPr>
        <w:tab/>
        <w:t>(d)</w:t>
      </w:r>
      <w:r>
        <w:rPr>
          <w:snapToGrid w:val="0"/>
        </w:rPr>
        <w:tab/>
        <w:t>apply for, obtain and hold intellectual property rights and design rights;</w:t>
      </w:r>
    </w:p>
    <w:p>
      <w:pPr>
        <w:pStyle w:val="Indenta"/>
        <w:spacing w:before="100"/>
        <w:rPr>
          <w:snapToGrid w:val="0"/>
        </w:rPr>
      </w:pPr>
      <w:r>
        <w:rPr>
          <w:snapToGrid w:val="0"/>
        </w:rPr>
        <w:tab/>
        <w:t>(e)</w:t>
      </w:r>
      <w:r>
        <w:rPr>
          <w:snapToGrid w:val="0"/>
        </w:rPr>
        <w:tab/>
        <w:t>enter into a contract or arrangement with any person including any government, governmental agency or governmental instrumentality, whether inside or outside Australia — </w:t>
      </w:r>
    </w:p>
    <w:p>
      <w:pPr>
        <w:pStyle w:val="Indenti"/>
        <w:spacing w:before="6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 xml:space="preserve">for the commercial exploitation of the rights referred to in paragraph (d), whether by assignment, licensing or otherwise; </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charge for services it provides to any person, including any government, governmental agency or governmental instrumentality, whether inside or outside Australia.</w:t>
      </w:r>
    </w:p>
    <w:p>
      <w:pPr>
        <w:pStyle w:val="Heading5"/>
        <w:rPr>
          <w:snapToGrid w:val="0"/>
        </w:rPr>
      </w:pPr>
      <w:bookmarkStart w:id="109" w:name="_Toc520109147"/>
      <w:bookmarkStart w:id="110" w:name="_Toc17002432"/>
      <w:bookmarkStart w:id="111" w:name="_Toc123645489"/>
      <w:bookmarkStart w:id="112" w:name="_Toc274207121"/>
      <w:r>
        <w:rPr>
          <w:rStyle w:val="CharSectno"/>
        </w:rPr>
        <w:t>16</w:t>
      </w:r>
      <w:r>
        <w:rPr>
          <w:snapToGrid w:val="0"/>
        </w:rPr>
        <w:t>.</w:t>
      </w:r>
      <w:r>
        <w:rPr>
          <w:snapToGrid w:val="0"/>
        </w:rPr>
        <w:tab/>
        <w:t>Performance of functions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In performing its functions the Council is to have regard to the capacity, financial and otherwise, of education providers to respond to decisions of the Council and to the impact of the decisions on education providers.</w:t>
      </w:r>
    </w:p>
    <w:p>
      <w:pPr>
        <w:pStyle w:val="Subsection"/>
        <w:rPr>
          <w:snapToGrid w:val="0"/>
        </w:rPr>
      </w:pPr>
      <w:r>
        <w:rPr>
          <w:snapToGrid w:val="0"/>
        </w:rPr>
        <w:tab/>
        <w:t>(2)</w:t>
      </w:r>
      <w:r>
        <w:rPr>
          <w:snapToGrid w:val="0"/>
        </w:rPr>
        <w:tab/>
        <w:t>In performing its functions the Council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t>The Council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Council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rPr>
          <w:snapToGrid w:val="0"/>
        </w:rPr>
      </w:pPr>
      <w:r>
        <w:rPr>
          <w:snapToGrid w:val="0"/>
        </w:rPr>
        <w:tab/>
        <w:t>(c)</w:t>
      </w:r>
      <w:r>
        <w:rPr>
          <w:snapToGrid w:val="0"/>
        </w:rPr>
        <w:tab/>
        <w:t xml:space="preserve">advise and confer with employers, organisations of employees and employers, and such other persons and bodies as the Council thinks fit, with respect to recognition by those persons and bodies of courses of study assessed by the Council or within secondary schools, and advise those persons and bodies with respect to levels and methods of assessment and methods of certification; and </w:t>
      </w:r>
    </w:p>
    <w:p>
      <w:pPr>
        <w:pStyle w:val="Indenta"/>
        <w:rPr>
          <w:snapToGrid w:val="0"/>
        </w:rPr>
      </w:pPr>
      <w:r>
        <w:rPr>
          <w:snapToGrid w:val="0"/>
        </w:rPr>
        <w:tab/>
        <w:t>(d)</w:t>
      </w:r>
      <w:r>
        <w:rPr>
          <w:snapToGrid w:val="0"/>
        </w:rPr>
        <w:tab/>
        <w:t>provide structures for co</w:t>
      </w:r>
      <w:r>
        <w:rPr>
          <w:snapToGrid w:val="0"/>
        </w:rPr>
        <w:noBreakHyphen/>
        <w:t>operation and consultation in relation to professional development and the development of support documentation.</w:t>
      </w:r>
    </w:p>
    <w:p>
      <w:pPr>
        <w:pStyle w:val="Heading5"/>
        <w:rPr>
          <w:snapToGrid w:val="0"/>
        </w:rPr>
      </w:pPr>
      <w:bookmarkStart w:id="113" w:name="_Toc520109148"/>
      <w:bookmarkStart w:id="114" w:name="_Toc17002433"/>
      <w:bookmarkStart w:id="115" w:name="_Toc123645490"/>
      <w:bookmarkStart w:id="116" w:name="_Toc274207122"/>
      <w:r>
        <w:rPr>
          <w:rStyle w:val="CharSectno"/>
        </w:rPr>
        <w:t>17</w:t>
      </w:r>
      <w:r>
        <w:rPr>
          <w:snapToGrid w:val="0"/>
        </w:rPr>
        <w:t>.</w:t>
      </w:r>
      <w:r>
        <w:rPr>
          <w:snapToGrid w:val="0"/>
        </w:rPr>
        <w:tab/>
        <w:t>Delegation</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Council may, by instrument, delegate the performance of any of its functions, except this power of delegation, to — </w:t>
      </w:r>
    </w:p>
    <w:p>
      <w:pPr>
        <w:pStyle w:val="Indenta"/>
        <w:rPr>
          <w:snapToGrid w:val="0"/>
        </w:rPr>
      </w:pPr>
      <w:r>
        <w:rPr>
          <w:snapToGrid w:val="0"/>
        </w:rPr>
        <w:tab/>
        <w:t>(a)</w:t>
      </w:r>
      <w:r>
        <w:rPr>
          <w:snapToGrid w:val="0"/>
        </w:rPr>
        <w:tab/>
        <w:t>a member or members of the Council;</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 xml:space="preserve">a committee; or </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(2)</w:t>
      </w:r>
      <w:r>
        <w:rPr>
          <w:snapToGrid w:val="0"/>
        </w:rPr>
        <w:tab/>
        <w:t>A function performed by a delegate under this section is to be taken to be performed by the Council.</w:t>
      </w:r>
    </w:p>
    <w:p>
      <w:pPr>
        <w:pStyle w:val="Subsection"/>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rPr>
          <w:snapToGrid w:val="0"/>
        </w:rPr>
      </w:pPr>
      <w:r>
        <w:rPr>
          <w:snapToGrid w:val="0"/>
        </w:rPr>
        <w:tab/>
        <w:t>(4)</w:t>
      </w:r>
      <w:r>
        <w:rPr>
          <w:snapToGrid w:val="0"/>
        </w:rPr>
        <w:tab/>
        <w:t>Nothing in this section is to be read as limiting the ability of the Council to act through its officers and agents in the normal course of business.</w:t>
      </w:r>
    </w:p>
    <w:p>
      <w:pPr>
        <w:pStyle w:val="Heading5"/>
        <w:rPr>
          <w:snapToGrid w:val="0"/>
        </w:rPr>
      </w:pPr>
      <w:bookmarkStart w:id="117" w:name="_Toc520109149"/>
      <w:bookmarkStart w:id="118" w:name="_Toc17002434"/>
      <w:bookmarkStart w:id="119" w:name="_Toc123645491"/>
      <w:bookmarkStart w:id="120" w:name="_Toc274207123"/>
      <w:r>
        <w:rPr>
          <w:rStyle w:val="CharSectno"/>
        </w:rPr>
        <w:t>18</w:t>
      </w:r>
      <w:r>
        <w:rPr>
          <w:snapToGrid w:val="0"/>
        </w:rPr>
        <w:t>.</w:t>
      </w:r>
      <w:r>
        <w:rPr>
          <w:snapToGrid w:val="0"/>
        </w:rPr>
        <w:tab/>
        <w:t>Minister may give directions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Council under </w:t>
      </w:r>
      <w:r>
        <w:t xml:space="preserve">Part 5 of the </w:t>
      </w:r>
      <w:r>
        <w:rPr>
          <w:i/>
          <w:iCs/>
        </w:rPr>
        <w:t>Financial Management Act 2006</w:t>
      </w:r>
      <w:r>
        <w:t>.</w:t>
      </w:r>
    </w:p>
    <w:p>
      <w:pPr>
        <w:pStyle w:val="Footnotesection"/>
      </w:pPr>
      <w:r>
        <w:tab/>
        <w:t>[Section 18 amended by No. 77 of 2006 s. 17.]</w:t>
      </w:r>
    </w:p>
    <w:p>
      <w:pPr>
        <w:pStyle w:val="Heading5"/>
        <w:rPr>
          <w:snapToGrid w:val="0"/>
        </w:rPr>
      </w:pPr>
      <w:bookmarkStart w:id="121" w:name="_Toc520109150"/>
      <w:bookmarkStart w:id="122" w:name="_Toc17002435"/>
      <w:bookmarkStart w:id="123" w:name="_Toc123645492"/>
      <w:bookmarkStart w:id="124" w:name="_Toc274207124"/>
      <w:r>
        <w:rPr>
          <w:rStyle w:val="CharSectno"/>
        </w:rPr>
        <w:t>19</w:t>
      </w:r>
      <w:r>
        <w:rPr>
          <w:snapToGrid w:val="0"/>
        </w:rPr>
        <w:t>.</w:t>
      </w:r>
      <w:r>
        <w:rPr>
          <w:snapToGrid w:val="0"/>
        </w:rPr>
        <w:tab/>
        <w:t>Minister to have access to information</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a member of staff of the Council to obtain the information and furnish it to the Minister.</w:t>
      </w:r>
    </w:p>
    <w:p>
      <w:pPr>
        <w:pStyle w:val="Subsection"/>
        <w:rPr>
          <w:snapToGrid w:val="0"/>
        </w:rPr>
      </w:pPr>
      <w:r>
        <w:rPr>
          <w:snapToGrid w:val="0"/>
        </w:rPr>
        <w:tab/>
        <w:t>(3)</w:t>
      </w:r>
      <w:r>
        <w:rPr>
          <w:snapToGrid w:val="0"/>
        </w:rPr>
        <w:tab/>
        <w:t>The Council is to comply with a request under subsection (2) and make its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Council, but does not include the information to which section 19L or 19M applies.</w:t>
      </w:r>
    </w:p>
    <w:p>
      <w:pPr>
        <w:pStyle w:val="Footnotesection"/>
      </w:pPr>
      <w:r>
        <w:tab/>
        <w:t>[Section 19 amended by No. 22 of 2005 s. 46.]</w:t>
      </w:r>
    </w:p>
    <w:p>
      <w:pPr>
        <w:pStyle w:val="Heading2"/>
      </w:pPr>
      <w:bookmarkStart w:id="125" w:name="_Toc123645493"/>
      <w:bookmarkStart w:id="126" w:name="_Toc123645594"/>
      <w:bookmarkStart w:id="127" w:name="_Toc124139463"/>
      <w:bookmarkStart w:id="128" w:name="_Toc157845842"/>
      <w:bookmarkStart w:id="129" w:name="_Toc161720549"/>
      <w:bookmarkStart w:id="130" w:name="_Toc161723001"/>
      <w:bookmarkStart w:id="131" w:name="_Toc163956969"/>
      <w:bookmarkStart w:id="132" w:name="_Toc163964959"/>
      <w:bookmarkStart w:id="133" w:name="_Toc165698401"/>
      <w:bookmarkStart w:id="134" w:name="_Toc232394777"/>
      <w:bookmarkStart w:id="135" w:name="_Toc268269109"/>
      <w:bookmarkStart w:id="136" w:name="_Toc272057680"/>
      <w:bookmarkStart w:id="137" w:name="_Toc274207125"/>
      <w:bookmarkStart w:id="138" w:name="_Toc72573534"/>
      <w:bookmarkStart w:id="139" w:name="_Toc120341393"/>
      <w:bookmarkStart w:id="140" w:name="_Toc120355766"/>
      <w:r>
        <w:rPr>
          <w:rStyle w:val="CharPartNo"/>
        </w:rPr>
        <w:t>Part 3A</w:t>
      </w:r>
      <w:r>
        <w:rPr>
          <w:b w:val="0"/>
        </w:rPr>
        <w:t> </w:t>
      </w:r>
      <w:r>
        <w:t>—</w:t>
      </w:r>
      <w:r>
        <w:rPr>
          <w:b w:val="0"/>
        </w:rPr>
        <w:t> </w:t>
      </w:r>
      <w:r>
        <w:rPr>
          <w:rStyle w:val="CharPartText"/>
        </w:rPr>
        <w:t>Student records</w:t>
      </w:r>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Footnoteheading"/>
      </w:pPr>
      <w:r>
        <w:tab/>
        <w:t>[Heading inserted by No. 22 of 2005 s. 47.]</w:t>
      </w:r>
    </w:p>
    <w:p>
      <w:pPr>
        <w:pStyle w:val="Heading5"/>
      </w:pPr>
      <w:bookmarkStart w:id="141" w:name="_Toc123645494"/>
      <w:bookmarkStart w:id="142" w:name="_Toc274207126"/>
      <w:r>
        <w:rPr>
          <w:rStyle w:val="CharSectno"/>
        </w:rPr>
        <w:t>19A</w:t>
      </w:r>
      <w:r>
        <w:t>.</w:t>
      </w:r>
      <w:r>
        <w:tab/>
        <w:t>Terms used in this Part</w:t>
      </w:r>
      <w:bookmarkEnd w:id="141"/>
      <w:bookmarkEnd w:id="142"/>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School Education Act</w:t>
      </w:r>
      <w:r>
        <w:t xml:space="preserve"> means the </w:t>
      </w:r>
      <w:r>
        <w:rPr>
          <w:bCs/>
          <w:i/>
          <w:iCs/>
        </w:rPr>
        <w:t>School Education Act 1999</w:t>
      </w:r>
      <w:r>
        <w:rPr>
          <w:bCs/>
        </w:rPr>
        <w:t>;</w:t>
      </w:r>
    </w:p>
    <w:p>
      <w:pPr>
        <w:pStyle w:val="Defstart"/>
      </w:pPr>
      <w:r>
        <w:rPr>
          <w:b/>
        </w:rPr>
        <w:tab/>
      </w:r>
      <w:r>
        <w:rPr>
          <w:rStyle w:val="CharDefText"/>
        </w:rPr>
        <w:t>student</w:t>
      </w:r>
      <w:r>
        <w:t xml:space="preserve"> includes — </w:t>
      </w:r>
    </w:p>
    <w:p>
      <w:pPr>
        <w:pStyle w:val="Defpara"/>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pPr>
      <w:r>
        <w:tab/>
        <w:t>(b)</w:t>
      </w:r>
      <w:r>
        <w:tab/>
        <w:t>an exempt child;</w:t>
      </w:r>
    </w:p>
    <w:p>
      <w:pPr>
        <w:pStyle w:val="Defstart"/>
      </w:pPr>
      <w:r>
        <w:tab/>
      </w:r>
      <w:r>
        <w:rPr>
          <w:rStyle w:val="CharDefText"/>
        </w:rPr>
        <w:t>student record</w:t>
      </w:r>
      <w:r>
        <w:t xml:space="preserve">, in relation to a student, means a record of — </w:t>
      </w:r>
    </w:p>
    <w:p>
      <w:pPr>
        <w:pStyle w:val="Defpara"/>
      </w:pPr>
      <w:r>
        <w:tab/>
        <w:t>(a)</w:t>
      </w:r>
      <w:r>
        <w:tab/>
        <w:t xml:space="preserve">any educational programme in which the student is or has been enrolled, or that is being or has been provided to the student by a home educator; </w:t>
      </w:r>
    </w:p>
    <w:p>
      <w:pPr>
        <w:pStyle w:val="Defpara"/>
      </w:pPr>
      <w:r>
        <w:tab/>
        <w:t>(b)</w:t>
      </w:r>
      <w:r>
        <w:tab/>
        <w:t xml:space="preserve">any option under section 11B of the School Education Act notified under this Part to the Council by a provider in respect of the student;  </w:t>
      </w:r>
    </w:p>
    <w:p>
      <w:pPr>
        <w:pStyle w:val="Defpara"/>
      </w:pPr>
      <w:r>
        <w:tab/>
        <w:t>(c)</w:t>
      </w:r>
      <w:r>
        <w:tab/>
        <w:t xml:space="preserve">any achievement or other result on the part of the student in relation to — </w:t>
      </w:r>
    </w:p>
    <w:p>
      <w:pPr>
        <w:pStyle w:val="Defsubpara"/>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Council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MiscellaneousHeading"/>
        <w:spacing w:before="120" w:after="120"/>
      </w:pPr>
      <w:r>
        <w:rPr>
          <w:b/>
        </w:rP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
              <w:spacing w:before="0"/>
            </w:pPr>
            <w:r>
              <w:t>1.</w:t>
            </w:r>
          </w:p>
        </w:tc>
        <w:tc>
          <w:tcPr>
            <w:tcW w:w="2772" w:type="dxa"/>
          </w:tcPr>
          <w:p>
            <w:pPr>
              <w:pStyle w:val="Table"/>
              <w:spacing w:before="0"/>
            </w:pPr>
            <w:r>
              <w:t>A student enrolled in an educational programme at a school.</w:t>
            </w:r>
          </w:p>
        </w:tc>
        <w:tc>
          <w:tcPr>
            <w:tcW w:w="2438" w:type="dxa"/>
          </w:tcPr>
          <w:p>
            <w:pPr>
              <w:pStyle w:val="Table"/>
              <w:spacing w:before="0"/>
            </w:pPr>
            <w:r>
              <w:t>The principal of the school.</w:t>
            </w:r>
          </w:p>
        </w:tc>
      </w:tr>
      <w:tr>
        <w:trPr>
          <w:cantSplit/>
        </w:trPr>
        <w:tc>
          <w:tcPr>
            <w:tcW w:w="709" w:type="dxa"/>
          </w:tcPr>
          <w:p>
            <w:pPr>
              <w:pStyle w:val="Table"/>
              <w:spacing w:before="0"/>
            </w:pPr>
            <w:r>
              <w:t>2.</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709" w:type="dxa"/>
          </w:tcPr>
          <w:p>
            <w:pPr>
              <w:pStyle w:val="Table"/>
              <w:spacing w:before="0"/>
            </w:pPr>
            <w:r>
              <w:t>3.</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709" w:type="dxa"/>
          </w:tcPr>
          <w:p>
            <w:pPr>
              <w:pStyle w:val="Table"/>
              <w:spacing w:before="0"/>
            </w:pPr>
            <w:r>
              <w:t>4.</w:t>
            </w:r>
          </w:p>
        </w:tc>
        <w:tc>
          <w:tcPr>
            <w:tcW w:w="2772" w:type="dxa"/>
          </w:tcPr>
          <w:p>
            <w:pPr>
              <w:pStyle w:val="Table"/>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
              <w:spacing w:before="0"/>
            </w:pPr>
            <w:r>
              <w:t>5.</w:t>
            </w:r>
          </w:p>
        </w:tc>
        <w:tc>
          <w:tcPr>
            <w:tcW w:w="2772" w:type="dxa"/>
          </w:tcPr>
          <w:p>
            <w:pPr>
              <w:pStyle w:val="Table"/>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
              <w:spacing w:before="0"/>
            </w:pPr>
            <w:r>
              <w:t>The employer.</w:t>
            </w:r>
          </w:p>
        </w:tc>
      </w:tr>
      <w:tr>
        <w:trPr>
          <w:cantSplit/>
        </w:trPr>
        <w:tc>
          <w:tcPr>
            <w:tcW w:w="709" w:type="dxa"/>
          </w:tcPr>
          <w:p>
            <w:pPr>
              <w:pStyle w:val="Table"/>
              <w:spacing w:before="0"/>
            </w:pPr>
            <w:r>
              <w:t>6.</w:t>
            </w:r>
          </w:p>
        </w:tc>
        <w:tc>
          <w:tcPr>
            <w:tcW w:w="2772" w:type="dxa"/>
          </w:tcPr>
          <w:p>
            <w:pPr>
              <w:pStyle w:val="Table"/>
              <w:spacing w:before="0"/>
            </w:pPr>
            <w:r>
              <w:t>A student undertaking a course, programme or activity prescribed by order made under section 11B(2) of the School Education Act.</w:t>
            </w:r>
          </w:p>
        </w:tc>
        <w:tc>
          <w:tcPr>
            <w:tcW w:w="2438" w:type="dxa"/>
          </w:tcPr>
          <w:p>
            <w:pPr>
              <w:pStyle w:val="Table"/>
              <w:spacing w:before="0"/>
            </w:pPr>
            <w:r>
              <w:t>The provider specified in the order in respect of the course, programme or activity.</w:t>
            </w:r>
          </w:p>
        </w:tc>
      </w:tr>
    </w:tbl>
    <w:p>
      <w:pPr>
        <w:pStyle w:val="Footnotesection"/>
      </w:pPr>
      <w:r>
        <w:tab/>
        <w:t>[Section 19A inserted by No. 22 of 2005 s. 47; amended by No. 44 of 2008 s. 52(2).]</w:t>
      </w:r>
    </w:p>
    <w:p>
      <w:pPr>
        <w:pStyle w:val="Heading5"/>
      </w:pPr>
      <w:bookmarkStart w:id="143" w:name="_Toc123645495"/>
      <w:bookmarkStart w:id="144" w:name="_Toc274207127"/>
      <w:r>
        <w:rPr>
          <w:rStyle w:val="CharSectno"/>
        </w:rPr>
        <w:t>19B</w:t>
      </w:r>
      <w:r>
        <w:t>.</w:t>
      </w:r>
      <w:r>
        <w:tab/>
        <w:t>Application of this Part to overseas students</w:t>
      </w:r>
      <w:bookmarkEnd w:id="143"/>
      <w:bookmarkEnd w:id="144"/>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145" w:name="_Toc123645496"/>
      <w:bookmarkStart w:id="146" w:name="_Toc274207128"/>
      <w:r>
        <w:rPr>
          <w:rStyle w:val="CharSectno"/>
        </w:rPr>
        <w:t>19C</w:t>
      </w:r>
      <w:r>
        <w:t>.</w:t>
      </w:r>
      <w:r>
        <w:tab/>
        <w:t>When student record to be opened</w:t>
      </w:r>
      <w:bookmarkEnd w:id="145"/>
      <w:bookmarkEnd w:id="146"/>
    </w:p>
    <w:p>
      <w:pPr>
        <w:pStyle w:val="Subsection"/>
      </w:pPr>
      <w:r>
        <w:tab/>
      </w:r>
      <w:r>
        <w:tab/>
        <w:t>A student record must be opened for every student who is in the 8</w:t>
      </w:r>
      <w:r>
        <w:rPr>
          <w:vertAlign w:val="superscript"/>
        </w:rPr>
        <w:t>th</w:t>
      </w:r>
      <w:r>
        <w:t xml:space="preserve"> year of the compulsory education period — </w:t>
      </w:r>
    </w:p>
    <w:p>
      <w:pPr>
        <w:pStyle w:val="Indenta"/>
      </w:pPr>
      <w:r>
        <w:tab/>
        <w:t>(a)</w:t>
      </w:r>
      <w:r>
        <w:tab/>
        <w:t>by the principal of the school at which the student is enrolled at the beginning of the school year;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Footnotesection"/>
      </w:pPr>
      <w:r>
        <w:tab/>
        <w:t>[Section 19C inserted by No. 22 of 2005 s. 47.]</w:t>
      </w:r>
    </w:p>
    <w:p>
      <w:pPr>
        <w:pStyle w:val="Heading5"/>
      </w:pPr>
      <w:bookmarkStart w:id="147" w:name="_Toc123645497"/>
      <w:bookmarkStart w:id="148" w:name="_Toc274207129"/>
      <w:r>
        <w:rPr>
          <w:rStyle w:val="CharSectno"/>
        </w:rPr>
        <w:t>19D</w:t>
      </w:r>
      <w:r>
        <w:t>.</w:t>
      </w:r>
      <w:r>
        <w:tab/>
        <w:t>Provider may be directed to open student record</w:t>
      </w:r>
      <w:bookmarkEnd w:id="147"/>
      <w:bookmarkEnd w:id="148"/>
    </w:p>
    <w:p>
      <w:pPr>
        <w:pStyle w:val="Subsection"/>
        <w:spacing w:before="120"/>
      </w:pPr>
      <w:r>
        <w:tab/>
      </w:r>
      <w:r>
        <w:tab/>
        <w:t>If the Council receives information from a provider about a student for whom a student record has not been opened under section 19C, the Council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w:t>
      </w:r>
    </w:p>
    <w:p>
      <w:pPr>
        <w:pStyle w:val="Heading5"/>
        <w:spacing w:before="180"/>
      </w:pPr>
      <w:bookmarkStart w:id="149" w:name="_Toc123645498"/>
      <w:bookmarkStart w:id="150" w:name="_Toc274207130"/>
      <w:r>
        <w:rPr>
          <w:rStyle w:val="CharSectno"/>
        </w:rPr>
        <w:t>19E</w:t>
      </w:r>
      <w:r>
        <w:t>.</w:t>
      </w:r>
      <w:r>
        <w:tab/>
        <w:t>How student record is opened</w:t>
      </w:r>
      <w:bookmarkEnd w:id="149"/>
      <w:bookmarkEnd w:id="150"/>
    </w:p>
    <w:p>
      <w:pPr>
        <w:pStyle w:val="Subsection"/>
        <w:spacing w:before="120"/>
      </w:pPr>
      <w:r>
        <w:tab/>
      </w:r>
      <w:r>
        <w:tab/>
        <w:t xml:space="preserve">A student record is opened by the giving of the following information to the Council, in accordance with section 19H, in respect of a student — </w:t>
      </w:r>
    </w:p>
    <w:p>
      <w:pPr>
        <w:pStyle w:val="Indenta"/>
      </w:pPr>
      <w:r>
        <w:tab/>
        <w:t>(a)</w:t>
      </w:r>
      <w:r>
        <w:tab/>
        <w:t xml:space="preserve">the student’s — </w:t>
      </w:r>
    </w:p>
    <w:p>
      <w:pPr>
        <w:pStyle w:val="Indenti"/>
      </w:pPr>
      <w:r>
        <w:tab/>
        <w:t>(i)</w:t>
      </w:r>
      <w:r>
        <w:tab/>
        <w:t>name, including any previous name;</w:t>
      </w:r>
    </w:p>
    <w:p>
      <w:pPr>
        <w:pStyle w:val="Indenti"/>
      </w:pPr>
      <w:r>
        <w:tab/>
        <w:t>(ii)</w:t>
      </w:r>
      <w:r>
        <w:tab/>
        <w:t>address; and</w:t>
      </w:r>
    </w:p>
    <w:p>
      <w:pPr>
        <w:pStyle w:val="Indenti"/>
      </w:pPr>
      <w:r>
        <w:tab/>
        <w:t>(iii)</w:t>
      </w:r>
      <w:r>
        <w:tab/>
        <w:t>date of birth;</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w:t>
      </w:r>
    </w:p>
    <w:p>
      <w:pPr>
        <w:pStyle w:val="Heading5"/>
        <w:spacing w:before="180"/>
      </w:pPr>
      <w:bookmarkStart w:id="151" w:name="_Toc123645499"/>
      <w:bookmarkStart w:id="152" w:name="_Toc274207131"/>
      <w:r>
        <w:rPr>
          <w:rStyle w:val="CharSectno"/>
        </w:rPr>
        <w:t>19F</w:t>
      </w:r>
      <w:r>
        <w:t>.</w:t>
      </w:r>
      <w:r>
        <w:tab/>
        <w:t>Notifications relating to enrolment and employment</w:t>
      </w:r>
      <w:bookmarkEnd w:id="151"/>
      <w:bookmarkEnd w:id="152"/>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Council, in accordance with section 19H, of the enrolment or employment.</w:t>
      </w:r>
    </w:p>
    <w:p>
      <w:pPr>
        <w:pStyle w:val="Subsection"/>
      </w:pPr>
      <w:r>
        <w:tab/>
        <w:t>(3)</w:t>
      </w:r>
      <w:r>
        <w:tab/>
        <w:t>Where a student is enrolled with or becomes employed by a provider otherwise than as mentioned in subsection (2), the provider is to inform the Council,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Council in accordance with section 19H.</w:t>
      </w:r>
    </w:p>
    <w:p>
      <w:pPr>
        <w:pStyle w:val="Subsection"/>
      </w:pPr>
      <w:r>
        <w:tab/>
        <w:t>(5)</w:t>
      </w:r>
      <w:r>
        <w:tab/>
        <w:t>Where a student ceases to be enrolled with, or employed by, a provider, the provider is to inform the Council, in accordance with section 19H, of the cessation and when it occurred.</w:t>
      </w:r>
    </w:p>
    <w:p>
      <w:pPr>
        <w:pStyle w:val="Penstart"/>
      </w:pPr>
      <w:r>
        <w:tab/>
        <w:t>Penalty applicable to subsections (2), (3), (4) and (5): $1 500.</w:t>
      </w:r>
    </w:p>
    <w:p>
      <w:pPr>
        <w:pStyle w:val="Footnotesection"/>
      </w:pPr>
      <w:r>
        <w:tab/>
        <w:t>[Section 19F inserted by No. 22 of 2005 s. 47; amended by No. 44 of 2008 s. 52(3).]</w:t>
      </w:r>
    </w:p>
    <w:p>
      <w:pPr>
        <w:pStyle w:val="Heading5"/>
      </w:pPr>
      <w:bookmarkStart w:id="153" w:name="_Toc123645500"/>
      <w:bookmarkStart w:id="154" w:name="_Toc274207132"/>
      <w:r>
        <w:rPr>
          <w:rStyle w:val="CharSectno"/>
        </w:rPr>
        <w:t>19G</w:t>
      </w:r>
      <w:r>
        <w:t>.</w:t>
      </w:r>
      <w:r>
        <w:tab/>
        <w:t>Notification of achievements</w:t>
      </w:r>
      <w:bookmarkEnd w:id="153"/>
      <w:bookmarkEnd w:id="154"/>
    </w:p>
    <w:p>
      <w:pPr>
        <w:pStyle w:val="Subsection"/>
      </w:pPr>
      <w:r>
        <w:tab/>
      </w:r>
      <w:r>
        <w:tab/>
        <w:t>A provider must, in accordance with section 19H, give to the Council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w:t>
      </w:r>
    </w:p>
    <w:p>
      <w:pPr>
        <w:pStyle w:val="Heading5"/>
      </w:pPr>
      <w:bookmarkStart w:id="155" w:name="_Toc123645501"/>
      <w:bookmarkStart w:id="156" w:name="_Toc274207133"/>
      <w:r>
        <w:rPr>
          <w:rStyle w:val="CharSectno"/>
        </w:rPr>
        <w:t>19H</w:t>
      </w:r>
      <w:r>
        <w:t>.</w:t>
      </w:r>
      <w:r>
        <w:tab/>
        <w:t>Further provisions relating to information</w:t>
      </w:r>
      <w:bookmarkEnd w:id="155"/>
      <w:bookmarkEnd w:id="156"/>
    </w:p>
    <w:p>
      <w:pPr>
        <w:pStyle w:val="Subsection"/>
      </w:pPr>
      <w:r>
        <w:tab/>
        <w:t>(1)</w:t>
      </w:r>
      <w:r>
        <w:tab/>
        <w:t xml:space="preserve">Information is to be given to the Council under this Part — </w:t>
      </w:r>
    </w:p>
    <w:p>
      <w:pPr>
        <w:pStyle w:val="Indenta"/>
      </w:pPr>
      <w:r>
        <w:tab/>
        <w:t>(a)</w:t>
      </w:r>
      <w:r>
        <w:tab/>
        <w:t>in a form of notice; or</w:t>
      </w:r>
    </w:p>
    <w:p>
      <w:pPr>
        <w:pStyle w:val="Indenta"/>
      </w:pPr>
      <w:r>
        <w:tab/>
        <w:t>(b)</w:t>
      </w:r>
      <w:r>
        <w:tab/>
        <w:t>by an electronic means of communication,</w:t>
      </w:r>
    </w:p>
    <w:p>
      <w:pPr>
        <w:pStyle w:val="Subsection"/>
      </w:pPr>
      <w:r>
        <w:tab/>
      </w:r>
      <w:r>
        <w:tab/>
        <w:t>as approved by the Council for the purposes of the provision under which the information is given.</w:t>
      </w:r>
    </w:p>
    <w:p>
      <w:pPr>
        <w:pStyle w:val="Subsection"/>
      </w:pPr>
      <w:r>
        <w:tab/>
        <w:t>(2)</w:t>
      </w:r>
      <w:r>
        <w:tab/>
        <w:t>Such information is also to be given in accordance with any provision made by the regulations, including provision as to the time or times at which the information is to be given.</w:t>
      </w:r>
    </w:p>
    <w:p>
      <w:pPr>
        <w:pStyle w:val="Subsection"/>
      </w:pPr>
      <w:r>
        <w:tab/>
        <w:t>(3)</w:t>
      </w:r>
      <w:r>
        <w:tab/>
        <w:t>Without limiting its powers under section 19I(3) or 19K, the Council is not required to satisfy itself as to the validity or correctness of information given to it under this Part.</w:t>
      </w:r>
    </w:p>
    <w:p>
      <w:pPr>
        <w:pStyle w:val="Footnotesection"/>
      </w:pPr>
      <w:r>
        <w:tab/>
        <w:t>[Section 19H inserted by No. 22 of 2005 s. 47.]</w:t>
      </w:r>
    </w:p>
    <w:p>
      <w:pPr>
        <w:pStyle w:val="Heading5"/>
      </w:pPr>
      <w:bookmarkStart w:id="157" w:name="_Toc123645502"/>
      <w:bookmarkStart w:id="158" w:name="_Toc274207134"/>
      <w:r>
        <w:rPr>
          <w:rStyle w:val="CharSectno"/>
        </w:rPr>
        <w:t>19I</w:t>
      </w:r>
      <w:r>
        <w:t>.</w:t>
      </w:r>
      <w:r>
        <w:tab/>
        <w:t>Database of student records and use of information by Council</w:t>
      </w:r>
      <w:bookmarkEnd w:id="157"/>
      <w:bookmarkEnd w:id="158"/>
    </w:p>
    <w:p>
      <w:pPr>
        <w:pStyle w:val="Subsection"/>
      </w:pPr>
      <w:r>
        <w:tab/>
        <w:t>(1)</w:t>
      </w:r>
      <w:r>
        <w:tab/>
        <w:t xml:space="preserve">It is a function of the Council to maintain a database containing — </w:t>
      </w:r>
    </w:p>
    <w:p>
      <w:pPr>
        <w:pStyle w:val="Indenta"/>
      </w:pPr>
      <w:r>
        <w:tab/>
        <w:t>(a)</w:t>
      </w:r>
      <w:r>
        <w:tab/>
        <w:t xml:space="preserve">information in its possession relating to student records at the commencement of section 47 of the </w:t>
      </w:r>
      <w:r>
        <w:rPr>
          <w:i/>
          <w:iCs/>
        </w:rPr>
        <w:t>Acts Amendment (Higher School Leaving Age and Related Provisions) Act 2005</w:t>
      </w:r>
      <w:r>
        <w:t>;</w:t>
      </w:r>
    </w:p>
    <w:p>
      <w:pPr>
        <w:pStyle w:val="Indenta"/>
      </w:pPr>
      <w:r>
        <w:tab/>
        <w:t>(b)</w:t>
      </w:r>
      <w:r>
        <w:tab/>
        <w:t xml:space="preserve">the information relating to student records given to it under this Part; and </w:t>
      </w:r>
    </w:p>
    <w:p>
      <w:pPr>
        <w:pStyle w:val="Indenta"/>
      </w:pPr>
      <w:r>
        <w:tab/>
        <w:t>(c)</w:t>
      </w:r>
      <w:r>
        <w:tab/>
        <w:t>other information relating to student records received by the Council.</w:t>
      </w:r>
    </w:p>
    <w:p>
      <w:pPr>
        <w:pStyle w:val="Subsection"/>
      </w:pPr>
      <w:r>
        <w:tab/>
        <w:t>(2)</w:t>
      </w:r>
      <w:r>
        <w:tab/>
        <w:t>The database is to be maintained in such manner and form as the Council thinks fit.</w:t>
      </w:r>
    </w:p>
    <w:p>
      <w:pPr>
        <w:pStyle w:val="Subsection"/>
      </w:pPr>
      <w:r>
        <w:tab/>
        <w:t>(3)</w:t>
      </w:r>
      <w:r>
        <w:tab/>
        <w:t>The Council may at any time change information in the database to correct any error or omission.</w:t>
      </w:r>
    </w:p>
    <w:p>
      <w:pPr>
        <w:pStyle w:val="Subsection"/>
      </w:pPr>
      <w:r>
        <w:tab/>
        <w:t>(4)</w:t>
      </w:r>
      <w:r>
        <w:tab/>
        <w:t>The Council may use the database for the purpose of keeping the records of assessment and the register of courses referred to in section 14(1)(a).</w:t>
      </w:r>
    </w:p>
    <w:p>
      <w:pPr>
        <w:pStyle w:val="Subsection"/>
      </w:pPr>
      <w:r>
        <w:tab/>
        <w:t>(5)</w:t>
      </w:r>
      <w:r>
        <w:tab/>
        <w:t>The Council may use information in the database for the purpose of performing the functions mentioned in section 14(1)(c), (2) and (3).</w:t>
      </w:r>
    </w:p>
    <w:p>
      <w:pPr>
        <w:pStyle w:val="Footnotesection"/>
      </w:pPr>
      <w:r>
        <w:tab/>
        <w:t>[Section 19I inserted by No. 22 of 2005 s. 47.]</w:t>
      </w:r>
    </w:p>
    <w:p>
      <w:pPr>
        <w:pStyle w:val="Heading5"/>
      </w:pPr>
      <w:bookmarkStart w:id="159" w:name="_Toc123645503"/>
      <w:bookmarkStart w:id="160" w:name="_Toc274207135"/>
      <w:r>
        <w:rPr>
          <w:rStyle w:val="CharSectno"/>
        </w:rPr>
        <w:t>19J</w:t>
      </w:r>
      <w:r>
        <w:t>.</w:t>
      </w:r>
      <w:r>
        <w:tab/>
        <w:t>Provision of information to student concerned</w:t>
      </w:r>
      <w:bookmarkEnd w:id="159"/>
      <w:bookmarkEnd w:id="160"/>
    </w:p>
    <w:p>
      <w:pPr>
        <w:pStyle w:val="Subsection"/>
      </w:pPr>
      <w:r>
        <w:tab/>
        <w:t>(1)</w:t>
      </w:r>
      <w:r>
        <w:tab/>
        <w:t>The Council is to provide to a person who makes a request under subsection (2) and pays the prescribed fee, if any, a copy of the student record kept by the Council in respect of a student.</w:t>
      </w:r>
    </w:p>
    <w:p>
      <w:pPr>
        <w:pStyle w:val="Subsection"/>
      </w:pPr>
      <w:r>
        <w:tab/>
        <w:t>(2)</w:t>
      </w:r>
      <w:r>
        <w:tab/>
        <w:t>A request may be made for a copy of a student record only by the student concerned or a person who is authorised in writing by the student to obtain such a copy.</w:t>
      </w:r>
    </w:p>
    <w:p>
      <w:pPr>
        <w:pStyle w:val="Footnotesection"/>
      </w:pPr>
      <w:r>
        <w:tab/>
        <w:t>[Section 19J inserted by No. 22 of 2005 s. 47.]</w:t>
      </w:r>
    </w:p>
    <w:p>
      <w:pPr>
        <w:pStyle w:val="Heading5"/>
      </w:pPr>
      <w:bookmarkStart w:id="161" w:name="_Toc123645504"/>
      <w:bookmarkStart w:id="162" w:name="_Toc274207136"/>
      <w:r>
        <w:rPr>
          <w:rStyle w:val="CharSectno"/>
        </w:rPr>
        <w:t>19K</w:t>
      </w:r>
      <w:r>
        <w:t>.</w:t>
      </w:r>
      <w:r>
        <w:tab/>
        <w:t>Disclosure by Council for checking purposes</w:t>
      </w:r>
      <w:bookmarkEnd w:id="161"/>
      <w:bookmarkEnd w:id="162"/>
    </w:p>
    <w:p>
      <w:pPr>
        <w:pStyle w:val="Subsection"/>
      </w:pPr>
      <w:r>
        <w:tab/>
      </w:r>
      <w:r>
        <w:tab/>
        <w:t>The Council may disclose to a provider information given to it under this Part in respect of a student for the purpose of ensuring that the information is accurate.</w:t>
      </w:r>
    </w:p>
    <w:p>
      <w:pPr>
        <w:pStyle w:val="Footnotesection"/>
      </w:pPr>
      <w:r>
        <w:tab/>
        <w:t>[Section 19K inserted by No. 22 of 2005 s. 47.]</w:t>
      </w:r>
    </w:p>
    <w:p>
      <w:pPr>
        <w:pStyle w:val="Heading5"/>
      </w:pPr>
      <w:bookmarkStart w:id="163" w:name="_Toc123645505"/>
      <w:bookmarkStart w:id="164" w:name="_Toc274207137"/>
      <w:r>
        <w:rPr>
          <w:rStyle w:val="CharSectno"/>
        </w:rPr>
        <w:t>19L</w:t>
      </w:r>
      <w:r>
        <w:t>.</w:t>
      </w:r>
      <w:r>
        <w:tab/>
        <w:t>Provision of information to Minister for planning purposes</w:t>
      </w:r>
      <w:bookmarkEnd w:id="163"/>
      <w:bookmarkEnd w:id="164"/>
    </w:p>
    <w:p>
      <w:pPr>
        <w:pStyle w:val="Subsection"/>
      </w:pPr>
      <w:r>
        <w:tab/>
      </w:r>
      <w:r>
        <w:tab/>
        <w:t>The Minister may in writing request the Council to provide the Minister with information, in aggregated form, that comprises, includes or is derived from information given under this Part, and the Council is to comply with any such request.</w:t>
      </w:r>
    </w:p>
    <w:p>
      <w:pPr>
        <w:pStyle w:val="Footnotesection"/>
      </w:pPr>
      <w:r>
        <w:tab/>
        <w:t>[Section 19L inserted by No. 22 of 2005 s. 47.]</w:t>
      </w:r>
    </w:p>
    <w:p>
      <w:pPr>
        <w:pStyle w:val="Heading5"/>
      </w:pPr>
      <w:bookmarkStart w:id="165" w:name="_Toc123645506"/>
      <w:bookmarkStart w:id="166" w:name="_Toc274207138"/>
      <w:r>
        <w:rPr>
          <w:rStyle w:val="CharSectno"/>
        </w:rPr>
        <w:t>19M</w:t>
      </w:r>
      <w:r>
        <w:t>.</w:t>
      </w:r>
      <w:r>
        <w:tab/>
        <w:t>Provision of information to Minister for monitoring and assisting compliance and participation</w:t>
      </w:r>
      <w:bookmarkEnd w:id="165"/>
      <w:bookmarkEnd w:id="166"/>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Council to provide the Minister with the allowed information in respect of children to whom this section applies.</w:t>
      </w:r>
    </w:p>
    <w:p>
      <w:pPr>
        <w:pStyle w:val="Subsection"/>
      </w:pPr>
      <w:r>
        <w:tab/>
        <w:t>(3)</w:t>
      </w:r>
      <w:r>
        <w:tab/>
        <w:t>The Council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pPr>
      <w:r>
        <w:tab/>
        <w:t>(a)</w:t>
      </w:r>
      <w:r>
        <w:tab/>
        <w:t>is required by section 9 of the School Education Act to be enrolled in an educational programme or receiving home education, but is not so enrolled or receiving such education; or</w:t>
      </w:r>
    </w:p>
    <w:p>
      <w:pPr>
        <w:pStyle w:val="Indenta"/>
      </w:pPr>
      <w:r>
        <w:tab/>
        <w:t>(b)</w:t>
      </w:r>
      <w:r>
        <w:tab/>
        <w:t>is required by section 11I of that Act to be participating in an option or a combination of options under section 11B of that Act, but is not so participating.</w:t>
      </w:r>
    </w:p>
    <w:p>
      <w:pPr>
        <w:pStyle w:val="Subsection"/>
      </w:pPr>
      <w:r>
        <w:tab/>
        <w:t>(5)</w:t>
      </w:r>
      <w:r>
        <w:tab/>
        <w:t xml:space="preserve">A request may only be made by the Minister under subsection (2) — </w:t>
      </w:r>
    </w:p>
    <w:p>
      <w:pPr>
        <w:pStyle w:val="Indenta"/>
      </w:pPr>
      <w:r>
        <w:tab/>
        <w:t>(a)</w:t>
      </w:r>
      <w:r>
        <w:tab/>
        <w:t>in respect of children referred to in subsection (4)(a), for the purpose of monitoring or investigating compliance with section 9 of the School Education Act or assisting or securing such compliance; or</w:t>
      </w:r>
    </w:p>
    <w:p>
      <w:pPr>
        <w:pStyle w:val="Indenta"/>
      </w:pPr>
      <w:r>
        <w:tab/>
        <w:t>(b)</w:t>
      </w:r>
      <w:r>
        <w:tab/>
        <w:t xml:space="preserve">in respect of children referred to in subsection (4)(b), for the purpose of — </w:t>
      </w:r>
    </w:p>
    <w:p>
      <w:pPr>
        <w:pStyle w:val="Indenti"/>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w:t>
      </w:r>
    </w:p>
    <w:p>
      <w:pPr>
        <w:pStyle w:val="Indenti"/>
      </w:pPr>
      <w:r>
        <w:tab/>
        <w:t>(ii)</w:t>
      </w:r>
      <w:r>
        <w:tab/>
        <w:t>giving such children information about school education and the options that are available under that Act; and</w:t>
      </w:r>
    </w:p>
    <w:p>
      <w:pPr>
        <w:pStyle w:val="Indenti"/>
      </w:pPr>
      <w:r>
        <w:tab/>
        <w:t>(iii)</w:t>
      </w:r>
      <w:r>
        <w:tab/>
        <w:t>encouraging and helping parents in relation to the matters referred to in subparagraphs (i) and (ii).</w:t>
      </w:r>
    </w:p>
    <w:p>
      <w:pPr>
        <w:pStyle w:val="Footnotesection"/>
      </w:pPr>
      <w:r>
        <w:tab/>
        <w:t>[Section 19M inserted by No. 22 of 2005 s. 47.]</w:t>
      </w:r>
    </w:p>
    <w:p>
      <w:pPr>
        <w:pStyle w:val="Heading5"/>
      </w:pPr>
      <w:bookmarkStart w:id="167" w:name="_Toc123645507"/>
      <w:bookmarkStart w:id="168" w:name="_Toc274207139"/>
      <w:r>
        <w:rPr>
          <w:rStyle w:val="CharSectno"/>
        </w:rPr>
        <w:t>19N</w:t>
      </w:r>
      <w:r>
        <w:t>.</w:t>
      </w:r>
      <w:r>
        <w:tab/>
        <w:t>Disclosure of information by Minister</w:t>
      </w:r>
      <w:bookmarkEnd w:id="167"/>
      <w:bookmarkEnd w:id="168"/>
    </w:p>
    <w:p>
      <w:pPr>
        <w:pStyle w:val="Subsection"/>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169" w:name="_Toc123645508"/>
      <w:bookmarkStart w:id="170" w:name="_Toc274207140"/>
      <w:r>
        <w:rPr>
          <w:rStyle w:val="CharSectno"/>
        </w:rPr>
        <w:t>19O</w:t>
      </w:r>
      <w:r>
        <w:t>.</w:t>
      </w:r>
      <w:r>
        <w:tab/>
        <w:t>Delegation and subdelegation</w:t>
      </w:r>
      <w:bookmarkEnd w:id="169"/>
      <w:bookmarkEnd w:id="170"/>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171" w:name="_Toc123645509"/>
      <w:bookmarkStart w:id="172" w:name="_Toc274207141"/>
      <w:r>
        <w:rPr>
          <w:rStyle w:val="CharSectno"/>
        </w:rPr>
        <w:t>19P</w:t>
      </w:r>
      <w:r>
        <w:t>.</w:t>
      </w:r>
      <w:r>
        <w:tab/>
        <w:t>Provision of information to certain entities</w:t>
      </w:r>
      <w:bookmarkEnd w:id="171"/>
      <w:bookmarkEnd w:id="172"/>
    </w:p>
    <w:p>
      <w:pPr>
        <w:pStyle w:val="Subsection"/>
      </w:pPr>
      <w:r>
        <w:tab/>
        <w:t>(1)</w:t>
      </w:r>
      <w:r>
        <w:tab/>
        <w:t xml:space="preserve">The Council is to provide each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w:t>
      </w:r>
    </w:p>
    <w:p>
      <w:pPr>
        <w:pStyle w:val="Heading2"/>
      </w:pPr>
      <w:bookmarkStart w:id="173" w:name="_Toc123645510"/>
      <w:bookmarkStart w:id="174" w:name="_Toc123645611"/>
      <w:bookmarkStart w:id="175" w:name="_Toc124139480"/>
      <w:bookmarkStart w:id="176" w:name="_Toc157845859"/>
      <w:bookmarkStart w:id="177" w:name="_Toc161720566"/>
      <w:bookmarkStart w:id="178" w:name="_Toc161723018"/>
      <w:bookmarkStart w:id="179" w:name="_Toc163956986"/>
      <w:bookmarkStart w:id="180" w:name="_Toc163964976"/>
      <w:bookmarkStart w:id="181" w:name="_Toc165698418"/>
      <w:bookmarkStart w:id="182" w:name="_Toc232394794"/>
      <w:bookmarkStart w:id="183" w:name="_Toc268269126"/>
      <w:bookmarkStart w:id="184" w:name="_Toc272057697"/>
      <w:bookmarkStart w:id="185" w:name="_Toc274207142"/>
      <w:r>
        <w:rPr>
          <w:rStyle w:val="CharPartNo"/>
        </w:rPr>
        <w:t>Part 4</w:t>
      </w:r>
      <w:r>
        <w:rPr>
          <w:rStyle w:val="CharDivNo"/>
        </w:rPr>
        <w:t> </w:t>
      </w:r>
      <w:r>
        <w:t>—</w:t>
      </w:r>
      <w:r>
        <w:rPr>
          <w:rStyle w:val="CharDivText"/>
        </w:rPr>
        <w:t> </w:t>
      </w:r>
      <w:r>
        <w:rPr>
          <w:rStyle w:val="CharPartText"/>
        </w:rPr>
        <w:t>Staff</w:t>
      </w:r>
      <w:bookmarkEnd w:id="138"/>
      <w:bookmarkEnd w:id="139"/>
      <w:bookmarkEnd w:id="140"/>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Heading5"/>
        <w:rPr>
          <w:snapToGrid w:val="0"/>
        </w:rPr>
      </w:pPr>
      <w:bookmarkStart w:id="186" w:name="_Toc520109151"/>
      <w:bookmarkStart w:id="187" w:name="_Toc17002436"/>
      <w:bookmarkStart w:id="188" w:name="_Toc123645511"/>
      <w:bookmarkStart w:id="189" w:name="_Toc274207143"/>
      <w:r>
        <w:rPr>
          <w:rStyle w:val="CharSectno"/>
        </w:rPr>
        <w:t>20</w:t>
      </w:r>
      <w:r>
        <w:rPr>
          <w:snapToGrid w:val="0"/>
        </w:rPr>
        <w:t>.</w:t>
      </w:r>
      <w:r>
        <w:rPr>
          <w:snapToGrid w:val="0"/>
        </w:rPr>
        <w:tab/>
        <w:t>Chief executive officer</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A chief executive officer of the Council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Council, the chief executive officer is responsible for, and has the necessary powers to administer, the day to day operations of the Council.</w:t>
      </w:r>
    </w:p>
    <w:p>
      <w:pPr>
        <w:pStyle w:val="Heading5"/>
        <w:rPr>
          <w:snapToGrid w:val="0"/>
        </w:rPr>
      </w:pPr>
      <w:bookmarkStart w:id="190" w:name="_Toc520109152"/>
      <w:bookmarkStart w:id="191" w:name="_Toc17002437"/>
      <w:bookmarkStart w:id="192" w:name="_Toc123645512"/>
      <w:bookmarkStart w:id="193" w:name="_Toc274207144"/>
      <w:r>
        <w:rPr>
          <w:rStyle w:val="CharSectno"/>
        </w:rPr>
        <w:t>21</w:t>
      </w:r>
      <w:r>
        <w:rPr>
          <w:snapToGrid w:val="0"/>
        </w:rPr>
        <w:t>.</w:t>
      </w:r>
      <w:r>
        <w:rPr>
          <w:snapToGrid w:val="0"/>
        </w:rPr>
        <w:tab/>
        <w:t>Other staff</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Council to perform its functions.</w:t>
      </w:r>
    </w:p>
    <w:p>
      <w:pPr>
        <w:pStyle w:val="Subsection"/>
        <w:rPr>
          <w:snapToGrid w:val="0"/>
        </w:rPr>
      </w:pPr>
      <w:r>
        <w:rPr>
          <w:snapToGrid w:val="0"/>
        </w:rPr>
        <w:tab/>
        <w:t>(2)</w:t>
      </w:r>
      <w:r>
        <w:rPr>
          <w:snapToGrid w:val="0"/>
        </w:rPr>
        <w:tab/>
        <w:t xml:space="preserve">The Council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Council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Council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The Council may, by arrangement on such terms as are agreed with the relevant parties, make use of the services of a person employed by another person.</w:t>
      </w:r>
    </w:p>
    <w:p>
      <w:pPr>
        <w:pStyle w:val="Footnotesection"/>
      </w:pPr>
      <w:r>
        <w:tab/>
        <w:t>[Section 21 amended by No. 20 of 2002 s. 27; amended in Gazette 15 Aug 2003 p. 3692.]</w:t>
      </w:r>
    </w:p>
    <w:p>
      <w:pPr>
        <w:pStyle w:val="Heading5"/>
        <w:rPr>
          <w:snapToGrid w:val="0"/>
        </w:rPr>
      </w:pPr>
      <w:bookmarkStart w:id="194" w:name="_Toc520109153"/>
      <w:bookmarkStart w:id="195" w:name="_Toc17002438"/>
      <w:bookmarkStart w:id="196" w:name="_Toc123645513"/>
      <w:bookmarkStart w:id="197" w:name="_Toc274207145"/>
      <w:r>
        <w:rPr>
          <w:rStyle w:val="CharSectno"/>
        </w:rPr>
        <w:t>22</w:t>
      </w:r>
      <w:r>
        <w:rPr>
          <w:snapToGrid w:val="0"/>
        </w:rPr>
        <w:t>.</w:t>
      </w:r>
      <w:r>
        <w:rPr>
          <w:snapToGrid w:val="0"/>
        </w:rPr>
        <w:tab/>
        <w:t>Use of other government staff etc.</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Council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Council and the relevant employing authority and is to be made on such terms as they agree.</w:t>
      </w:r>
    </w:p>
    <w:p>
      <w:pPr>
        <w:pStyle w:val="Heading2"/>
      </w:pPr>
      <w:bookmarkStart w:id="198" w:name="_Toc72573538"/>
      <w:bookmarkStart w:id="199" w:name="_Toc120341397"/>
      <w:bookmarkStart w:id="200" w:name="_Toc120355770"/>
      <w:bookmarkStart w:id="201" w:name="_Toc123645514"/>
      <w:bookmarkStart w:id="202" w:name="_Toc123645615"/>
      <w:bookmarkStart w:id="203" w:name="_Toc124139484"/>
      <w:bookmarkStart w:id="204" w:name="_Toc157845863"/>
      <w:bookmarkStart w:id="205" w:name="_Toc161720570"/>
      <w:bookmarkStart w:id="206" w:name="_Toc161723022"/>
      <w:bookmarkStart w:id="207" w:name="_Toc163956990"/>
      <w:bookmarkStart w:id="208" w:name="_Toc163964980"/>
      <w:bookmarkStart w:id="209" w:name="_Toc165698422"/>
      <w:bookmarkStart w:id="210" w:name="_Toc232394798"/>
      <w:bookmarkStart w:id="211" w:name="_Toc268269130"/>
      <w:bookmarkStart w:id="212" w:name="_Toc272057701"/>
      <w:bookmarkStart w:id="213" w:name="_Toc274207146"/>
      <w:r>
        <w:rPr>
          <w:rStyle w:val="CharPartNo"/>
        </w:rPr>
        <w:t>Part 5</w:t>
      </w:r>
      <w:r>
        <w:rPr>
          <w:rStyle w:val="CharDivNo"/>
        </w:rPr>
        <w:t> </w:t>
      </w:r>
      <w:r>
        <w:t>—</w:t>
      </w:r>
      <w:r>
        <w:rPr>
          <w:rStyle w:val="CharDivText"/>
        </w:rPr>
        <w:t> </w:t>
      </w:r>
      <w:r>
        <w:rPr>
          <w:rStyle w:val="CharPartText"/>
        </w:rPr>
        <w:t>Financial provisions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Heading5"/>
        <w:rPr>
          <w:snapToGrid w:val="0"/>
        </w:rPr>
      </w:pPr>
      <w:bookmarkStart w:id="214" w:name="_Toc520109154"/>
      <w:bookmarkStart w:id="215" w:name="_Toc17002439"/>
      <w:bookmarkStart w:id="216" w:name="_Toc123645515"/>
      <w:bookmarkStart w:id="217" w:name="_Toc274207147"/>
      <w:r>
        <w:rPr>
          <w:rStyle w:val="CharSectno"/>
        </w:rPr>
        <w:t>23</w:t>
      </w:r>
      <w:r>
        <w:rPr>
          <w:snapToGrid w:val="0"/>
        </w:rPr>
        <w:t>.</w:t>
      </w:r>
      <w:r>
        <w:rPr>
          <w:snapToGrid w:val="0"/>
        </w:rPr>
        <w:tab/>
        <w:t>Funds of Council</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The funds available for the purpose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Council in the performance of its functions;</w:t>
      </w:r>
    </w:p>
    <w:p>
      <w:pPr>
        <w:pStyle w:val="Indenta"/>
        <w:rPr>
          <w:snapToGrid w:val="0"/>
        </w:rPr>
      </w:pPr>
      <w:r>
        <w:rPr>
          <w:snapToGrid w:val="0"/>
        </w:rPr>
        <w:tab/>
        <w:t>(c)</w:t>
      </w:r>
      <w:r>
        <w:rPr>
          <w:snapToGrid w:val="0"/>
        </w:rPr>
        <w:tab/>
        <w:t>moneys borrowed by the Council under section 25 or 26; and</w:t>
      </w:r>
    </w:p>
    <w:p>
      <w:pPr>
        <w:pStyle w:val="Indenta"/>
        <w:rPr>
          <w:snapToGrid w:val="0"/>
        </w:rPr>
      </w:pPr>
      <w:r>
        <w:rPr>
          <w:snapToGrid w:val="0"/>
        </w:rPr>
        <w:tab/>
        <w:t>(d)</w:t>
      </w:r>
      <w:r>
        <w:rPr>
          <w:snapToGrid w:val="0"/>
        </w:rPr>
        <w:tab/>
        <w:t>other moneys lawfully received by, made available to, or payable to, the Council.</w:t>
      </w:r>
    </w:p>
    <w:p>
      <w:pPr>
        <w:pStyle w:val="Heading5"/>
        <w:rPr>
          <w:snapToGrid w:val="0"/>
        </w:rPr>
      </w:pPr>
      <w:bookmarkStart w:id="218" w:name="_Toc520109155"/>
      <w:bookmarkStart w:id="219" w:name="_Toc17002440"/>
      <w:bookmarkStart w:id="220" w:name="_Toc123645516"/>
      <w:bookmarkStart w:id="221" w:name="_Toc274207148"/>
      <w:r>
        <w:rPr>
          <w:rStyle w:val="CharSectno"/>
        </w:rPr>
        <w:t>24</w:t>
      </w:r>
      <w:r>
        <w:rPr>
          <w:snapToGrid w:val="0"/>
        </w:rPr>
        <w:t>.</w:t>
      </w:r>
      <w:r>
        <w:rPr>
          <w:snapToGrid w:val="0"/>
        </w:rPr>
        <w:tab/>
        <w:t>Curriculum Council Account</w:t>
      </w:r>
      <w:bookmarkEnd w:id="218"/>
      <w:bookmarkEnd w:id="219"/>
      <w:bookmarkEnd w:id="220"/>
      <w:bookmarkEnd w:id="221"/>
      <w:r>
        <w:rPr>
          <w:snapToGrid w:val="0"/>
        </w:rPr>
        <w:t xml:space="preserve"> </w:t>
      </w:r>
    </w:p>
    <w:p>
      <w:pPr>
        <w:pStyle w:val="Subsection"/>
      </w:pPr>
      <w:r>
        <w:tab/>
        <w:t>(1)</w:t>
      </w:r>
      <w:r>
        <w:tab/>
        <w:t xml:space="preserve">An account called the Curriculum Council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w:t>
      </w:r>
    </w:p>
    <w:p>
      <w:pPr>
        <w:pStyle w:val="Indenta"/>
        <w:rPr>
          <w:snapToGrid w:val="0"/>
        </w:rPr>
      </w:pPr>
      <w:r>
        <w:rPr>
          <w:snapToGrid w:val="0"/>
        </w:rPr>
        <w:tab/>
        <w:t>(b)</w:t>
      </w:r>
      <w:r>
        <w:rPr>
          <w:snapToGrid w:val="0"/>
        </w:rPr>
        <w:tab/>
        <w:t>interest on and repayment of moneys borrowed by the Council under section 25 or 26; and</w:t>
      </w:r>
    </w:p>
    <w:p>
      <w:pPr>
        <w:pStyle w:val="Indenta"/>
        <w:rPr>
          <w:snapToGrid w:val="0"/>
        </w:rPr>
      </w:pPr>
      <w:r>
        <w:rPr>
          <w:snapToGrid w:val="0"/>
        </w:rPr>
        <w:tab/>
        <w:t>(c)</w:t>
      </w:r>
      <w:r>
        <w:rPr>
          <w:snapToGrid w:val="0"/>
        </w:rPr>
        <w:tab/>
        <w:t>all other expenditure lawfully incurred by the Council in the performance of its functions.</w:t>
      </w:r>
    </w:p>
    <w:p>
      <w:pPr>
        <w:pStyle w:val="Footnotesection"/>
      </w:pPr>
      <w:r>
        <w:tab/>
        <w:t>[Section 24 amended by No. 77 of 2006 s. 17.]</w:t>
      </w:r>
    </w:p>
    <w:p>
      <w:pPr>
        <w:pStyle w:val="Heading5"/>
        <w:rPr>
          <w:snapToGrid w:val="0"/>
        </w:rPr>
      </w:pPr>
      <w:bookmarkStart w:id="222" w:name="_Toc520109156"/>
      <w:bookmarkStart w:id="223" w:name="_Toc17002441"/>
      <w:bookmarkStart w:id="224" w:name="_Toc123645517"/>
      <w:bookmarkStart w:id="225" w:name="_Toc274207149"/>
      <w:r>
        <w:rPr>
          <w:rStyle w:val="CharSectno"/>
        </w:rPr>
        <w:t>25</w:t>
      </w:r>
      <w:r>
        <w:rPr>
          <w:snapToGrid w:val="0"/>
        </w:rPr>
        <w:t>.</w:t>
      </w:r>
      <w:r>
        <w:rPr>
          <w:snapToGrid w:val="0"/>
        </w:rPr>
        <w:tab/>
        <w:t>Borrowing from Treasury</w:t>
      </w:r>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The Council may borrow from the Treasurer such amounts as the Treasurer approves on such terms and conditions relating to repayment and payment of interest as the Treasurer imposes.</w:t>
      </w:r>
    </w:p>
    <w:p>
      <w:pPr>
        <w:pStyle w:val="Heading5"/>
        <w:rPr>
          <w:snapToGrid w:val="0"/>
        </w:rPr>
      </w:pPr>
      <w:bookmarkStart w:id="226" w:name="_Toc520109157"/>
      <w:bookmarkStart w:id="227" w:name="_Toc17002442"/>
      <w:bookmarkStart w:id="228" w:name="_Toc123645518"/>
      <w:bookmarkStart w:id="229" w:name="_Toc274207150"/>
      <w:r>
        <w:rPr>
          <w:rStyle w:val="CharSectno"/>
        </w:rPr>
        <w:t>26</w:t>
      </w:r>
      <w:r>
        <w:rPr>
          <w:snapToGrid w:val="0"/>
        </w:rPr>
        <w:t>.</w:t>
      </w:r>
      <w:r>
        <w:rPr>
          <w:snapToGrid w:val="0"/>
        </w:rPr>
        <w:tab/>
        <w:t>Other borrowing</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In addition to its powers under section 25, the Council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Council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230" w:name="_Toc520109158"/>
      <w:bookmarkStart w:id="231" w:name="_Toc17002443"/>
      <w:bookmarkStart w:id="232" w:name="_Toc123645519"/>
      <w:bookmarkStart w:id="233" w:name="_Toc274207151"/>
      <w:r>
        <w:rPr>
          <w:rStyle w:val="CharSectno"/>
        </w:rPr>
        <w:t>27</w:t>
      </w:r>
      <w:r>
        <w:rPr>
          <w:snapToGrid w:val="0"/>
        </w:rPr>
        <w:t>.</w:t>
      </w:r>
      <w:r>
        <w:rPr>
          <w:snapToGrid w:val="0"/>
        </w:rPr>
        <w:tab/>
        <w:t>Guarantee by Treasurer</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Council in respect of moneys borrowed by the Council under section 26.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Council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234" w:name="_Toc520109159"/>
      <w:bookmarkStart w:id="235" w:name="_Toc17002444"/>
      <w:bookmarkStart w:id="236" w:name="_Toc123645520"/>
      <w:bookmarkStart w:id="237" w:name="_Toc274207152"/>
      <w:r>
        <w:rPr>
          <w:rStyle w:val="CharSectno"/>
        </w:rPr>
        <w:t>28</w:t>
      </w:r>
      <w:r>
        <w:rPr>
          <w:snapToGrid w:val="0"/>
        </w:rPr>
        <w:t>.</w:t>
      </w:r>
      <w:r>
        <w:rPr>
          <w:snapToGrid w:val="0"/>
        </w:rPr>
        <w:tab/>
        <w:t>Effect of guarantee</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Council or otherwise in respect of any payment made by the Treasurer under a guarantee given under section 27.</w:t>
      </w:r>
    </w:p>
    <w:p>
      <w:pPr>
        <w:pStyle w:val="Footnotesection"/>
      </w:pPr>
      <w:r>
        <w:tab/>
        <w:t>[Section 28 amended by No. 77 of 2006 s. 4 and 5(1).]</w:t>
      </w:r>
    </w:p>
    <w:p>
      <w:pPr>
        <w:pStyle w:val="Heading5"/>
        <w:rPr>
          <w:snapToGrid w:val="0"/>
        </w:rPr>
      </w:pPr>
      <w:bookmarkStart w:id="238" w:name="_Toc520109160"/>
      <w:bookmarkStart w:id="239" w:name="_Toc17002445"/>
      <w:bookmarkStart w:id="240" w:name="_Toc123645521"/>
      <w:bookmarkStart w:id="241" w:name="_Toc274207153"/>
      <w:r>
        <w:rPr>
          <w:rStyle w:val="CharSectno"/>
        </w:rPr>
        <w:t>29</w:t>
      </w:r>
      <w:r>
        <w:rPr>
          <w:snapToGrid w:val="0"/>
        </w:rPr>
        <w:t>.</w:t>
      </w:r>
      <w:r>
        <w:rPr>
          <w:snapToGrid w:val="0"/>
        </w:rPr>
        <w:tab/>
        <w:t xml:space="preserve">Application of </w:t>
      </w:r>
      <w:bookmarkEnd w:id="238"/>
      <w:bookmarkEnd w:id="239"/>
      <w:bookmarkEnd w:id="240"/>
      <w:r>
        <w:rPr>
          <w:i/>
          <w:iCs/>
        </w:rPr>
        <w:t>Financial Management Act 2006</w:t>
      </w:r>
      <w:r>
        <w:t xml:space="preserve"> and </w:t>
      </w:r>
      <w:r>
        <w:rPr>
          <w:i/>
          <w:iCs/>
        </w:rPr>
        <w:t>Auditor General Act 2006</w:t>
      </w:r>
      <w:bookmarkEnd w:id="24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29 amended by No. 77 of 2006 s. 17.]</w:t>
      </w:r>
    </w:p>
    <w:p>
      <w:pPr>
        <w:pStyle w:val="Heading2"/>
      </w:pPr>
      <w:bookmarkStart w:id="242" w:name="_Toc72573546"/>
      <w:bookmarkStart w:id="243" w:name="_Toc120341405"/>
      <w:bookmarkStart w:id="244" w:name="_Toc120355778"/>
      <w:bookmarkStart w:id="245" w:name="_Toc123645522"/>
      <w:bookmarkStart w:id="246" w:name="_Toc123645623"/>
      <w:bookmarkStart w:id="247" w:name="_Toc124139492"/>
      <w:bookmarkStart w:id="248" w:name="_Toc157845871"/>
      <w:bookmarkStart w:id="249" w:name="_Toc161720578"/>
      <w:bookmarkStart w:id="250" w:name="_Toc161723030"/>
      <w:bookmarkStart w:id="251" w:name="_Toc163956998"/>
      <w:bookmarkStart w:id="252" w:name="_Toc163964988"/>
      <w:bookmarkStart w:id="253" w:name="_Toc165698430"/>
      <w:bookmarkStart w:id="254" w:name="_Toc232394806"/>
      <w:bookmarkStart w:id="255" w:name="_Toc268269138"/>
      <w:bookmarkStart w:id="256" w:name="_Toc272057709"/>
      <w:bookmarkStart w:id="257" w:name="_Toc274207154"/>
      <w:r>
        <w:rPr>
          <w:rStyle w:val="CharPartNo"/>
        </w:rPr>
        <w:t>Part 6</w:t>
      </w:r>
      <w:r>
        <w:rPr>
          <w:rStyle w:val="CharDivNo"/>
        </w:rPr>
        <w:t> </w:t>
      </w:r>
      <w:r>
        <w:t>—</w:t>
      </w:r>
      <w:r>
        <w:rPr>
          <w:rStyle w:val="CharDivText"/>
        </w:rPr>
        <w:t> </w:t>
      </w:r>
      <w:r>
        <w:rPr>
          <w:rStyle w:val="CharPartText"/>
        </w:rPr>
        <w:t>Miscellaneous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Heading5"/>
        <w:rPr>
          <w:snapToGrid w:val="0"/>
        </w:rPr>
      </w:pPr>
      <w:bookmarkStart w:id="258" w:name="_Toc520109161"/>
      <w:bookmarkStart w:id="259" w:name="_Toc17002446"/>
      <w:bookmarkStart w:id="260" w:name="_Toc123645523"/>
      <w:bookmarkStart w:id="261" w:name="_Toc274207155"/>
      <w:r>
        <w:rPr>
          <w:rStyle w:val="CharSectno"/>
        </w:rPr>
        <w:t>30</w:t>
      </w:r>
      <w:r>
        <w:rPr>
          <w:snapToGrid w:val="0"/>
        </w:rPr>
        <w:t>.</w:t>
      </w:r>
      <w:r>
        <w:rPr>
          <w:snapToGrid w:val="0"/>
        </w:rPr>
        <w:tab/>
        <w:t>Protection from liability</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An action in tort does not lie against a person, other than the Council,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Council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62" w:name="_Toc520109162"/>
      <w:bookmarkStart w:id="263" w:name="_Toc17002447"/>
      <w:bookmarkStart w:id="264" w:name="_Toc123645524"/>
      <w:bookmarkStart w:id="265" w:name="_Toc274207156"/>
      <w:r>
        <w:rPr>
          <w:rStyle w:val="CharSectno"/>
        </w:rPr>
        <w:t>31</w:t>
      </w:r>
      <w:r>
        <w:rPr>
          <w:snapToGrid w:val="0"/>
        </w:rPr>
        <w:t>.</w:t>
      </w:r>
      <w:r>
        <w:rPr>
          <w:snapToGrid w:val="0"/>
        </w:rPr>
        <w:tab/>
        <w:t>Execution of documents by Council</w:t>
      </w:r>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The Council is to have a common seal.</w:t>
      </w:r>
    </w:p>
    <w:p>
      <w:pPr>
        <w:pStyle w:val="Subsection"/>
        <w:rPr>
          <w:snapToGrid w:val="0"/>
        </w:rPr>
      </w:pPr>
      <w:r>
        <w:rPr>
          <w:snapToGrid w:val="0"/>
        </w:rPr>
        <w:tab/>
        <w:t>(2)</w:t>
      </w:r>
      <w:r>
        <w:rPr>
          <w:snapToGrid w:val="0"/>
        </w:rPr>
        <w:tab/>
        <w:t>A document is duly executed by the Council if — </w:t>
      </w:r>
    </w:p>
    <w:p>
      <w:pPr>
        <w:pStyle w:val="Indenta"/>
        <w:rPr>
          <w:snapToGrid w:val="0"/>
        </w:rPr>
      </w:pPr>
      <w:r>
        <w:rPr>
          <w:snapToGrid w:val="0"/>
        </w:rPr>
        <w:tab/>
        <w:t>(a)</w:t>
      </w:r>
      <w:r>
        <w:rPr>
          <w:snapToGrid w:val="0"/>
        </w:rPr>
        <w:tab/>
        <w:t>the common seal of the Council is affixed to it in accordance with subsections (3) and (4); or</w:t>
      </w:r>
    </w:p>
    <w:p>
      <w:pPr>
        <w:pStyle w:val="Indenta"/>
        <w:rPr>
          <w:snapToGrid w:val="0"/>
        </w:rPr>
      </w:pPr>
      <w:r>
        <w:rPr>
          <w:snapToGrid w:val="0"/>
        </w:rPr>
        <w:tab/>
        <w:t>(b)</w:t>
      </w:r>
      <w:r>
        <w:rPr>
          <w:snapToGrid w:val="0"/>
        </w:rPr>
        <w:tab/>
        <w:t>it is signed on behalf of the Council by a person or persons authorised to do so under subsection (5).</w:t>
      </w:r>
    </w:p>
    <w:p>
      <w:pPr>
        <w:pStyle w:val="Subsection"/>
        <w:rPr>
          <w:snapToGrid w:val="0"/>
        </w:rPr>
      </w:pPr>
      <w:r>
        <w:rPr>
          <w:snapToGrid w:val="0"/>
        </w:rPr>
        <w:tab/>
        <w:t>(3)</w:t>
      </w:r>
      <w:r>
        <w:rPr>
          <w:snapToGrid w:val="0"/>
        </w:rPr>
        <w:tab/>
        <w:t>The common seal of the Council is not to be affixed to any document except as authorised by the Council.</w:t>
      </w:r>
    </w:p>
    <w:p>
      <w:pPr>
        <w:pStyle w:val="Subsection"/>
        <w:rPr>
          <w:snapToGrid w:val="0"/>
        </w:rPr>
      </w:pPr>
      <w:r>
        <w:rPr>
          <w:snapToGrid w:val="0"/>
        </w:rPr>
        <w:tab/>
        <w:t>(4)</w:t>
      </w:r>
      <w:r>
        <w:rPr>
          <w:snapToGrid w:val="0"/>
        </w:rPr>
        <w:tab/>
        <w:t>The common seal of the Council is to be affixed to a document in the presence of 2 members of the Council, and each of them is to sign the document to attest that the common seal was so affixed.</w:t>
      </w:r>
    </w:p>
    <w:p>
      <w:pPr>
        <w:pStyle w:val="Subsection"/>
        <w:rPr>
          <w:snapToGrid w:val="0"/>
        </w:rPr>
      </w:pPr>
      <w:r>
        <w:rPr>
          <w:snapToGrid w:val="0"/>
        </w:rPr>
        <w:tab/>
        <w:t>(5)</w:t>
      </w:r>
      <w:r>
        <w:rPr>
          <w:snapToGrid w:val="0"/>
        </w:rPr>
        <w:tab/>
        <w:t>The Council may, by writing under its seal, authorise a member or members of the Council or a member or members of staff to sign documents on behalf of the Council,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Council, it is to be presumed that the seal is the common seal of the Council until the contrary is shown.</w:t>
      </w:r>
    </w:p>
    <w:p>
      <w:pPr>
        <w:pStyle w:val="Heading5"/>
        <w:rPr>
          <w:snapToGrid w:val="0"/>
        </w:rPr>
      </w:pPr>
      <w:bookmarkStart w:id="266" w:name="_Toc520109163"/>
      <w:bookmarkStart w:id="267" w:name="_Toc17002448"/>
      <w:bookmarkStart w:id="268" w:name="_Toc123645525"/>
      <w:bookmarkStart w:id="269" w:name="_Toc274207157"/>
      <w:r>
        <w:rPr>
          <w:rStyle w:val="CharSectno"/>
        </w:rPr>
        <w:t>32</w:t>
      </w:r>
      <w:r>
        <w:rPr>
          <w:snapToGrid w:val="0"/>
        </w:rPr>
        <w:t>.</w:t>
      </w:r>
      <w:r>
        <w:rPr>
          <w:snapToGrid w:val="0"/>
        </w:rPr>
        <w:tab/>
        <w:t>Confidentiality</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a member of the Council;</w:t>
      </w:r>
    </w:p>
    <w:p>
      <w:pPr>
        <w:pStyle w:val="Indenta"/>
        <w:rPr>
          <w:snapToGrid w:val="0"/>
        </w:rPr>
      </w:pPr>
      <w:r>
        <w:rPr>
          <w:snapToGrid w:val="0"/>
        </w:rPr>
        <w:tab/>
        <w:t>(b)</w:t>
      </w:r>
      <w:r>
        <w:rPr>
          <w:snapToGrid w:val="0"/>
        </w:rPr>
        <w:tab/>
        <w:t>a member of a committee; or</w:t>
      </w:r>
    </w:p>
    <w:p>
      <w:pPr>
        <w:pStyle w:val="Indenta"/>
        <w:rPr>
          <w:snapToGrid w:val="0"/>
        </w:rPr>
      </w:pPr>
      <w:r>
        <w:rPr>
          <w:snapToGrid w:val="0"/>
        </w:rPr>
        <w:tab/>
        <w:t>(c)</w:t>
      </w:r>
      <w:r>
        <w:rPr>
          <w:snapToGrid w:val="0"/>
        </w:rPr>
        <w:tab/>
        <w:t>a member of staff.</w:t>
      </w:r>
    </w:p>
    <w:p>
      <w:pPr>
        <w:pStyle w:val="Subsection"/>
      </w:pPr>
      <w:r>
        <w:tab/>
        <w:t>(3)</w:t>
      </w:r>
      <w:r>
        <w:tab/>
        <w:t xml:space="preserve">In relation to information given under Part 3A to the Minister responsible for the administration of the </w:t>
      </w:r>
      <w:r>
        <w:rPr>
          <w:i/>
          <w:iCs/>
        </w:rPr>
        <w:t>School Education Act 1999</w:t>
      </w:r>
      <w:r>
        <w:t xml:space="preserve">,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w:t>
      </w:r>
    </w:p>
    <w:p>
      <w:pPr>
        <w:pStyle w:val="Heading5"/>
        <w:rPr>
          <w:snapToGrid w:val="0"/>
        </w:rPr>
      </w:pPr>
      <w:bookmarkStart w:id="270" w:name="_Toc520109164"/>
      <w:bookmarkStart w:id="271" w:name="_Toc17002449"/>
      <w:bookmarkStart w:id="272" w:name="_Toc123645526"/>
      <w:bookmarkStart w:id="273" w:name="_Toc274207158"/>
      <w:r>
        <w:rPr>
          <w:rStyle w:val="CharSectno"/>
        </w:rPr>
        <w:t>33</w:t>
      </w:r>
      <w:r>
        <w:rPr>
          <w:snapToGrid w:val="0"/>
        </w:rPr>
        <w:t>.</w:t>
      </w:r>
      <w:r>
        <w:rPr>
          <w:snapToGrid w:val="0"/>
        </w:rPr>
        <w:tab/>
        <w:t>Regulations</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fees and charges to be paid to the Council for or in connection with — </w:t>
      </w:r>
    </w:p>
    <w:p>
      <w:pPr>
        <w:pStyle w:val="Indenti"/>
        <w:rPr>
          <w:snapToGrid w:val="0"/>
        </w:rPr>
      </w:pPr>
      <w:r>
        <w:rPr>
          <w:snapToGrid w:val="0"/>
        </w:rPr>
        <w:tab/>
        <w:t>(i)</w:t>
      </w:r>
      <w:r>
        <w:rPr>
          <w:snapToGrid w:val="0"/>
        </w:rPr>
        <w:tab/>
        <w:t>the assessment of courses of study for purposes of certification;</w:t>
      </w:r>
    </w:p>
    <w:p>
      <w:pPr>
        <w:pStyle w:val="Indenti"/>
        <w:rPr>
          <w:snapToGrid w:val="0"/>
        </w:rPr>
      </w:pPr>
      <w:r>
        <w:rPr>
          <w:snapToGrid w:val="0"/>
        </w:rPr>
        <w:tab/>
        <w:t>(ii)</w:t>
      </w:r>
      <w:r>
        <w:rPr>
          <w:snapToGrid w:val="0"/>
        </w:rPr>
        <w:tab/>
        <w:t xml:space="preserve">an application to the Council; </w:t>
      </w:r>
    </w:p>
    <w:p>
      <w:pPr>
        <w:pStyle w:val="Indenti"/>
        <w:rPr>
          <w:snapToGrid w:val="0"/>
        </w:rPr>
      </w:pPr>
      <w:r>
        <w:rPr>
          <w:snapToGrid w:val="0"/>
        </w:rPr>
        <w:tab/>
        <w:t>(iii)</w:t>
      </w:r>
      <w:r>
        <w:rPr>
          <w:snapToGrid w:val="0"/>
        </w:rPr>
        <w:tab/>
        <w:t>the supply of certificates, records or materials by the Council; and</w:t>
      </w:r>
    </w:p>
    <w:p>
      <w:pPr>
        <w:pStyle w:val="Indenti"/>
        <w:rPr>
          <w:snapToGrid w:val="0"/>
        </w:rPr>
      </w:pPr>
      <w:r>
        <w:rPr>
          <w:snapToGrid w:val="0"/>
        </w:rPr>
        <w:tab/>
        <w:t>(iv)</w:t>
      </w:r>
      <w:r>
        <w:rPr>
          <w:snapToGrid w:val="0"/>
        </w:rPr>
        <w:tab/>
        <w:t>the supply of services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protection of examination papers and related materials.</w:t>
      </w:r>
    </w:p>
    <w:p>
      <w:pPr>
        <w:pStyle w:val="Subsection"/>
        <w:rPr>
          <w:snapToGrid w:val="0"/>
        </w:rPr>
      </w:pPr>
      <w:r>
        <w:rPr>
          <w:snapToGrid w:val="0"/>
        </w:rPr>
        <w:tab/>
        <w:t>(3)</w:t>
      </w:r>
      <w:r>
        <w:rPr>
          <w:snapToGrid w:val="0"/>
        </w:rPr>
        <w:tab/>
        <w:t>Subsection (2)(a)(iv) does not limit the power of the Council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Footnotesection"/>
      </w:pPr>
      <w:r>
        <w:tab/>
        <w:t>[Section 33 amended by No. 22 of 2005 s. 49.]</w:t>
      </w:r>
    </w:p>
    <w:p>
      <w:pPr>
        <w:pStyle w:val="Heading5"/>
        <w:rPr>
          <w:snapToGrid w:val="0"/>
        </w:rPr>
      </w:pPr>
      <w:bookmarkStart w:id="274" w:name="_Toc520109165"/>
      <w:bookmarkStart w:id="275" w:name="_Toc17002450"/>
      <w:bookmarkStart w:id="276" w:name="_Toc123645527"/>
      <w:bookmarkStart w:id="277" w:name="_Toc274207159"/>
      <w:r>
        <w:rPr>
          <w:rStyle w:val="CharSectno"/>
        </w:rPr>
        <w:t>34</w:t>
      </w:r>
      <w:r>
        <w:rPr>
          <w:snapToGrid w:val="0"/>
        </w:rPr>
        <w:t>.</w:t>
      </w:r>
      <w:r>
        <w:rPr>
          <w:snapToGrid w:val="0"/>
        </w:rPr>
        <w:tab/>
        <w:t>Repeal</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The </w:t>
      </w:r>
      <w:r>
        <w:rPr>
          <w:i/>
          <w:snapToGrid w:val="0"/>
        </w:rPr>
        <w:t>Secondary Education Authority Act 1984</w:t>
      </w:r>
      <w:r>
        <w:rPr>
          <w:snapToGrid w:val="0"/>
        </w:rPr>
        <w:t xml:space="preserve"> is repealed.</w:t>
      </w:r>
    </w:p>
    <w:p>
      <w:pPr>
        <w:pStyle w:val="Subsection"/>
        <w:rPr>
          <w:snapToGrid w:val="0"/>
        </w:rPr>
      </w:pPr>
      <w:r>
        <w:rPr>
          <w:snapToGrid w:val="0"/>
        </w:rPr>
        <w:tab/>
        <w:t>(2)</w:t>
      </w:r>
      <w:r>
        <w:rPr>
          <w:snapToGrid w:val="0"/>
        </w:rPr>
        <w:tab/>
        <w:t>Schedule 2 has effect with respect to savings and transitional provisions.</w:t>
      </w:r>
    </w:p>
    <w:p>
      <w:pPr>
        <w:pStyle w:val="Ednotesection"/>
      </w:pPr>
      <w:r>
        <w:t>[</w:t>
      </w:r>
      <w:r>
        <w:rPr>
          <w:b/>
        </w:rPr>
        <w:t>35.</w:t>
      </w:r>
      <w:r>
        <w:tab/>
        <w:t>Omitted under the Reprints Act 1984 s. 7(4)(e).]</w:t>
      </w:r>
    </w:p>
    <w:p>
      <w:pPr>
        <w:pStyle w:val="Heading5"/>
        <w:rPr>
          <w:snapToGrid w:val="0"/>
        </w:rPr>
      </w:pPr>
      <w:bookmarkStart w:id="278" w:name="_Toc520109167"/>
      <w:bookmarkStart w:id="279" w:name="_Toc17002452"/>
      <w:bookmarkStart w:id="280" w:name="_Toc123645528"/>
      <w:bookmarkStart w:id="281" w:name="_Toc274207160"/>
      <w:r>
        <w:rPr>
          <w:rStyle w:val="CharSectno"/>
        </w:rPr>
        <w:t>36</w:t>
      </w:r>
      <w:r>
        <w:rPr>
          <w:snapToGrid w:val="0"/>
        </w:rPr>
        <w:t>.</w:t>
      </w:r>
      <w:r>
        <w:rPr>
          <w:snapToGrid w:val="0"/>
        </w:rPr>
        <w:tab/>
        <w:t>Review of Act</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82" w:name="_Toc123645529"/>
      <w:bookmarkStart w:id="283" w:name="_Toc123645630"/>
      <w:bookmarkStart w:id="284" w:name="_Toc124139499"/>
      <w:bookmarkStart w:id="285" w:name="_Toc157845878"/>
      <w:bookmarkStart w:id="286" w:name="_Toc161720585"/>
      <w:bookmarkStart w:id="287" w:name="_Toc161723037"/>
      <w:bookmarkStart w:id="288" w:name="_Toc163957005"/>
      <w:bookmarkStart w:id="289" w:name="_Toc163964995"/>
      <w:bookmarkStart w:id="290" w:name="_Toc165698437"/>
      <w:bookmarkStart w:id="291" w:name="_Toc232394813"/>
      <w:bookmarkStart w:id="292" w:name="_Toc268269145"/>
      <w:bookmarkStart w:id="293" w:name="_Toc272057716"/>
      <w:bookmarkStart w:id="294" w:name="_Toc274207161"/>
      <w:r>
        <w:rPr>
          <w:rStyle w:val="CharSchNo"/>
        </w:rPr>
        <w:t>Schedule 1</w:t>
      </w:r>
      <w:bookmarkEnd w:id="282"/>
      <w:bookmarkEnd w:id="283"/>
      <w:bookmarkEnd w:id="284"/>
      <w:bookmarkEnd w:id="285"/>
      <w:bookmarkEnd w:id="286"/>
      <w:bookmarkEnd w:id="287"/>
      <w:bookmarkEnd w:id="288"/>
      <w:bookmarkEnd w:id="289"/>
      <w:bookmarkEnd w:id="290"/>
      <w:bookmarkEnd w:id="291"/>
      <w:r>
        <w:t> — </w:t>
      </w:r>
      <w:r>
        <w:rPr>
          <w:rStyle w:val="CharSchText"/>
        </w:rPr>
        <w:t>Provisions as to Council</w:t>
      </w:r>
      <w:bookmarkEnd w:id="292"/>
      <w:bookmarkEnd w:id="293"/>
      <w:bookmarkEnd w:id="294"/>
    </w:p>
    <w:p>
      <w:pPr>
        <w:pStyle w:val="yShoulderClause"/>
        <w:rPr>
          <w:snapToGrid w:val="0"/>
        </w:rPr>
      </w:pPr>
      <w:r>
        <w:rPr>
          <w:snapToGrid w:val="0"/>
        </w:rPr>
        <w:t>[s. 7]</w:t>
      </w:r>
    </w:p>
    <w:p>
      <w:pPr>
        <w:pStyle w:val="yFootnoteheading"/>
      </w:pPr>
      <w:r>
        <w:tab/>
        <w:t>[Heading amended by No. 19 of 2010 s. 4.]</w:t>
      </w:r>
    </w:p>
    <w:p>
      <w:pPr>
        <w:pStyle w:val="yHeading3"/>
      </w:pPr>
      <w:bookmarkStart w:id="295" w:name="_Toc17002454"/>
      <w:bookmarkStart w:id="296" w:name="_Toc123645530"/>
      <w:bookmarkStart w:id="297" w:name="_Toc123645631"/>
      <w:bookmarkStart w:id="298" w:name="_Toc124139500"/>
      <w:bookmarkStart w:id="299" w:name="_Toc157845879"/>
      <w:bookmarkStart w:id="300" w:name="_Toc161720586"/>
      <w:bookmarkStart w:id="301" w:name="_Toc161723038"/>
      <w:bookmarkStart w:id="302" w:name="_Toc163957006"/>
      <w:bookmarkStart w:id="303" w:name="_Toc163964996"/>
      <w:bookmarkStart w:id="304" w:name="_Toc165698438"/>
      <w:bookmarkStart w:id="305" w:name="_Toc232394814"/>
      <w:bookmarkStart w:id="306" w:name="_Toc268269146"/>
      <w:bookmarkStart w:id="307" w:name="_Toc272057717"/>
      <w:bookmarkStart w:id="308" w:name="_Toc274207162"/>
      <w:r>
        <w:rPr>
          <w:rStyle w:val="CharSDivNo"/>
        </w:rPr>
        <w:t>Division 1</w:t>
      </w:r>
      <w:r>
        <w:t> — </w:t>
      </w:r>
      <w:r>
        <w:rPr>
          <w:rStyle w:val="CharSDivText"/>
        </w:rPr>
        <w:t>Provisions as to constitution and proceedings of the Council</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yHeading5"/>
        <w:outlineLvl w:val="9"/>
      </w:pPr>
      <w:bookmarkStart w:id="309" w:name="_Toc17002455"/>
      <w:bookmarkStart w:id="310" w:name="_Toc123645531"/>
      <w:bookmarkStart w:id="311" w:name="_Toc274207163"/>
      <w:r>
        <w:rPr>
          <w:rStyle w:val="CharSClsNo"/>
        </w:rPr>
        <w:t>1</w:t>
      </w:r>
      <w:r>
        <w:t>.</w:t>
      </w:r>
      <w:r>
        <w:tab/>
        <w:t>Term of office</w:t>
      </w:r>
      <w:bookmarkEnd w:id="309"/>
      <w:bookmarkEnd w:id="310"/>
      <w:bookmarkEnd w:id="311"/>
      <w: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An appointed member whose term of office expires by the passage of time continues in office until that member is reappointed or the successor of that member comes into office.</w:t>
      </w:r>
    </w:p>
    <w:p>
      <w:pPr>
        <w:pStyle w:val="yHeading5"/>
        <w:outlineLvl w:val="9"/>
      </w:pPr>
      <w:bookmarkStart w:id="312" w:name="_Toc17002456"/>
      <w:bookmarkStart w:id="313" w:name="_Toc123645532"/>
      <w:bookmarkStart w:id="314" w:name="_Toc274207164"/>
      <w:r>
        <w:rPr>
          <w:rStyle w:val="CharSClsNo"/>
        </w:rPr>
        <w:t>2</w:t>
      </w:r>
      <w:r>
        <w:t>.</w:t>
      </w:r>
      <w:r>
        <w:tab/>
        <w:t>Resignation, removal etc.</w:t>
      </w:r>
      <w:bookmarkEnd w:id="312"/>
      <w:bookmarkEnd w:id="313"/>
      <w:bookmarkEnd w:id="314"/>
      <w:r>
        <w:t xml:space="preserve"> </w:t>
      </w:r>
    </w:p>
    <w:p>
      <w:pPr>
        <w:pStyle w:val="ySubsection"/>
        <w:rPr>
          <w:snapToGrid w:val="0"/>
        </w:rPr>
      </w:pPr>
      <w:r>
        <w:rPr>
          <w:snapToGrid w:val="0"/>
        </w:rPr>
        <w:tab/>
        <w:t>(1)</w:t>
      </w:r>
      <w:r>
        <w:rPr>
          <w:snapToGrid w:val="0"/>
        </w:rPr>
        <w:tab/>
        <w:t>The office of an appointed member becomes vacant if the member — </w:t>
      </w:r>
    </w:p>
    <w:p>
      <w:pPr>
        <w:pStyle w:val="yIndenta"/>
        <w:spacing w:before="70"/>
        <w:rPr>
          <w:snapToGrid w:val="0"/>
        </w:rPr>
      </w:pPr>
      <w:r>
        <w:rPr>
          <w:snapToGrid w:val="0"/>
        </w:rPr>
        <w:tab/>
        <w:t>(a)</w:t>
      </w:r>
      <w:r>
        <w:rPr>
          <w:snapToGrid w:val="0"/>
        </w:rPr>
        <w:tab/>
        <w:t>resigns the office by written notice addressed to the Minister;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an appointed member from office if the Minister is satisfied that the member — </w:t>
      </w:r>
    </w:p>
    <w:p>
      <w:pPr>
        <w:pStyle w:val="yIndenta"/>
        <w:spacing w:before="70"/>
        <w:rPr>
          <w:snapToGrid w:val="0"/>
        </w:rPr>
      </w:pPr>
      <w:r>
        <w:rPr>
          <w:snapToGrid w:val="0"/>
        </w:rPr>
        <w:tab/>
        <w:t>(a)</w:t>
      </w:r>
      <w:r>
        <w:rPr>
          <w:snapToGrid w:val="0"/>
        </w:rPr>
        <w:tab/>
        <w:t>has neglected his or her duty;</w:t>
      </w:r>
    </w:p>
    <w:p>
      <w:pPr>
        <w:pStyle w:val="yIndenta"/>
        <w:spacing w:before="70"/>
        <w:rPr>
          <w:snapToGrid w:val="0"/>
        </w:rPr>
      </w:pPr>
      <w:r>
        <w:rPr>
          <w:snapToGrid w:val="0"/>
        </w:rPr>
        <w:tab/>
        <w:t>(b)</w:t>
      </w:r>
      <w:r>
        <w:rPr>
          <w:snapToGrid w:val="0"/>
        </w:rPr>
        <w:tab/>
        <w:t>has misbehaved;</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bookmarkStart w:id="315" w:name="_Toc17002457"/>
      <w:bookmarkStart w:id="316" w:name="_Toc123645533"/>
      <w:r>
        <w:tab/>
        <w:t>[Clause 2 amended by No. 10 of 2001 s. 220.]</w:t>
      </w:r>
    </w:p>
    <w:p>
      <w:pPr>
        <w:pStyle w:val="yHeading5"/>
        <w:outlineLvl w:val="9"/>
      </w:pPr>
      <w:bookmarkStart w:id="317" w:name="_Toc274207165"/>
      <w:r>
        <w:rPr>
          <w:rStyle w:val="CharSClsNo"/>
        </w:rPr>
        <w:t>3</w:t>
      </w:r>
      <w:r>
        <w:t>.</w:t>
      </w:r>
      <w:r>
        <w:tab/>
        <w:t>Leave of absence</w:t>
      </w:r>
      <w:bookmarkEnd w:id="315"/>
      <w:bookmarkEnd w:id="316"/>
      <w:bookmarkEnd w:id="317"/>
      <w:r>
        <w:t xml:space="preserve"> </w:t>
      </w:r>
    </w:p>
    <w:p>
      <w:pPr>
        <w:pStyle w:val="ySubsection"/>
        <w:rPr>
          <w:snapToGrid w:val="0"/>
        </w:rPr>
      </w:pPr>
      <w:r>
        <w:rPr>
          <w:snapToGrid w:val="0"/>
        </w:rPr>
        <w:tab/>
      </w:r>
      <w:r>
        <w:rPr>
          <w:snapToGrid w:val="0"/>
        </w:rPr>
        <w:tab/>
        <w:t>The Council may grant leave of absence to a member of the Council on such terms and conditions as it thinks fit.</w:t>
      </w:r>
    </w:p>
    <w:p>
      <w:pPr>
        <w:pStyle w:val="yHeading5"/>
        <w:outlineLvl w:val="9"/>
      </w:pPr>
      <w:bookmarkStart w:id="318" w:name="_Toc17002458"/>
      <w:bookmarkStart w:id="319" w:name="_Toc123645534"/>
      <w:bookmarkStart w:id="320" w:name="_Toc274207166"/>
      <w:r>
        <w:rPr>
          <w:rStyle w:val="CharSClsNo"/>
        </w:rPr>
        <w:t>4</w:t>
      </w:r>
      <w:r>
        <w:t>.</w:t>
      </w:r>
      <w:r>
        <w:tab/>
        <w:t>Appointed member unable to act</w:t>
      </w:r>
      <w:bookmarkEnd w:id="318"/>
      <w:bookmarkEnd w:id="319"/>
      <w:bookmarkEnd w:id="320"/>
      <w:r>
        <w:t xml:space="preserve"> </w:t>
      </w:r>
    </w:p>
    <w:p>
      <w:pPr>
        <w:pStyle w:val="ySubsection"/>
        <w:rPr>
          <w:snapToGrid w:val="0"/>
        </w:rPr>
      </w:pPr>
      <w:r>
        <w:rPr>
          <w:snapToGrid w:val="0"/>
        </w:rPr>
        <w:tab/>
        <w:t>(1)</w:t>
      </w:r>
      <w:r>
        <w:rPr>
          <w:snapToGrid w:val="0"/>
        </w:rPr>
        <w:tab/>
        <w:t>If an appointed member other than the chairperson is unable to act by reason of illness,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pPr>
      <w:bookmarkStart w:id="321" w:name="_Toc17002459"/>
      <w:bookmarkStart w:id="322" w:name="_Toc123645535"/>
      <w:bookmarkStart w:id="323" w:name="_Toc274207167"/>
      <w:r>
        <w:rPr>
          <w:rStyle w:val="CharSClsNo"/>
        </w:rPr>
        <w:t>5</w:t>
      </w:r>
      <w:r>
        <w:t>.</w:t>
      </w:r>
      <w:r>
        <w:tab/>
        <w:t>Chief executive officer unable to attend</w:t>
      </w:r>
      <w:bookmarkEnd w:id="321"/>
      <w:bookmarkEnd w:id="322"/>
      <w:bookmarkEnd w:id="323"/>
      <w: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member of staff to represent him or her at that meeting if he or she is unable to attend by reason of sickness, absence or other cause; and while so attending the person so nominated is to be taken to be a member of the Council.</w:t>
      </w:r>
    </w:p>
    <w:p>
      <w:pPr>
        <w:pStyle w:val="yHeading5"/>
        <w:outlineLvl w:val="9"/>
      </w:pPr>
      <w:bookmarkStart w:id="324" w:name="_Toc17002460"/>
      <w:bookmarkStart w:id="325" w:name="_Toc123645536"/>
      <w:bookmarkStart w:id="326" w:name="_Toc274207168"/>
      <w:r>
        <w:rPr>
          <w:rStyle w:val="CharSClsNo"/>
        </w:rPr>
        <w:t>6</w:t>
      </w:r>
      <w:r>
        <w:t>.</w:t>
      </w:r>
      <w:r>
        <w:tab/>
        <w:t>Saving</w:t>
      </w:r>
      <w:bookmarkEnd w:id="324"/>
      <w:bookmarkEnd w:id="325"/>
      <w:bookmarkEnd w:id="326"/>
      <w:r>
        <w:t xml:space="preserve"> </w:t>
      </w:r>
    </w:p>
    <w:p>
      <w:pPr>
        <w:pStyle w:val="ySubsection"/>
        <w:rPr>
          <w:snapToGrid w:val="0"/>
        </w:rPr>
      </w:pPr>
      <w:r>
        <w:rPr>
          <w:snapToGrid w:val="0"/>
        </w:rPr>
        <w:tab/>
      </w:r>
      <w:r>
        <w:rPr>
          <w:snapToGrid w:val="0"/>
        </w:rPr>
        <w:tab/>
        <w:t>No act or omission of a person acting in place of another under clause 4, 5 or 8(2) is to be questioned on the ground that the occasion for his or her appointment or acting had not arisen or had ceased.</w:t>
      </w:r>
    </w:p>
    <w:p>
      <w:pPr>
        <w:pStyle w:val="yHeading5"/>
        <w:outlineLvl w:val="9"/>
      </w:pPr>
      <w:bookmarkStart w:id="327" w:name="_Toc17002461"/>
      <w:bookmarkStart w:id="328" w:name="_Toc123645537"/>
      <w:bookmarkStart w:id="329" w:name="_Toc274207169"/>
      <w:r>
        <w:rPr>
          <w:rStyle w:val="CharSClsNo"/>
        </w:rPr>
        <w:t>7</w:t>
      </w:r>
      <w:r>
        <w:t>.</w:t>
      </w:r>
      <w:r>
        <w:tab/>
        <w:t>Calling of meetings</w:t>
      </w:r>
      <w:bookmarkEnd w:id="327"/>
      <w:bookmarkEnd w:id="328"/>
      <w:bookmarkEnd w:id="329"/>
      <w:r>
        <w:t xml:space="preserve"> </w:t>
      </w:r>
    </w:p>
    <w:p>
      <w:pPr>
        <w:pStyle w:val="ySubsection"/>
        <w:rPr>
          <w:snapToGrid w:val="0"/>
        </w:rPr>
      </w:pPr>
      <w:r>
        <w:rPr>
          <w:snapToGrid w:val="0"/>
        </w:rPr>
        <w:tab/>
        <w:t>(1)</w:t>
      </w:r>
      <w:r>
        <w:rPr>
          <w:snapToGrid w:val="0"/>
        </w:rPr>
        <w:tab/>
        <w:t>Subject to subclause (2), meetings are to be held at the times and places that the Council determines.</w:t>
      </w:r>
    </w:p>
    <w:p>
      <w:pPr>
        <w:pStyle w:val="ySubsection"/>
        <w:rPr>
          <w:snapToGrid w:val="0"/>
        </w:rPr>
      </w:pPr>
      <w:r>
        <w:rPr>
          <w:snapToGrid w:val="0"/>
        </w:rPr>
        <w:tab/>
        <w:t>(2)</w:t>
      </w:r>
      <w:r>
        <w:rPr>
          <w:snapToGrid w:val="0"/>
        </w:rPr>
        <w:tab/>
        <w:t>A special meeting of the Council may at any time be convened by the chairperson.</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pPr>
      <w:bookmarkStart w:id="330" w:name="_Toc17002462"/>
      <w:bookmarkStart w:id="331" w:name="_Toc123645538"/>
      <w:bookmarkStart w:id="332" w:name="_Toc274207170"/>
      <w:r>
        <w:rPr>
          <w:rStyle w:val="CharSClsNo"/>
        </w:rPr>
        <w:t>8</w:t>
      </w:r>
      <w:r>
        <w:t>.</w:t>
      </w:r>
      <w:r>
        <w:tab/>
        <w:t>Presiding officer</w:t>
      </w:r>
      <w:bookmarkEnd w:id="330"/>
      <w:bookmarkEnd w:id="331"/>
      <w:bookmarkEnd w:id="332"/>
      <w: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Heading5"/>
        <w:outlineLvl w:val="9"/>
      </w:pPr>
      <w:bookmarkStart w:id="333" w:name="_Toc17002463"/>
      <w:bookmarkStart w:id="334" w:name="_Toc123645539"/>
      <w:bookmarkStart w:id="335" w:name="_Toc274207171"/>
      <w:r>
        <w:rPr>
          <w:rStyle w:val="CharSClsNo"/>
        </w:rPr>
        <w:t>9</w:t>
      </w:r>
      <w:r>
        <w:t>.</w:t>
      </w:r>
      <w:r>
        <w:tab/>
        <w:t>Quorum</w:t>
      </w:r>
      <w:bookmarkEnd w:id="333"/>
      <w:bookmarkEnd w:id="334"/>
      <w:bookmarkEnd w:id="335"/>
      <w:r>
        <w:t xml:space="preserve"> </w:t>
      </w:r>
    </w:p>
    <w:p>
      <w:pPr>
        <w:pStyle w:val="ySubsection"/>
        <w:rPr>
          <w:snapToGrid w:val="0"/>
        </w:rPr>
      </w:pPr>
      <w:r>
        <w:rPr>
          <w:snapToGrid w:val="0"/>
        </w:rPr>
        <w:tab/>
      </w:r>
      <w:r>
        <w:rPr>
          <w:snapToGrid w:val="0"/>
        </w:rPr>
        <w:tab/>
        <w:t>A quorum for a meeting of the Council is 7 members.</w:t>
      </w:r>
    </w:p>
    <w:p>
      <w:pPr>
        <w:pStyle w:val="yHeading5"/>
        <w:outlineLvl w:val="9"/>
      </w:pPr>
      <w:bookmarkStart w:id="336" w:name="_Toc17002464"/>
      <w:bookmarkStart w:id="337" w:name="_Toc123645540"/>
      <w:bookmarkStart w:id="338" w:name="_Toc274207172"/>
      <w:r>
        <w:rPr>
          <w:rStyle w:val="CharSClsNo"/>
        </w:rPr>
        <w:t>10</w:t>
      </w:r>
      <w:r>
        <w:t>.</w:t>
      </w:r>
      <w:r>
        <w:tab/>
        <w:t>Voting</w:t>
      </w:r>
      <w:bookmarkEnd w:id="336"/>
      <w:bookmarkEnd w:id="337"/>
      <w:bookmarkEnd w:id="338"/>
      <w:r>
        <w:t xml:space="preserve"> </w:t>
      </w:r>
    </w:p>
    <w:p>
      <w:pPr>
        <w:pStyle w:val="ySubsection"/>
        <w:rPr>
          <w:snapToGrid w:val="0"/>
        </w:rPr>
      </w:pPr>
      <w:r>
        <w:rPr>
          <w:snapToGrid w:val="0"/>
        </w:rPr>
        <w:tab/>
        <w:t>(1)</w:t>
      </w:r>
      <w:r>
        <w:rPr>
          <w:snapToGrid w:val="0"/>
        </w:rPr>
        <w:tab/>
        <w:t>At any meeting of the Council each appointed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pPr>
      <w:bookmarkStart w:id="339" w:name="_Toc17002465"/>
      <w:bookmarkStart w:id="340" w:name="_Toc123645541"/>
      <w:bookmarkStart w:id="341" w:name="_Toc274207173"/>
      <w:r>
        <w:rPr>
          <w:rStyle w:val="CharSClsNo"/>
        </w:rPr>
        <w:t>11</w:t>
      </w:r>
      <w:r>
        <w:t>.</w:t>
      </w:r>
      <w:r>
        <w:tab/>
        <w:t>Minutes</w:t>
      </w:r>
      <w:bookmarkEnd w:id="339"/>
      <w:bookmarkEnd w:id="340"/>
      <w:bookmarkEnd w:id="341"/>
      <w:r>
        <w:t xml:space="preserve"> </w:t>
      </w:r>
    </w:p>
    <w:p>
      <w:pPr>
        <w:pStyle w:val="ySubsection"/>
        <w:rPr>
          <w:snapToGrid w:val="0"/>
        </w:rPr>
      </w:pPr>
      <w:r>
        <w:rPr>
          <w:snapToGrid w:val="0"/>
        </w:rPr>
        <w:tab/>
      </w:r>
      <w:r>
        <w:rPr>
          <w:snapToGrid w:val="0"/>
        </w:rPr>
        <w:tab/>
        <w:t>The Council is to cause accurate minutes to be kept of the proceedings at its meetings.</w:t>
      </w:r>
    </w:p>
    <w:p>
      <w:pPr>
        <w:pStyle w:val="yHeading5"/>
        <w:outlineLvl w:val="9"/>
      </w:pPr>
      <w:bookmarkStart w:id="342" w:name="_Toc17002466"/>
      <w:bookmarkStart w:id="343" w:name="_Toc123645542"/>
      <w:bookmarkStart w:id="344" w:name="_Toc274207174"/>
      <w:r>
        <w:rPr>
          <w:rStyle w:val="CharSClsNo"/>
        </w:rPr>
        <w:t>12</w:t>
      </w:r>
      <w:r>
        <w:t>.</w:t>
      </w:r>
      <w:r>
        <w:tab/>
        <w:t>Resolution without meeting</w:t>
      </w:r>
      <w:bookmarkEnd w:id="342"/>
      <w:bookmarkEnd w:id="343"/>
      <w:bookmarkEnd w:id="344"/>
      <w: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pPr>
      <w:bookmarkStart w:id="345" w:name="_Toc17002467"/>
      <w:bookmarkStart w:id="346" w:name="_Toc123645543"/>
      <w:bookmarkStart w:id="347" w:name="_Toc274207175"/>
      <w:r>
        <w:rPr>
          <w:rStyle w:val="CharSClsNo"/>
        </w:rPr>
        <w:t>13</w:t>
      </w:r>
      <w:r>
        <w:t>.</w:t>
      </w:r>
      <w:r>
        <w:tab/>
        <w:t>Telephone or video meetings</w:t>
      </w:r>
      <w:bookmarkEnd w:id="345"/>
      <w:bookmarkEnd w:id="346"/>
      <w:bookmarkEnd w:id="347"/>
      <w:r>
        <w:t xml:space="preserve"> </w:t>
      </w:r>
    </w:p>
    <w:p>
      <w:pPr>
        <w:pStyle w:val="ySubsection"/>
        <w:rPr>
          <w:snapToGrid w:val="0"/>
        </w:rPr>
      </w:pPr>
      <w:r>
        <w:rPr>
          <w:snapToGrid w:val="0"/>
        </w:rPr>
        <w:tab/>
      </w:r>
      <w:r>
        <w:rPr>
          <w:snapToGrid w:val="0"/>
        </w:rPr>
        <w:tab/>
        <w:t>A communication between not less than 7 members of the Council by telephone, audio</w:t>
      </w:r>
      <w:r>
        <w:rPr>
          <w:snapToGrid w:val="0"/>
        </w:rPr>
        <w:noBreakHyphen/>
        <w:t>visual or other electronic means is a valid meeting of the Council if each participating member is capable of communicating with every other participating member instantaneously at all times during the proceedings.</w:t>
      </w:r>
    </w:p>
    <w:p>
      <w:pPr>
        <w:pStyle w:val="yHeading5"/>
        <w:outlineLvl w:val="9"/>
      </w:pPr>
      <w:bookmarkStart w:id="348" w:name="_Toc17002468"/>
      <w:bookmarkStart w:id="349" w:name="_Toc123645544"/>
      <w:bookmarkStart w:id="350" w:name="_Toc274207176"/>
      <w:r>
        <w:rPr>
          <w:rStyle w:val="CharSClsNo"/>
        </w:rPr>
        <w:t>14</w:t>
      </w:r>
      <w:r>
        <w:t>.</w:t>
      </w:r>
      <w:r>
        <w:tab/>
        <w:t>Committees</w:t>
      </w:r>
      <w:bookmarkEnd w:id="348"/>
      <w:bookmarkEnd w:id="349"/>
      <w:bookmarkEnd w:id="350"/>
      <w:r>
        <w:t xml:space="preserve"> </w:t>
      </w:r>
    </w:p>
    <w:p>
      <w:pPr>
        <w:pStyle w:val="ySubsection"/>
        <w:rPr>
          <w:snapToGrid w:val="0"/>
        </w:rPr>
      </w:pPr>
      <w:r>
        <w:rPr>
          <w:snapToGrid w:val="0"/>
        </w:rPr>
        <w:tab/>
      </w:r>
      <w:r>
        <w:rPr>
          <w:snapToGrid w:val="0"/>
        </w:rPr>
        <w:tab/>
        <w:t>The Council may appoint committees, consisting of or including persons who are not members of the Council, to assist it in the performance of its functions, and may discharge or alter any committee so appointed.</w:t>
      </w:r>
    </w:p>
    <w:p>
      <w:pPr>
        <w:pStyle w:val="yHeading5"/>
        <w:outlineLvl w:val="9"/>
      </w:pPr>
      <w:bookmarkStart w:id="351" w:name="_Toc17002469"/>
      <w:bookmarkStart w:id="352" w:name="_Toc123645545"/>
      <w:bookmarkStart w:id="353" w:name="_Toc274207177"/>
      <w:r>
        <w:rPr>
          <w:rStyle w:val="CharSClsNo"/>
        </w:rPr>
        <w:t>15</w:t>
      </w:r>
      <w:r>
        <w:t>.</w:t>
      </w:r>
      <w:r>
        <w:tab/>
        <w:t>Council to determine own procedures</w:t>
      </w:r>
      <w:bookmarkEnd w:id="351"/>
      <w:bookmarkEnd w:id="352"/>
      <w:bookmarkEnd w:id="353"/>
      <w:r>
        <w:t xml:space="preserve"> </w:t>
      </w:r>
    </w:p>
    <w:p>
      <w:pPr>
        <w:pStyle w:val="ySubsection"/>
        <w:rPr>
          <w:snapToGrid w:val="0"/>
        </w:rPr>
      </w:pPr>
      <w:r>
        <w:rPr>
          <w:snapToGrid w:val="0"/>
        </w:rPr>
        <w:tab/>
      </w:r>
      <w:r>
        <w:rPr>
          <w:snapToGrid w:val="0"/>
        </w:rPr>
        <w:tab/>
        <w:t>Subject to this Act, the Council is to determine its own procedures.</w:t>
      </w:r>
    </w:p>
    <w:p>
      <w:pPr>
        <w:pStyle w:val="yHeading3"/>
      </w:pPr>
      <w:bookmarkStart w:id="354" w:name="_Toc17002470"/>
      <w:bookmarkStart w:id="355" w:name="_Toc123645546"/>
      <w:bookmarkStart w:id="356" w:name="_Toc123645647"/>
      <w:bookmarkStart w:id="357" w:name="_Toc124139516"/>
      <w:bookmarkStart w:id="358" w:name="_Toc157845895"/>
      <w:bookmarkStart w:id="359" w:name="_Toc161720602"/>
      <w:bookmarkStart w:id="360" w:name="_Toc161723054"/>
      <w:bookmarkStart w:id="361" w:name="_Toc163957022"/>
      <w:bookmarkStart w:id="362" w:name="_Toc163965012"/>
      <w:bookmarkStart w:id="363" w:name="_Toc165698454"/>
      <w:bookmarkStart w:id="364" w:name="_Toc232394830"/>
      <w:bookmarkStart w:id="365" w:name="_Toc268269162"/>
      <w:bookmarkStart w:id="366" w:name="_Toc272057733"/>
      <w:bookmarkStart w:id="367" w:name="_Toc274207178"/>
      <w:r>
        <w:rPr>
          <w:rStyle w:val="CharSDivNo"/>
        </w:rPr>
        <w:t>Division 2</w:t>
      </w:r>
      <w:r>
        <w:t> — </w:t>
      </w:r>
      <w:r>
        <w:rPr>
          <w:rStyle w:val="CharSDivText"/>
        </w:rPr>
        <w:t>Disclosure of interests, etc.</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yHeading5"/>
        <w:outlineLvl w:val="9"/>
      </w:pPr>
      <w:bookmarkStart w:id="368" w:name="_Toc17002471"/>
      <w:bookmarkStart w:id="369" w:name="_Toc123645547"/>
      <w:bookmarkStart w:id="370" w:name="_Toc274207179"/>
      <w:r>
        <w:rPr>
          <w:rStyle w:val="CharSClsNo"/>
        </w:rPr>
        <w:t>16</w:t>
      </w:r>
      <w:r>
        <w:t>.</w:t>
      </w:r>
      <w:r>
        <w:tab/>
        <w:t>Disclosure of interests</w:t>
      </w:r>
      <w:bookmarkEnd w:id="368"/>
      <w:bookmarkEnd w:id="369"/>
      <w:bookmarkEnd w:id="370"/>
      <w:r>
        <w:t xml:space="preserve"> </w:t>
      </w:r>
    </w:p>
    <w:p>
      <w:pPr>
        <w:pStyle w:val="ySubsection"/>
        <w:rPr>
          <w:snapToGrid w:val="0"/>
        </w:rPr>
      </w:pPr>
      <w:r>
        <w:rPr>
          <w:snapToGrid w:val="0"/>
        </w:rPr>
        <w:tab/>
        <w:t>(1)</w:t>
      </w:r>
      <w:r>
        <w:rPr>
          <w:snapToGrid w:val="0"/>
        </w:rPr>
        <w:tab/>
        <w:t>A member of the Council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371" w:name="_Toc17002472"/>
      <w:r>
        <w:tab/>
        <w:t>[Clause 16 amended by No. 50 of 2003 s. 53(2).]</w:t>
      </w:r>
    </w:p>
    <w:p>
      <w:pPr>
        <w:pStyle w:val="yHeading5"/>
        <w:outlineLvl w:val="9"/>
      </w:pPr>
      <w:bookmarkStart w:id="372" w:name="_Toc123645548"/>
      <w:bookmarkStart w:id="373" w:name="_Toc274207180"/>
      <w:r>
        <w:rPr>
          <w:rStyle w:val="CharSClsNo"/>
        </w:rPr>
        <w:t>17</w:t>
      </w:r>
      <w:r>
        <w:t>.</w:t>
      </w:r>
      <w:r>
        <w:tab/>
        <w:t>Voting by interested members</w:t>
      </w:r>
      <w:bookmarkEnd w:id="371"/>
      <w:bookmarkEnd w:id="372"/>
      <w:bookmarkEnd w:id="373"/>
      <w:r>
        <w:t xml:space="preserve"> </w:t>
      </w:r>
    </w:p>
    <w:p>
      <w:pPr>
        <w:pStyle w:val="ySubsection"/>
        <w:rPr>
          <w:snapToGrid w:val="0"/>
        </w:rPr>
      </w:pPr>
      <w:r>
        <w:rPr>
          <w:snapToGrid w:val="0"/>
        </w:rPr>
        <w:tab/>
      </w:r>
      <w:r>
        <w:rPr>
          <w:snapToGrid w:val="0"/>
        </w:rPr>
        <w:tab/>
        <w:t>A member of the Council who has a material personal interest in a matter that is being considered by the Council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pPr>
      <w:bookmarkStart w:id="374" w:name="_Toc17002473"/>
      <w:bookmarkStart w:id="375" w:name="_Toc123645549"/>
      <w:bookmarkStart w:id="376" w:name="_Toc274207181"/>
      <w:r>
        <w:rPr>
          <w:rStyle w:val="CharSClsNo"/>
        </w:rPr>
        <w:t>18</w:t>
      </w:r>
      <w:r>
        <w:t>.</w:t>
      </w:r>
      <w:r>
        <w:tab/>
        <w:t>Clause 17 may be declared inapplicable</w:t>
      </w:r>
      <w:bookmarkEnd w:id="374"/>
      <w:bookmarkEnd w:id="375"/>
      <w:bookmarkEnd w:id="376"/>
      <w: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pPr>
      <w:bookmarkStart w:id="377" w:name="_Toc17002474"/>
      <w:bookmarkStart w:id="378" w:name="_Toc123645550"/>
      <w:bookmarkStart w:id="379" w:name="_Toc274207182"/>
      <w:r>
        <w:rPr>
          <w:rStyle w:val="CharSClsNo"/>
        </w:rPr>
        <w:t>19</w:t>
      </w:r>
      <w:r>
        <w:t>.</w:t>
      </w:r>
      <w:r>
        <w:tab/>
        <w:t>Quorum where clause 18 applies</w:t>
      </w:r>
      <w:bookmarkEnd w:id="377"/>
      <w:bookmarkEnd w:id="378"/>
      <w:bookmarkEnd w:id="379"/>
      <w:r>
        <w:t xml:space="preserve"> </w:t>
      </w:r>
    </w:p>
    <w:p>
      <w:pPr>
        <w:pStyle w:val="ySubsection"/>
        <w:rPr>
          <w:snapToGrid w:val="0"/>
        </w:rPr>
      </w:pPr>
      <w:r>
        <w:rPr>
          <w:snapToGrid w:val="0"/>
        </w:rPr>
        <w:tab/>
        <w:t>(1)</w:t>
      </w:r>
      <w:r>
        <w:rPr>
          <w:snapToGrid w:val="0"/>
        </w:rPr>
        <w:tab/>
        <w:t>Despite clause 9, if a member of the Council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pPr>
      <w:bookmarkStart w:id="380" w:name="_Toc17002475"/>
      <w:bookmarkStart w:id="381" w:name="_Toc123645551"/>
      <w:bookmarkStart w:id="382" w:name="_Toc274207183"/>
      <w:r>
        <w:rPr>
          <w:rStyle w:val="CharSClsNo"/>
        </w:rPr>
        <w:t>20</w:t>
      </w:r>
      <w:r>
        <w:t>.</w:t>
      </w:r>
      <w:r>
        <w:tab/>
        <w:t>Minister may declare clauses 17 and 19 inapplicable</w:t>
      </w:r>
      <w:bookmarkEnd w:id="380"/>
      <w:bookmarkEnd w:id="381"/>
      <w:bookmarkEnd w:id="382"/>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383" w:name="_Toc17002476"/>
      <w:bookmarkStart w:id="384" w:name="_Toc123645552"/>
      <w:bookmarkStart w:id="385" w:name="_Toc123645653"/>
      <w:bookmarkStart w:id="386" w:name="_Toc124139522"/>
      <w:bookmarkStart w:id="387" w:name="_Toc157845901"/>
      <w:bookmarkStart w:id="388" w:name="_Toc161720608"/>
      <w:bookmarkStart w:id="389" w:name="_Toc161723060"/>
      <w:bookmarkStart w:id="390" w:name="_Toc163957028"/>
      <w:bookmarkStart w:id="391" w:name="_Toc163965018"/>
      <w:bookmarkStart w:id="392" w:name="_Toc165698460"/>
      <w:bookmarkStart w:id="393" w:name="_Toc232394836"/>
      <w:bookmarkStart w:id="394" w:name="_Toc268269168"/>
      <w:bookmarkStart w:id="395" w:name="_Toc272057739"/>
      <w:bookmarkStart w:id="396" w:name="_Toc274207184"/>
      <w:r>
        <w:rPr>
          <w:rStyle w:val="CharSchNo"/>
        </w:rPr>
        <w:t>Schedule 2</w:t>
      </w:r>
      <w:r>
        <w:t> — </w:t>
      </w:r>
      <w:r>
        <w:rPr>
          <w:rStyle w:val="CharSchText"/>
        </w:rPr>
        <w:t>Transitional and savings provisions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SDivNo"/>
        </w:rPr>
        <w:t xml:space="preserve"> </w:t>
      </w:r>
      <w:r>
        <w:rPr>
          <w:rStyle w:val="CharSDivText"/>
        </w:rPr>
        <w:t xml:space="preserve"> </w:t>
      </w:r>
    </w:p>
    <w:p>
      <w:pPr>
        <w:pStyle w:val="yShoulderClause"/>
        <w:rPr>
          <w:snapToGrid w:val="0"/>
        </w:rPr>
      </w:pPr>
      <w:r>
        <w:rPr>
          <w:snapToGrid w:val="0"/>
        </w:rPr>
        <w:t>[Section 34(2)]</w:t>
      </w:r>
    </w:p>
    <w:p>
      <w:pPr>
        <w:pStyle w:val="yHeading5"/>
        <w:outlineLvl w:val="9"/>
      </w:pPr>
      <w:bookmarkStart w:id="397" w:name="_Toc17002477"/>
      <w:bookmarkStart w:id="398" w:name="_Toc123645553"/>
      <w:bookmarkStart w:id="399" w:name="_Toc274207185"/>
      <w:r>
        <w:rPr>
          <w:rStyle w:val="CharSClsNo"/>
        </w:rPr>
        <w:t>1</w:t>
      </w:r>
      <w:r>
        <w:t>.</w:t>
      </w:r>
      <w:r>
        <w:tab/>
      </w:r>
      <w:bookmarkEnd w:id="397"/>
      <w:bookmarkEnd w:id="398"/>
      <w:r>
        <w:t>Terms used in this Schedule</w:t>
      </w:r>
      <w:bookmarkEnd w:id="399"/>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Authority</w:t>
      </w:r>
      <w:r>
        <w:t xml:space="preserve"> means the Secondary Education Authority under the repealed Act as in force before the commencement day;</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repealed Act</w:t>
      </w:r>
      <w:r>
        <w:t xml:space="preserve"> means the </w:t>
      </w:r>
      <w:r>
        <w:rPr>
          <w:i/>
        </w:rPr>
        <w:t>Secondary Education Authority Act 1984</w:t>
      </w:r>
      <w:r>
        <w:t>;</w:t>
      </w:r>
    </w:p>
    <w:p>
      <w:pPr>
        <w:pStyle w:val="yDefstart"/>
      </w:pPr>
      <w:r>
        <w:rPr>
          <w:b/>
        </w:rPr>
        <w:tab/>
      </w:r>
      <w:r>
        <w:rPr>
          <w:rStyle w:val="CharDefText"/>
        </w:rPr>
        <w:t>right</w:t>
      </w:r>
      <w:r>
        <w:t xml:space="preserve"> means any right, power, privilege or immunity whether actual, contingent or prospective.</w:t>
      </w:r>
    </w:p>
    <w:p>
      <w:pPr>
        <w:pStyle w:val="yHeading5"/>
        <w:outlineLvl w:val="9"/>
      </w:pPr>
      <w:bookmarkStart w:id="400" w:name="_Toc17002478"/>
      <w:bookmarkStart w:id="401" w:name="_Toc123645554"/>
      <w:bookmarkStart w:id="402" w:name="_Toc274207186"/>
      <w:r>
        <w:rPr>
          <w:rStyle w:val="CharSClsNo"/>
        </w:rPr>
        <w:t>2</w:t>
      </w:r>
      <w:r>
        <w:t>.</w:t>
      </w:r>
      <w:r>
        <w:tab/>
        <w:t>Interpretation Act to apply</w:t>
      </w:r>
      <w:bookmarkEnd w:id="400"/>
      <w:bookmarkEnd w:id="401"/>
      <w:bookmarkEnd w:id="402"/>
      <w: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9"/>
      </w:pPr>
      <w:bookmarkStart w:id="403" w:name="_Toc17002479"/>
      <w:bookmarkStart w:id="404" w:name="_Toc123645555"/>
      <w:bookmarkStart w:id="405" w:name="_Toc274207187"/>
      <w:r>
        <w:rPr>
          <w:rStyle w:val="CharSClsNo"/>
        </w:rPr>
        <w:t>3</w:t>
      </w:r>
      <w:r>
        <w:t>.</w:t>
      </w:r>
      <w:r>
        <w:tab/>
        <w:t>Authority abolished</w:t>
      </w:r>
      <w:bookmarkEnd w:id="403"/>
      <w:bookmarkEnd w:id="404"/>
      <w:bookmarkEnd w:id="405"/>
      <w:r>
        <w:t xml:space="preserve"> </w:t>
      </w:r>
    </w:p>
    <w:p>
      <w:pPr>
        <w:pStyle w:val="ySubsection"/>
        <w:rPr>
          <w:snapToGrid w:val="0"/>
        </w:rPr>
      </w:pPr>
      <w:r>
        <w:rPr>
          <w:snapToGrid w:val="0"/>
        </w:rPr>
        <w:tab/>
      </w:r>
      <w:r>
        <w:rPr>
          <w:snapToGrid w:val="0"/>
        </w:rPr>
        <w:tab/>
        <w:t>Subject to clause 8, on the commencement day the Authority ceases to exist and its members go out of office.</w:t>
      </w:r>
    </w:p>
    <w:p>
      <w:pPr>
        <w:pStyle w:val="yHeading5"/>
        <w:outlineLvl w:val="9"/>
      </w:pPr>
      <w:bookmarkStart w:id="406" w:name="_Toc17002480"/>
      <w:bookmarkStart w:id="407" w:name="_Toc123645556"/>
      <w:bookmarkStart w:id="408" w:name="_Toc274207188"/>
      <w:r>
        <w:rPr>
          <w:rStyle w:val="CharSClsNo"/>
        </w:rPr>
        <w:t>4</w:t>
      </w:r>
      <w:r>
        <w:t>.</w:t>
      </w:r>
      <w:r>
        <w:tab/>
        <w:t>Devolution of Authority’s assets, liabilities etc.</w:t>
      </w:r>
      <w:bookmarkEnd w:id="406"/>
      <w:bookmarkEnd w:id="407"/>
      <w:bookmarkEnd w:id="408"/>
      <w:r>
        <w:t xml:space="preserve"> </w:t>
      </w:r>
    </w:p>
    <w:p>
      <w:pPr>
        <w:pStyle w:val="ySubsection"/>
        <w:rPr>
          <w:snapToGrid w:val="0"/>
        </w:rPr>
      </w:pPr>
      <w:r>
        <w:rPr>
          <w:snapToGrid w:val="0"/>
        </w:rPr>
        <w:tab/>
      </w:r>
      <w:r>
        <w:rPr>
          <w:snapToGrid w:val="0"/>
        </w:rPr>
        <w:tab/>
        <w:t>On and after the commencement day — </w:t>
      </w:r>
    </w:p>
    <w:p>
      <w:pPr>
        <w:pStyle w:val="yIndenta"/>
        <w:rPr>
          <w:snapToGrid w:val="0"/>
        </w:rPr>
      </w:pPr>
      <w:r>
        <w:rPr>
          <w:snapToGrid w:val="0"/>
        </w:rPr>
        <w:tab/>
        <w:t>(a)</w:t>
      </w:r>
      <w:r>
        <w:rPr>
          <w:snapToGrid w:val="0"/>
        </w:rPr>
        <w:tab/>
        <w:t>the assets and rights of the Authority that were immediately before that day vested in that body vest in the Council by force of this clause;</w:t>
      </w:r>
    </w:p>
    <w:p>
      <w:pPr>
        <w:pStyle w:val="yIndenta"/>
        <w:rPr>
          <w:snapToGrid w:val="0"/>
        </w:rPr>
      </w:pPr>
      <w:r>
        <w:rPr>
          <w:snapToGrid w:val="0"/>
        </w:rPr>
        <w:tab/>
        <w:t>(b)</w:t>
      </w:r>
      <w:r>
        <w:rPr>
          <w:snapToGrid w:val="0"/>
        </w:rPr>
        <w:tab/>
        <w:t>the liabilities of the Authority immediately before that day become, by force of this clause, the liabilities of the Council;</w:t>
      </w:r>
    </w:p>
    <w:p>
      <w:pPr>
        <w:pStyle w:val="yIndenta"/>
        <w:rPr>
          <w:snapToGrid w:val="0"/>
        </w:rPr>
      </w:pPr>
      <w:r>
        <w:rPr>
          <w:snapToGrid w:val="0"/>
        </w:rPr>
        <w:tab/>
        <w:t>(c)</w:t>
      </w:r>
      <w:r>
        <w:rPr>
          <w:snapToGrid w:val="0"/>
        </w:rPr>
        <w:tab/>
        <w:t>any proceedings or remedy that immediately before that day might have been brought or continued by or available against or to the Authority, may be brought or continued and are available, by or against or to the Council; and</w:t>
      </w:r>
    </w:p>
    <w:p>
      <w:pPr>
        <w:pStyle w:val="yIndenta"/>
        <w:rPr>
          <w:snapToGrid w:val="0"/>
        </w:rPr>
      </w:pPr>
      <w:r>
        <w:rPr>
          <w:snapToGrid w:val="0"/>
        </w:rPr>
        <w:tab/>
        <w:t>(d)</w:t>
      </w:r>
      <w:r>
        <w:rPr>
          <w:snapToGrid w:val="0"/>
        </w:rPr>
        <w:tab/>
        <w:t>the Authority is to deliver to the Council all papers, documents, minutes, books of account and other records (however compiled, recorded or stored) relating to its operations.</w:t>
      </w:r>
    </w:p>
    <w:p>
      <w:pPr>
        <w:pStyle w:val="yHeading5"/>
        <w:outlineLvl w:val="9"/>
      </w:pPr>
      <w:bookmarkStart w:id="409" w:name="_Toc17002481"/>
      <w:bookmarkStart w:id="410" w:name="_Toc123645557"/>
      <w:bookmarkStart w:id="411" w:name="_Toc274207189"/>
      <w:r>
        <w:rPr>
          <w:rStyle w:val="CharSClsNo"/>
        </w:rPr>
        <w:t>5</w:t>
      </w:r>
      <w:r>
        <w:t>.</w:t>
      </w:r>
      <w:r>
        <w:tab/>
        <w:t>Transition to staff of Council</w:t>
      </w:r>
      <w:bookmarkEnd w:id="409"/>
      <w:bookmarkEnd w:id="410"/>
      <w:bookmarkEnd w:id="411"/>
      <w:r>
        <w:t xml:space="preserve"> </w:t>
      </w:r>
    </w:p>
    <w:p>
      <w:pPr>
        <w:pStyle w:val="ySubsection"/>
        <w:rPr>
          <w:snapToGrid w:val="0"/>
        </w:rPr>
      </w:pPr>
      <w:r>
        <w:rPr>
          <w:snapToGrid w:val="0"/>
        </w:rPr>
        <w:tab/>
        <w:t>(1)</w:t>
      </w:r>
      <w:r>
        <w:rPr>
          <w:snapToGrid w:val="0"/>
        </w:rPr>
        <w:tab/>
        <w:t>All persons who were employed by the Authority under section 17(1) of the repealed Act immediately before the commencement day are to be taken to be employed by the Council under section 21(2).</w:t>
      </w:r>
    </w:p>
    <w:p>
      <w:pPr>
        <w:pStyle w:val="ySubsection"/>
        <w:rPr>
          <w:snapToGrid w:val="0"/>
        </w:rPr>
      </w:pPr>
      <w:r>
        <w:rPr>
          <w:snapToGrid w:val="0"/>
        </w:rPr>
        <w:tab/>
        <w:t>(2)</w:t>
      </w:r>
      <w:r>
        <w:rPr>
          <w:snapToGrid w:val="0"/>
        </w:rPr>
        <w:tab/>
        <w:t xml:space="preserve">All persons who were engaged under contracts for services by the Authority under section 17(4) of the repealed Act are taken to be engaged under contracts for services by the Council under section 100 of the </w:t>
      </w:r>
      <w:r>
        <w:rPr>
          <w:i/>
          <w:snapToGrid w:val="0"/>
        </w:rPr>
        <w:t>Public Sector Management Act 1994</w:t>
      </w:r>
      <w:r>
        <w:rPr>
          <w:snapToGrid w:val="0"/>
        </w:rPr>
        <w:t>.</w:t>
      </w:r>
    </w:p>
    <w:p>
      <w:pPr>
        <w:pStyle w:val="ySubsection"/>
        <w:rPr>
          <w:snapToGrid w:val="0"/>
        </w:rPr>
      </w:pPr>
      <w:r>
        <w:rPr>
          <w:snapToGrid w:val="0"/>
        </w:rPr>
        <w:tab/>
        <w:t>(3)</w:t>
      </w:r>
      <w:r>
        <w:rPr>
          <w:snapToGrid w:val="0"/>
        </w:rPr>
        <w:tab/>
        <w:t>Nothing in this clause prevents the exercise by the Council after the commencement day of its powers in relation to the management of the members of staff of the Council.</w:t>
      </w:r>
    </w:p>
    <w:p>
      <w:pPr>
        <w:pStyle w:val="ySubsection"/>
        <w:rPr>
          <w:snapToGrid w:val="0"/>
        </w:rPr>
      </w:pPr>
      <w:r>
        <w:rPr>
          <w:snapToGrid w:val="0"/>
        </w:rPr>
        <w:tab/>
        <w:t>(4)</w:t>
      </w:r>
      <w:r>
        <w:rPr>
          <w:snapToGrid w:val="0"/>
        </w:rPr>
        <w:tab/>
        <w:t>This clause does not apply to the Director and Deputy Director of the Authority.</w:t>
      </w:r>
    </w:p>
    <w:p>
      <w:pPr>
        <w:pStyle w:val="yHeading5"/>
        <w:outlineLvl w:val="9"/>
      </w:pPr>
      <w:bookmarkStart w:id="412" w:name="_Toc17002482"/>
      <w:bookmarkStart w:id="413" w:name="_Toc123645558"/>
      <w:bookmarkStart w:id="414" w:name="_Toc274207190"/>
      <w:r>
        <w:rPr>
          <w:rStyle w:val="CharSClsNo"/>
        </w:rPr>
        <w:t>6</w:t>
      </w:r>
      <w:r>
        <w:t>.</w:t>
      </w:r>
      <w:r>
        <w:tab/>
        <w:t>Employees’ rights preserved</w:t>
      </w:r>
      <w:bookmarkEnd w:id="412"/>
      <w:bookmarkEnd w:id="413"/>
      <w:bookmarkEnd w:id="414"/>
      <w:r>
        <w:t xml:space="preserve"> </w:t>
      </w:r>
    </w:p>
    <w:p>
      <w:pPr>
        <w:pStyle w:val="ySubsection"/>
        <w:rPr>
          <w:snapToGrid w:val="0"/>
        </w:rPr>
      </w:pPr>
      <w:r>
        <w:rPr>
          <w:snapToGrid w:val="0"/>
        </w:rPr>
        <w:tab/>
      </w:r>
      <w:r>
        <w:rPr>
          <w:snapToGrid w:val="0"/>
        </w:rPr>
        <w:tab/>
        <w:t>Except as otherwise agreed by an employee, the operation of clause 5 does not — </w:t>
      </w:r>
    </w:p>
    <w:p>
      <w:pPr>
        <w:pStyle w:val="yIndenta"/>
        <w:rPr>
          <w:snapToGrid w:val="0"/>
        </w:rPr>
      </w:pPr>
      <w:r>
        <w:rPr>
          <w:snapToGrid w:val="0"/>
        </w:rPr>
        <w:tab/>
        <w:t>(a)</w:t>
      </w:r>
      <w:r>
        <w:rPr>
          <w:snapToGrid w:val="0"/>
        </w:rPr>
        <w:tab/>
        <w:t xml:space="preserve">affect the employee’s pay, as that term is defined by regulation 3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employee’s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pPr>
      <w:bookmarkStart w:id="415" w:name="_Toc17002483"/>
      <w:bookmarkStart w:id="416" w:name="_Toc123645559"/>
      <w:bookmarkStart w:id="417" w:name="_Toc274207191"/>
      <w:r>
        <w:rPr>
          <w:rStyle w:val="CharSClsNo"/>
        </w:rPr>
        <w:t>7</w:t>
      </w:r>
      <w:r>
        <w:t>.</w:t>
      </w:r>
      <w:r>
        <w:tab/>
        <w:t>Funds</w:t>
      </w:r>
      <w:bookmarkEnd w:id="415"/>
      <w:bookmarkEnd w:id="416"/>
      <w:bookmarkEnd w:id="417"/>
      <w:r>
        <w:t xml:space="preserve"> </w:t>
      </w:r>
    </w:p>
    <w:p>
      <w:pPr>
        <w:pStyle w:val="ySubsection"/>
        <w:rPr>
          <w:snapToGrid w:val="0"/>
        </w:rPr>
      </w:pPr>
      <w:r>
        <w:rPr>
          <w:snapToGrid w:val="0"/>
        </w:rPr>
        <w:tab/>
      </w:r>
      <w:r>
        <w:rPr>
          <w:snapToGrid w:val="0"/>
        </w:rPr>
        <w:tab/>
        <w:t>On the commencement day the fund under section 21(2) of the repealed Act is to be closed and the moneys placed to the credit of the Account referred to in section 24 of this Act.</w:t>
      </w:r>
    </w:p>
    <w:p>
      <w:pPr>
        <w:pStyle w:val="yHeading5"/>
        <w:outlineLvl w:val="9"/>
      </w:pPr>
      <w:bookmarkStart w:id="418" w:name="_Toc17002484"/>
      <w:bookmarkStart w:id="419" w:name="_Toc123645560"/>
      <w:bookmarkStart w:id="420" w:name="_Toc274207192"/>
      <w:r>
        <w:rPr>
          <w:rStyle w:val="CharSClsNo"/>
        </w:rPr>
        <w:t>8</w:t>
      </w:r>
      <w:r>
        <w:t>.</w:t>
      </w:r>
      <w:r>
        <w:tab/>
        <w:t>Annual report for part of a year</w:t>
      </w:r>
      <w:bookmarkEnd w:id="418"/>
      <w:bookmarkEnd w:id="419"/>
      <w:bookmarkEnd w:id="420"/>
      <w:r>
        <w:t xml:space="preserve"> </w:t>
      </w:r>
    </w:p>
    <w:p>
      <w:pPr>
        <w:pStyle w:val="ySubsection"/>
        <w:rPr>
          <w:snapToGrid w:val="0"/>
        </w:rPr>
      </w:pPr>
      <w:r>
        <w:rPr>
          <w:snapToGrid w:val="0"/>
        </w:rPr>
        <w:tab/>
        <w:t>(1)</w:t>
      </w:r>
      <w:r>
        <w:rPr>
          <w:snapToGrid w:val="0"/>
        </w:rPr>
        <w:tab/>
        <w:t xml:space="preserve">The accountable authority, as defined in the </w:t>
      </w:r>
      <w:r>
        <w:rPr>
          <w:i/>
          <w:snapToGrid w:val="0"/>
        </w:rPr>
        <w:t>Financial Administration and Audit Act 1985</w:t>
      </w:r>
      <w:r>
        <w:rPr>
          <w:snapToGrid w:val="0"/>
        </w:rPr>
        <w:t>, of the Authority is to report in respect of the Authority as required by section 66 of that Act, but limited to the period from the preceding 1 July to the commencement day, and Division 14 of Part II of that Act applies as if that period were a full financial year.</w:t>
      </w:r>
    </w:p>
    <w:p>
      <w:pPr>
        <w:pStyle w:val="ySubsection"/>
        <w:rPr>
          <w:snapToGrid w:val="0"/>
        </w:rPr>
      </w:pPr>
      <w:r>
        <w:rPr>
          <w:snapToGrid w:val="0"/>
        </w:rPr>
        <w:tab/>
        <w:t>(2)</w:t>
      </w:r>
      <w:r>
        <w:rPr>
          <w:snapToGrid w:val="0"/>
        </w:rPr>
        <w:tab/>
        <w:t xml:space="preserve">Despite the repeal effected by section 34(1), the accountable authority continues in existence for the purpose of reporting as required by this clause. </w:t>
      </w:r>
    </w:p>
    <w:p>
      <w:pPr>
        <w:pStyle w:val="ySubsection"/>
        <w:rPr>
          <w:snapToGrid w:val="0"/>
        </w:rPr>
      </w:pPr>
      <w:r>
        <w:rPr>
          <w:snapToGrid w:val="0"/>
        </w:rPr>
        <w:tab/>
        <w:t>(3)</w:t>
      </w:r>
      <w:r>
        <w:rPr>
          <w:snapToGrid w:val="0"/>
        </w:rPr>
        <w:tab/>
        <w:t>Despite clause 3, on the commencement day, for the purposes of this clause the Authority is to — </w:t>
      </w:r>
    </w:p>
    <w:p>
      <w:pPr>
        <w:pStyle w:val="yIndenta"/>
        <w:rPr>
          <w:snapToGrid w:val="0"/>
        </w:rPr>
      </w:pPr>
      <w:r>
        <w:rPr>
          <w:snapToGrid w:val="0"/>
        </w:rPr>
        <w:tab/>
        <w:t>(a)</w:t>
      </w:r>
      <w:r>
        <w:rPr>
          <w:snapToGrid w:val="0"/>
        </w:rPr>
        <w:tab/>
        <w:t>be constituted by a person appointed by the Minister; and</w:t>
      </w:r>
    </w:p>
    <w:p>
      <w:pPr>
        <w:pStyle w:val="yIndenta"/>
        <w:rPr>
          <w:snapToGrid w:val="0"/>
        </w:rPr>
      </w:pPr>
      <w:r>
        <w:rPr>
          <w:snapToGrid w:val="0"/>
        </w:rPr>
        <w:tab/>
        <w:t>(b)</w:t>
      </w:r>
      <w:r>
        <w:rPr>
          <w:snapToGrid w:val="0"/>
        </w:rPr>
        <w:tab/>
        <w:t>perform the functions referred to in subclause (1) through that person.</w:t>
      </w:r>
    </w:p>
    <w:p>
      <w:pPr>
        <w:pStyle w:val="ySubsection"/>
        <w:rPr>
          <w:snapToGrid w:val="0"/>
        </w:rPr>
      </w:pPr>
      <w:r>
        <w:rPr>
          <w:snapToGrid w:val="0"/>
        </w:rPr>
        <w:tab/>
        <w:t>(4)</w:t>
      </w:r>
      <w:r>
        <w:rPr>
          <w:snapToGrid w:val="0"/>
        </w:rPr>
        <w:tab/>
        <w:t>The person referred to in subclause (3)(a) holds office at the pleasure of the Minister and on such terms and conditions as the Minister determines.</w:t>
      </w:r>
    </w:p>
    <w:p>
      <w:pPr>
        <w:pStyle w:val="ySubsection"/>
        <w:rPr>
          <w:snapToGrid w:val="0"/>
        </w:rPr>
      </w:pPr>
      <w:r>
        <w:rPr>
          <w:snapToGrid w:val="0"/>
        </w:rPr>
        <w:tab/>
        <w:t>(5)</w:t>
      </w:r>
      <w:r>
        <w:rPr>
          <w:snapToGrid w:val="0"/>
        </w:rPr>
        <w:tab/>
        <w:t>The Authority as constituted under this clause has the powers that are necessary or convenient for the purposes of subclause (1).</w:t>
      </w:r>
    </w:p>
    <w:p>
      <w:pPr>
        <w:pStyle w:val="ySubsection"/>
        <w:rPr>
          <w:snapToGrid w:val="0"/>
        </w:rPr>
      </w:pPr>
      <w:r>
        <w:rPr>
          <w:snapToGrid w:val="0"/>
        </w:rPr>
        <w:tab/>
        <w:t>(6)</w:t>
      </w:r>
      <w:r>
        <w:rPr>
          <w:snapToGrid w:val="0"/>
        </w:rPr>
        <w:tab/>
        <w:t>The Council is to provide the clerical or other assistance that the Authority reasonably requires for the purposes of subclause (1).</w:t>
      </w:r>
    </w:p>
    <w:p>
      <w:pPr>
        <w:pStyle w:val="yHeading5"/>
        <w:outlineLvl w:val="9"/>
      </w:pPr>
      <w:bookmarkStart w:id="421" w:name="_Toc17002485"/>
      <w:bookmarkStart w:id="422" w:name="_Toc123645561"/>
      <w:bookmarkStart w:id="423" w:name="_Toc274207193"/>
      <w:r>
        <w:rPr>
          <w:rStyle w:val="CharSClsNo"/>
        </w:rPr>
        <w:t>9</w:t>
      </w:r>
      <w:r>
        <w:t>.</w:t>
      </w:r>
      <w:r>
        <w:tab/>
        <w:t>Completion of things commenced</w:t>
      </w:r>
      <w:bookmarkEnd w:id="421"/>
      <w:bookmarkEnd w:id="422"/>
      <w:bookmarkEnd w:id="423"/>
      <w:r>
        <w:t xml:space="preserve"> </w:t>
      </w:r>
    </w:p>
    <w:p>
      <w:pPr>
        <w:pStyle w:val="ySubsection"/>
        <w:rPr>
          <w:snapToGrid w:val="0"/>
        </w:rPr>
      </w:pPr>
      <w:r>
        <w:rPr>
          <w:snapToGrid w:val="0"/>
        </w:rPr>
        <w:tab/>
      </w:r>
      <w:r>
        <w:rPr>
          <w:snapToGrid w:val="0"/>
        </w:rPr>
        <w:tab/>
        <w:t>Anything commenced to be done by the Authority under the repealed Act before the commencement day may be continued by the Council so far as the doing of that thing is within the functions of the Council after the commencement day.</w:t>
      </w:r>
    </w:p>
    <w:p>
      <w:pPr>
        <w:pStyle w:val="yHeading5"/>
        <w:outlineLvl w:val="9"/>
      </w:pPr>
      <w:bookmarkStart w:id="424" w:name="_Toc17002486"/>
      <w:bookmarkStart w:id="425" w:name="_Toc123645562"/>
      <w:bookmarkStart w:id="426" w:name="_Toc274207194"/>
      <w:r>
        <w:rPr>
          <w:rStyle w:val="CharSClsNo"/>
        </w:rPr>
        <w:t>10</w:t>
      </w:r>
      <w:r>
        <w:t>.</w:t>
      </w:r>
      <w:r>
        <w:tab/>
        <w:t>Continuing effect of things done</w:t>
      </w:r>
      <w:bookmarkEnd w:id="424"/>
      <w:bookmarkEnd w:id="425"/>
      <w:bookmarkEnd w:id="426"/>
      <w:r>
        <w:t xml:space="preserve"> </w:t>
      </w:r>
    </w:p>
    <w:p>
      <w:pPr>
        <w:pStyle w:val="ySubsection"/>
        <w:rPr>
          <w:snapToGrid w:val="0"/>
        </w:rPr>
      </w:pPr>
      <w:r>
        <w:rPr>
          <w:snapToGrid w:val="0"/>
        </w:rPr>
        <w:tab/>
        <w:t>(1)</w:t>
      </w:r>
      <w:r>
        <w:rPr>
          <w:snapToGrid w:val="0"/>
        </w:rPr>
        <w:tab/>
        <w:t>Any act, matter or thing done or omitted to be done before the commencement day by, to or in respect of the Authority, to the extent that that act, matter or thing has any force or significance after that day is to be taken to have been done or omitted, by, to or in respect of the Council.</w:t>
      </w:r>
    </w:p>
    <w:p>
      <w:pPr>
        <w:pStyle w:val="ySubsection"/>
        <w:rPr>
          <w:snapToGrid w:val="0"/>
        </w:rPr>
      </w:pPr>
      <w:r>
        <w:rPr>
          <w:snapToGrid w:val="0"/>
        </w:rPr>
        <w:tab/>
        <w:t>(2)</w:t>
      </w:r>
      <w:r>
        <w:rPr>
          <w:snapToGrid w:val="0"/>
        </w:rPr>
        <w:tab/>
        <w:t>Without limiting the generality of subclause (1) — </w:t>
      </w:r>
    </w:p>
    <w:p>
      <w:pPr>
        <w:pStyle w:val="yIndenta"/>
        <w:rPr>
          <w:snapToGrid w:val="0"/>
        </w:rPr>
      </w:pPr>
      <w:r>
        <w:rPr>
          <w:snapToGrid w:val="0"/>
        </w:rPr>
        <w:tab/>
        <w:t>(a)</w:t>
      </w:r>
      <w:r>
        <w:rPr>
          <w:snapToGrid w:val="0"/>
        </w:rPr>
        <w:tab/>
        <w:t>any guidelines prepared;</w:t>
      </w:r>
    </w:p>
    <w:p>
      <w:pPr>
        <w:pStyle w:val="yIndenta"/>
        <w:rPr>
          <w:snapToGrid w:val="0"/>
        </w:rPr>
      </w:pPr>
      <w:r>
        <w:rPr>
          <w:snapToGrid w:val="0"/>
        </w:rPr>
        <w:tab/>
        <w:t>(b)</w:t>
      </w:r>
      <w:r>
        <w:rPr>
          <w:snapToGrid w:val="0"/>
        </w:rPr>
        <w:tab/>
        <w:t>any course of study prepared, approved or accredited;</w:t>
      </w:r>
    </w:p>
    <w:p>
      <w:pPr>
        <w:pStyle w:val="yIndenta"/>
        <w:rPr>
          <w:snapToGrid w:val="0"/>
        </w:rPr>
      </w:pPr>
      <w:r>
        <w:rPr>
          <w:snapToGrid w:val="0"/>
        </w:rPr>
        <w:tab/>
        <w:t>(c)</w:t>
      </w:r>
      <w:r>
        <w:rPr>
          <w:snapToGrid w:val="0"/>
        </w:rPr>
        <w:tab/>
        <w:t>any criteria established for awards and prizes;</w:t>
      </w:r>
    </w:p>
    <w:p>
      <w:pPr>
        <w:pStyle w:val="yIndenta"/>
        <w:rPr>
          <w:snapToGrid w:val="0"/>
        </w:rPr>
      </w:pPr>
      <w:r>
        <w:rPr>
          <w:snapToGrid w:val="0"/>
        </w:rPr>
        <w:tab/>
        <w:t>(d)</w:t>
      </w:r>
      <w:r>
        <w:rPr>
          <w:snapToGrid w:val="0"/>
        </w:rPr>
        <w:tab/>
        <w:t>the minimum requirements for graduation from a secondary school established;</w:t>
      </w:r>
    </w:p>
    <w:p>
      <w:pPr>
        <w:pStyle w:val="yIndenta"/>
        <w:rPr>
          <w:snapToGrid w:val="0"/>
        </w:rPr>
      </w:pPr>
      <w:r>
        <w:rPr>
          <w:snapToGrid w:val="0"/>
        </w:rPr>
        <w:tab/>
        <w:t>(e)</w:t>
      </w:r>
      <w:r>
        <w:rPr>
          <w:snapToGrid w:val="0"/>
        </w:rPr>
        <w:tab/>
        <w:t>the register of subjects established; and</w:t>
      </w:r>
    </w:p>
    <w:p>
      <w:pPr>
        <w:pStyle w:val="yIndenta"/>
        <w:rPr>
          <w:snapToGrid w:val="0"/>
        </w:rPr>
      </w:pPr>
      <w:r>
        <w:rPr>
          <w:snapToGrid w:val="0"/>
        </w:rPr>
        <w:tab/>
        <w:t>(f)</w:t>
      </w:r>
      <w:r>
        <w:rPr>
          <w:snapToGrid w:val="0"/>
        </w:rPr>
        <w:tab/>
        <w:t>the procedures for ensuring comparability of student performance established,</w:t>
      </w:r>
    </w:p>
    <w:p>
      <w:pPr>
        <w:pStyle w:val="ySubsection"/>
        <w:rPr>
          <w:snapToGrid w:val="0"/>
        </w:rPr>
      </w:pPr>
      <w:r>
        <w:rPr>
          <w:snapToGrid w:val="0"/>
        </w:rPr>
        <w:tab/>
      </w:r>
      <w:r>
        <w:rPr>
          <w:snapToGrid w:val="0"/>
        </w:rPr>
        <w:tab/>
        <w:t>by the Authority under the repealed Act are, subject to any determination made by the Council, to have effect as though prepared, approved, accredited or established by the Council under this Act.</w:t>
      </w:r>
    </w:p>
    <w:p>
      <w:pPr>
        <w:pStyle w:val="yHeading5"/>
        <w:outlineLvl w:val="9"/>
      </w:pPr>
      <w:bookmarkStart w:id="427" w:name="_Toc17002487"/>
      <w:bookmarkStart w:id="428" w:name="_Toc123645563"/>
      <w:bookmarkStart w:id="429" w:name="_Toc274207195"/>
      <w:r>
        <w:rPr>
          <w:rStyle w:val="CharSClsNo"/>
        </w:rPr>
        <w:t>11</w:t>
      </w:r>
      <w:r>
        <w:t>.</w:t>
      </w:r>
      <w:r>
        <w:tab/>
        <w:t>Immunity to continue</w:t>
      </w:r>
      <w:bookmarkEnd w:id="427"/>
      <w:bookmarkEnd w:id="428"/>
      <w:bookmarkEnd w:id="429"/>
      <w:r>
        <w:t xml:space="preserve"> </w:t>
      </w:r>
    </w:p>
    <w:p>
      <w:pPr>
        <w:pStyle w:val="ySubsection"/>
        <w:rPr>
          <w:snapToGrid w:val="0"/>
        </w:rPr>
      </w:pPr>
      <w:r>
        <w:rPr>
          <w:snapToGrid w:val="0"/>
        </w:rPr>
        <w:tab/>
      </w:r>
      <w:r>
        <w:rPr>
          <w:snapToGrid w:val="0"/>
        </w:rPr>
        <w:tab/>
        <w:t>Despite the repeal effected by section 34(1), where the Authority had the benefit of any immunity in respect of an act, matter or thing done or omitted before the commencement day, that immunity continues in that respect for the benefit of the Council.</w:t>
      </w:r>
    </w:p>
    <w:p>
      <w:pPr>
        <w:pStyle w:val="yHeading5"/>
        <w:outlineLvl w:val="9"/>
      </w:pPr>
      <w:bookmarkStart w:id="430" w:name="_Toc17002488"/>
      <w:bookmarkStart w:id="431" w:name="_Toc123645564"/>
      <w:bookmarkStart w:id="432" w:name="_Toc274207196"/>
      <w:r>
        <w:rPr>
          <w:rStyle w:val="CharSClsNo"/>
        </w:rPr>
        <w:t>12</w:t>
      </w:r>
      <w:r>
        <w:t>.</w:t>
      </w:r>
      <w:r>
        <w:tab/>
        <w:t>Agreements and instruments generally</w:t>
      </w:r>
      <w:bookmarkEnd w:id="430"/>
      <w:bookmarkEnd w:id="431"/>
      <w:bookmarkEnd w:id="432"/>
      <w:r>
        <w:t xml:space="preserve"> </w:t>
      </w:r>
    </w:p>
    <w:p>
      <w:pPr>
        <w:pStyle w:val="ySubsection"/>
        <w:rPr>
          <w:snapToGrid w:val="0"/>
        </w:rPr>
      </w:pPr>
      <w:r>
        <w:rPr>
          <w:snapToGrid w:val="0"/>
        </w:rPr>
        <w:tab/>
      </w:r>
      <w:r>
        <w:rPr>
          <w:snapToGrid w:val="0"/>
        </w:rPr>
        <w:tab/>
        <w:t>Any agreement or instrument subsisting immediately before the commencement day — </w:t>
      </w:r>
    </w:p>
    <w:p>
      <w:pPr>
        <w:pStyle w:val="yIndenta"/>
        <w:rPr>
          <w:snapToGrid w:val="0"/>
        </w:rPr>
      </w:pPr>
      <w:r>
        <w:rPr>
          <w:snapToGrid w:val="0"/>
        </w:rPr>
        <w:tab/>
        <w:t>(a)</w:t>
      </w:r>
      <w:r>
        <w:rPr>
          <w:snapToGrid w:val="0"/>
        </w:rPr>
        <w:tab/>
        <w:t>to which the Authority was a party; or</w:t>
      </w:r>
    </w:p>
    <w:p>
      <w:pPr>
        <w:pStyle w:val="yIndenta"/>
        <w:rPr>
          <w:snapToGrid w:val="0"/>
        </w:rPr>
      </w:pPr>
      <w:r>
        <w:rPr>
          <w:snapToGrid w:val="0"/>
        </w:rPr>
        <w:tab/>
        <w:t>(b)</w:t>
      </w:r>
      <w:r>
        <w:rPr>
          <w:snapToGrid w:val="0"/>
        </w:rPr>
        <w:tab/>
        <w:t>which contains a reference to the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Council were substituted for the Authority as a party to the agreement or instrument; and</w:t>
      </w:r>
    </w:p>
    <w:p>
      <w:pPr>
        <w:pStyle w:val="yIndenta"/>
        <w:rPr>
          <w:snapToGrid w:val="0"/>
        </w:rPr>
      </w:pPr>
      <w:r>
        <w:rPr>
          <w:snapToGrid w:val="0"/>
        </w:rPr>
        <w:tab/>
        <w:t>(d)</w:t>
      </w:r>
      <w:r>
        <w:rPr>
          <w:snapToGrid w:val="0"/>
        </w:rPr>
        <w:tab/>
        <w:t>any reference in the agreement or instrument to the Authority were (unless the context otherwise requires) amended to be or include a reference to the Council.</w:t>
      </w:r>
    </w:p>
    <w:p>
      <w:pPr>
        <w:pStyle w:val="yHeading5"/>
        <w:outlineLvl w:val="9"/>
      </w:pPr>
      <w:bookmarkStart w:id="433" w:name="_Toc17002489"/>
      <w:bookmarkStart w:id="434" w:name="_Toc123645565"/>
      <w:bookmarkStart w:id="435" w:name="_Toc274207197"/>
      <w:r>
        <w:rPr>
          <w:rStyle w:val="CharSClsNo"/>
        </w:rPr>
        <w:t>13</w:t>
      </w:r>
      <w:r>
        <w:t>.</w:t>
      </w:r>
      <w:r>
        <w:tab/>
        <w:t>Further transitional provision may be made</w:t>
      </w:r>
      <w:bookmarkEnd w:id="433"/>
      <w:bookmarkEnd w:id="434"/>
      <w:bookmarkEnd w:id="435"/>
      <w: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Authority to the Council the Minister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An order under this clause may be made so as to have effect from the commencement day.</w:t>
      </w:r>
    </w:p>
    <w:p>
      <w:pPr>
        <w:pStyle w:val="ySubsection"/>
        <w:rPr>
          <w:snapToGrid w:val="0"/>
        </w:rPr>
      </w:pPr>
      <w:r>
        <w:rPr>
          <w:snapToGrid w:val="0"/>
        </w:rPr>
        <w:tab/>
        <w:t>(3)</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(other than the State, the Council or any authority of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the Council or any authority of the State), in respect of anything done or omitted to be done before the day of publication.</w:t>
      </w:r>
    </w:p>
    <w:p>
      <w:pPr>
        <w:pStyle w:val="yHeading5"/>
        <w:outlineLvl w:val="9"/>
      </w:pPr>
      <w:bookmarkStart w:id="436" w:name="_Toc17002490"/>
      <w:bookmarkStart w:id="437" w:name="_Toc123645566"/>
      <w:bookmarkStart w:id="438" w:name="_Toc274207198"/>
      <w:r>
        <w:rPr>
          <w:rStyle w:val="CharSClsNo"/>
        </w:rPr>
        <w:t>14</w:t>
      </w:r>
      <w:r>
        <w:t>.</w:t>
      </w:r>
      <w:r>
        <w:tab/>
        <w:t>Exemption from State tax</w:t>
      </w:r>
      <w:bookmarkEnd w:id="436"/>
      <w:bookmarkEnd w:id="437"/>
      <w:bookmarkEnd w:id="438"/>
      <w: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439" w:name="_Toc17002491"/>
      <w:bookmarkStart w:id="440" w:name="_Toc123645567"/>
      <w:bookmarkStart w:id="441" w:name="_Toc274207199"/>
      <w:r>
        <w:rPr>
          <w:rStyle w:val="CharSClsNo"/>
        </w:rPr>
        <w:t>15</w:t>
      </w:r>
      <w:r>
        <w:t>.</w:t>
      </w:r>
      <w:r>
        <w:tab/>
        <w:t>Registration of documents</w:t>
      </w:r>
      <w:bookmarkEnd w:id="439"/>
      <w:bookmarkEnd w:id="440"/>
      <w:bookmarkEnd w:id="441"/>
      <w:r>
        <w:t xml:space="preserve"> </w:t>
      </w:r>
    </w:p>
    <w:p>
      <w:pPr>
        <w:pStyle w:val="ySubsection"/>
        <w:rPr>
          <w:snapToGrid w:val="0"/>
        </w:rPr>
      </w:pPr>
      <w:r>
        <w:rPr>
          <w:snapToGrid w:val="0"/>
        </w:rPr>
        <w:tab/>
      </w:r>
      <w:r>
        <w:rPr>
          <w:snapToGrid w:val="0"/>
        </w:rP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442" w:name="_Toc17002492"/>
      <w:bookmarkStart w:id="443" w:name="_Toc123645568"/>
      <w:bookmarkStart w:id="444" w:name="_Toc274207200"/>
      <w:r>
        <w:rPr>
          <w:rStyle w:val="CharSClsNo"/>
        </w:rPr>
        <w:t>16</w:t>
      </w:r>
      <w:r>
        <w:t>.</w:t>
      </w:r>
      <w:r>
        <w:tab/>
        <w:t>Saving</w:t>
      </w:r>
      <w:bookmarkEnd w:id="442"/>
      <w:bookmarkEnd w:id="443"/>
      <w:bookmarkEnd w:id="444"/>
      <w:r>
        <w:t xml:space="preserve"> </w:t>
      </w:r>
    </w:p>
    <w:p>
      <w:pPr>
        <w:pStyle w:val="ySubsection"/>
        <w:rPr>
          <w:snapToGrid w:val="0"/>
        </w:rPr>
      </w:pPr>
      <w:r>
        <w:rPr>
          <w:snapToGrid w:val="0"/>
        </w:rPr>
        <w:tab/>
      </w:r>
      <w:r>
        <w:rPr>
          <w:snapToGrid w:val="0"/>
        </w:rPr>
        <w:tab/>
        <w:t>The operation of any provision of this Schedule is not to be regarded — </w:t>
      </w:r>
    </w:p>
    <w:p>
      <w:pPr>
        <w:pStyle w:val="yIndenta"/>
        <w:rPr>
          <w:snapToGrid w:val="0"/>
        </w:rPr>
      </w:pPr>
      <w:r>
        <w:rPr>
          <w:snapToGrid w:val="0"/>
        </w:rPr>
        <w:tab/>
        <w:t>(a)</w:t>
      </w:r>
      <w:r>
        <w:rPr>
          <w:snapToGrid w:val="0"/>
        </w:rPr>
        <w:tab/>
        <w:t>as a breach of contract or confidence or otherwise as a civil wrong;</w:t>
      </w:r>
    </w:p>
    <w:p>
      <w:pPr>
        <w:pStyle w:val="y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y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yIndenta"/>
        <w:rPr>
          <w:snapToGrid w:val="0"/>
        </w:rPr>
      </w:pPr>
      <w:r>
        <w:rPr>
          <w:snapToGrid w:val="0"/>
        </w:rPr>
        <w:tab/>
        <w:t>(d)</w:t>
      </w:r>
      <w:r>
        <w:rPr>
          <w:snapToGrid w:val="0"/>
        </w:rPr>
        <w:tab/>
        <w:t>as causing any contract or instrument to be void or otherwise unenforceable; or</w:t>
      </w:r>
    </w:p>
    <w:p>
      <w:pPr>
        <w:pStyle w:val="yIndenta"/>
        <w:rPr>
          <w:snapToGrid w:val="0"/>
        </w:rPr>
      </w:pPr>
      <w:r>
        <w:rPr>
          <w:snapToGrid w:val="0"/>
        </w:rPr>
        <w:tab/>
        <w:t>(e)</w:t>
      </w:r>
      <w:r>
        <w:rPr>
          <w:snapToGrid w:val="0"/>
        </w:rPr>
        <w:tab/>
        <w:t>as releasing or allowing the release of any surety.</w:t>
      </w:r>
    </w:p>
    <w:p>
      <w:pPr>
        <w:pStyle w:val="yEdnoteschedule"/>
      </w:pPr>
      <w:r>
        <w:t>[Schedule 3 omitted under the Reprints Act 1984 s. 7(4)(e).]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45" w:name="_Toc72573593"/>
      <w:bookmarkStart w:id="446" w:name="_Toc120341452"/>
      <w:bookmarkStart w:id="447" w:name="_Toc120355825"/>
      <w:bookmarkStart w:id="448" w:name="_Toc123645569"/>
      <w:bookmarkStart w:id="449" w:name="_Toc123645670"/>
      <w:bookmarkStart w:id="450" w:name="_Toc124139539"/>
      <w:bookmarkStart w:id="451" w:name="_Toc157845918"/>
      <w:bookmarkStart w:id="452" w:name="_Toc161720625"/>
      <w:bookmarkStart w:id="453" w:name="_Toc161723077"/>
      <w:bookmarkStart w:id="454" w:name="_Toc163957045"/>
      <w:bookmarkStart w:id="455" w:name="_Toc163965035"/>
      <w:bookmarkStart w:id="456" w:name="_Toc165698477"/>
      <w:bookmarkStart w:id="457" w:name="_Toc232394853"/>
      <w:bookmarkStart w:id="458" w:name="_Toc268269185"/>
      <w:bookmarkStart w:id="459" w:name="_Toc272057756"/>
      <w:bookmarkStart w:id="460" w:name="_Toc274207201"/>
      <w:r>
        <w:t>Notes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nSubsection"/>
        <w:rPr>
          <w:snapToGrid w:val="0"/>
        </w:rPr>
      </w:pPr>
      <w:r>
        <w:rPr>
          <w:snapToGrid w:val="0"/>
          <w:vertAlign w:val="superscript"/>
        </w:rPr>
        <w:t>1</w:t>
      </w:r>
      <w:r>
        <w:rPr>
          <w:snapToGrid w:val="0"/>
        </w:rPr>
        <w:tab/>
        <w:t xml:space="preserve">This is a compilation of the </w:t>
      </w:r>
      <w:r>
        <w:rPr>
          <w:i/>
          <w:noProof/>
          <w:snapToGrid w:val="0"/>
        </w:rPr>
        <w:t>Curriculum Council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61" w:name="_Toc274207202"/>
      <w:r>
        <w:rPr>
          <w:snapToGrid w:val="0"/>
        </w:rPr>
        <w:t>Compilation table</w:t>
      </w:r>
      <w:bookmarkEnd w:id="46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7"/>
      </w:tblGrid>
      <w:tr>
        <w:trPr>
          <w:tblHeader/>
        </w:trPr>
        <w:tc>
          <w:tcPr>
            <w:tcW w:w="2274"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4" w:type="dxa"/>
          </w:tcPr>
          <w:p>
            <w:pPr>
              <w:pStyle w:val="nTable"/>
              <w:spacing w:after="40"/>
              <w:rPr>
                <w:sz w:val="19"/>
              </w:rPr>
            </w:pPr>
            <w:r>
              <w:rPr>
                <w:i/>
                <w:sz w:val="19"/>
              </w:rPr>
              <w:t>Curriculum Council Act 1997</w:t>
            </w:r>
          </w:p>
        </w:tc>
        <w:tc>
          <w:tcPr>
            <w:tcW w:w="1139" w:type="dxa"/>
          </w:tcPr>
          <w:p>
            <w:pPr>
              <w:pStyle w:val="nTable"/>
              <w:spacing w:after="40"/>
              <w:rPr>
                <w:sz w:val="19"/>
              </w:rPr>
            </w:pPr>
            <w:r>
              <w:rPr>
                <w:sz w:val="19"/>
              </w:rPr>
              <w:t>17 of 1997</w:t>
            </w:r>
          </w:p>
        </w:tc>
        <w:tc>
          <w:tcPr>
            <w:tcW w:w="1136" w:type="dxa"/>
          </w:tcPr>
          <w:p>
            <w:pPr>
              <w:pStyle w:val="nTable"/>
              <w:spacing w:after="40"/>
              <w:rPr>
                <w:sz w:val="19"/>
              </w:rPr>
            </w:pPr>
            <w:r>
              <w:rPr>
                <w:sz w:val="19"/>
              </w:rPr>
              <w:t>8 Jul 1997</w:t>
            </w:r>
          </w:p>
        </w:tc>
        <w:tc>
          <w:tcPr>
            <w:tcW w:w="2570"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74" w:type="dxa"/>
          </w:tcPr>
          <w:p>
            <w:pPr>
              <w:pStyle w:val="nTable"/>
              <w:spacing w:after="40"/>
              <w:rPr>
                <w:i/>
                <w:sz w:val="19"/>
              </w:rPr>
            </w:pPr>
            <w:r>
              <w:rPr>
                <w:i/>
                <w:sz w:val="19"/>
              </w:rPr>
              <w:t>School Education Act 1999</w:t>
            </w:r>
            <w:r>
              <w:rPr>
                <w:sz w:val="19"/>
              </w:rPr>
              <w:t xml:space="preserve"> s. 247</w:t>
            </w:r>
          </w:p>
        </w:tc>
        <w:tc>
          <w:tcPr>
            <w:tcW w:w="1139"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70"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74" w:type="dxa"/>
          </w:tcPr>
          <w:p>
            <w:pPr>
              <w:pStyle w:val="nTable"/>
              <w:spacing w:after="40"/>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4" w:type="dxa"/>
          </w:tcPr>
          <w:p>
            <w:pPr>
              <w:pStyle w:val="nTable"/>
              <w:spacing w:after="40"/>
              <w:rPr>
                <w:sz w:val="19"/>
              </w:rPr>
            </w:pPr>
            <w:r>
              <w:rPr>
                <w:i/>
                <w:sz w:val="19"/>
              </w:rPr>
              <w:t>Labour Relations Reform Act 2002</w:t>
            </w:r>
            <w:r>
              <w:rPr>
                <w:sz w:val="19"/>
              </w:rPr>
              <w:t xml:space="preserve"> s. 27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70" w:type="dxa"/>
            <w:gridSpan w:val="2"/>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119" w:type="dxa"/>
            <w:gridSpan w:val="5"/>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74" w:type="dxa"/>
          </w:tcPr>
          <w:p>
            <w:pPr>
              <w:pStyle w:val="nTable"/>
              <w:spacing w:after="40"/>
              <w:rPr>
                <w:sz w:val="19"/>
              </w:rPr>
            </w:pPr>
            <w:r>
              <w:rPr>
                <w:i/>
                <w:sz w:val="19"/>
              </w:rPr>
              <w:t xml:space="preserve">Sentencing Legislation Amendment and Repeal Act 2003 </w:t>
            </w:r>
            <w:r>
              <w:rPr>
                <w:sz w:val="19"/>
              </w:rPr>
              <w:t>s. 53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49"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70" w:type="dxa"/>
            <w:gridSpan w:val="2"/>
          </w:tcPr>
          <w:p>
            <w:pPr>
              <w:pStyle w:val="nTable"/>
              <w:spacing w:after="40"/>
              <w:rPr>
                <w:sz w:val="19"/>
              </w:rPr>
            </w:pPr>
            <w:r>
              <w:rPr>
                <w:spacing w:val="-2"/>
                <w:sz w:val="19"/>
              </w:rPr>
              <w:t>15 Sep 2003 (see r. 2)</w:t>
            </w:r>
          </w:p>
        </w:tc>
      </w:tr>
      <w:tr>
        <w:tc>
          <w:tcPr>
            <w:tcW w:w="2274" w:type="dxa"/>
          </w:tcPr>
          <w:p>
            <w:pPr>
              <w:pStyle w:val="nTable"/>
              <w:spacing w:after="40"/>
              <w:rPr>
                <w:i/>
                <w:sz w:val="19"/>
              </w:rPr>
            </w:pPr>
            <w:r>
              <w:rPr>
                <w:i/>
                <w:iCs/>
                <w:snapToGrid w:val="0"/>
                <w:sz w:val="19"/>
                <w:lang w:val="en-US"/>
              </w:rPr>
              <w:t>Acts Amendment (Higher School Leaving Age and Related Provisions) Act 2005</w:t>
            </w:r>
            <w:r>
              <w:rPr>
                <w:snapToGrid w:val="0"/>
                <w:sz w:val="19"/>
                <w:lang w:val="en-US"/>
              </w:rPr>
              <w:t xml:space="preserve"> Pt. 3</w:t>
            </w:r>
          </w:p>
        </w:tc>
        <w:tc>
          <w:tcPr>
            <w:tcW w:w="1139" w:type="dxa"/>
          </w:tcPr>
          <w:p>
            <w:pPr>
              <w:pStyle w:val="nTable"/>
              <w:spacing w:after="40"/>
              <w:rPr>
                <w:sz w:val="19"/>
              </w:rPr>
            </w:pPr>
            <w:r>
              <w:rPr>
                <w:snapToGrid w:val="0"/>
                <w:sz w:val="19"/>
                <w:lang w:val="en-US"/>
              </w:rPr>
              <w:t>22 of 2005</w:t>
            </w:r>
          </w:p>
        </w:tc>
        <w:tc>
          <w:tcPr>
            <w:tcW w:w="1136" w:type="dxa"/>
          </w:tcPr>
          <w:p>
            <w:pPr>
              <w:pStyle w:val="nTable"/>
              <w:spacing w:after="40"/>
              <w:rPr>
                <w:sz w:val="19"/>
              </w:rPr>
            </w:pPr>
            <w:r>
              <w:rPr>
                <w:sz w:val="19"/>
              </w:rPr>
              <w:t>18 Nov 2005</w:t>
            </w:r>
          </w:p>
        </w:tc>
        <w:tc>
          <w:tcPr>
            <w:tcW w:w="2570" w:type="dxa"/>
            <w:gridSpan w:val="2"/>
          </w:tcPr>
          <w:p>
            <w:pPr>
              <w:pStyle w:val="nTable"/>
              <w:spacing w:after="40"/>
              <w:rPr>
                <w:sz w:val="19"/>
              </w:rPr>
            </w:pPr>
            <w:r>
              <w:rPr>
                <w:snapToGrid w:val="0"/>
                <w:sz w:val="19"/>
                <w:lang w:val="en-US"/>
              </w:rPr>
              <w:t>1 Jan 2006 (see s. 2(3))</w:t>
            </w:r>
          </w:p>
        </w:tc>
      </w:tr>
      <w:tr>
        <w:tc>
          <w:tcPr>
            <w:tcW w:w="2274"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17</w:t>
            </w:r>
          </w:p>
        </w:tc>
        <w:tc>
          <w:tcPr>
            <w:tcW w:w="1139"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70"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19" w:type="dxa"/>
            <w:gridSpan w:val="5"/>
          </w:tcPr>
          <w:p>
            <w:pPr>
              <w:pStyle w:val="nTable"/>
              <w:spacing w:after="40"/>
              <w:rPr>
                <w:snapToGrid w:val="0"/>
                <w:sz w:val="19"/>
                <w:lang w:val="en-US"/>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r>
        <w:trPr>
          <w:cantSplit/>
        </w:trPr>
        <w:tc>
          <w:tcPr>
            <w:tcW w:w="2274" w:type="dxa"/>
          </w:tcPr>
          <w:p>
            <w:pPr>
              <w:pStyle w:val="nTable"/>
              <w:spacing w:after="40"/>
              <w:ind w:right="113"/>
              <w:rPr>
                <w:iCs/>
                <w:sz w:val="19"/>
              </w:rPr>
            </w:pPr>
            <w:r>
              <w:rPr>
                <w:i/>
                <w:sz w:val="19"/>
              </w:rPr>
              <w:t>Training Legislation Amendment and Repeal Act 2008</w:t>
            </w:r>
            <w:r>
              <w:rPr>
                <w:iCs/>
                <w:sz w:val="19"/>
              </w:rPr>
              <w:t xml:space="preserve"> s. 52</w:t>
            </w:r>
          </w:p>
        </w:tc>
        <w:tc>
          <w:tcPr>
            <w:tcW w:w="1139" w:type="dxa"/>
          </w:tcPr>
          <w:p>
            <w:pPr>
              <w:pStyle w:val="nTable"/>
              <w:spacing w:after="40"/>
              <w:rPr>
                <w:sz w:val="19"/>
              </w:rPr>
            </w:pPr>
            <w:r>
              <w:rPr>
                <w:sz w:val="19"/>
              </w:rPr>
              <w:t>44 of 2008</w:t>
            </w:r>
          </w:p>
        </w:tc>
        <w:tc>
          <w:tcPr>
            <w:tcW w:w="1136" w:type="dxa"/>
          </w:tcPr>
          <w:p>
            <w:pPr>
              <w:pStyle w:val="nTable"/>
              <w:spacing w:after="40"/>
              <w:rPr>
                <w:sz w:val="19"/>
              </w:rPr>
            </w:pPr>
            <w:r>
              <w:rPr>
                <w:sz w:val="19"/>
              </w:rPr>
              <w:t>10 Dec 2008</w:t>
            </w:r>
          </w:p>
        </w:tc>
        <w:tc>
          <w:tcPr>
            <w:tcW w:w="2570" w:type="dxa"/>
            <w:gridSpan w:val="2"/>
          </w:tcPr>
          <w:p>
            <w:pPr>
              <w:pStyle w:val="nTable"/>
              <w:spacing w:after="40"/>
              <w:rPr>
                <w:sz w:val="19"/>
              </w:rPr>
            </w:pPr>
            <w:r>
              <w:rPr>
                <w:sz w:val="19"/>
              </w:rPr>
              <w:t>10 Jun 2009 (see s. 2(2))</w:t>
            </w:r>
          </w:p>
        </w:tc>
      </w:tr>
      <w:tr>
        <w:trPr>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45</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0" w:type="dxa"/>
            <w:gridSpan w:val="2"/>
          </w:tcPr>
          <w:p>
            <w:pPr>
              <w:pStyle w:val="nTable"/>
              <w:spacing w:after="40"/>
              <w:rPr>
                <w:sz w:val="19"/>
              </w:rPr>
            </w:pPr>
            <w:r>
              <w:rPr>
                <w:sz w:val="19"/>
              </w:rPr>
              <w:t>22 May 2009 (see s. 2(b))</w:t>
            </w:r>
          </w:p>
        </w:tc>
      </w:tr>
      <w:tr>
        <w:trPr>
          <w:gridAfter w:val="1"/>
          <w:wAfter w:w="17"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2" w:name="_Toc7405065"/>
      <w:bookmarkStart w:id="463" w:name="_Toc274207203"/>
      <w:r>
        <w:t>Provisions that have not come into operation</w:t>
      </w:r>
      <w:bookmarkEnd w:id="462"/>
      <w:bookmarkEnd w:id="46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464" w:name="_Toc273538032"/>
      <w:bookmarkStart w:id="465" w:name="_Toc273964959"/>
      <w:bookmarkStart w:id="466" w:name="_Toc273971506"/>
      <w:r>
        <w:rPr>
          <w:rStyle w:val="CharSectno"/>
        </w:rPr>
        <w:t>89</w:t>
      </w:r>
      <w:r>
        <w:t>.</w:t>
      </w:r>
      <w:r>
        <w:tab/>
        <w:t>Various references to “Minister for Public Sector Management” amended</w:t>
      </w:r>
      <w:bookmarkEnd w:id="464"/>
      <w:bookmarkEnd w:id="465"/>
      <w:bookmarkEnd w:id="466"/>
    </w:p>
    <w:p>
      <w:pPr>
        <w:pStyle w:val="nzSubsection"/>
      </w:pPr>
      <w:r>
        <w:tab/>
        <w:t>(1)</w:t>
      </w:r>
      <w:r>
        <w:tab/>
        <w:t>This section amends the Acts listed in the Table.</w:t>
      </w:r>
    </w:p>
    <w:p>
      <w:pPr>
        <w:pStyle w:val="nzSubsection"/>
      </w:pPr>
      <w:r>
        <w:tab/>
        <w:t>(2)</w:t>
      </w:r>
      <w:r>
        <w:tab/>
        <w:t>In the provisions listed i</w:t>
      </w:r>
      <w:bookmarkStart w:id="467" w:name="UpToHere"/>
      <w:bookmarkEnd w:id="467"/>
      <w:r>
        <w:t>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Curriculum Council Act 1997</w:t>
            </w:r>
          </w:p>
        </w:tc>
        <w:tc>
          <w:tcPr>
            <w:tcW w:w="3401" w:type="dxa"/>
          </w:tcPr>
          <w:p>
            <w:pPr>
              <w:pStyle w:val="TableAm"/>
              <w:rPr>
                <w:sz w:val="20"/>
              </w:rPr>
            </w:pPr>
            <w:r>
              <w:rPr>
                <w:sz w:val="20"/>
              </w:rPr>
              <w:t>s. 8</w:t>
            </w:r>
          </w:p>
        </w:tc>
      </w:tr>
    </w:tbl>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Curriculum Council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as to Council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as to constitution and proceedings of the Council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vAlign w:val="bottom"/>
        </w:tcPr>
        <w:p>
          <w:pPr>
            <w:pStyle w:val="HeaderTextRight"/>
          </w:pPr>
          <w:fldSimple w:instr=" styleref CharSchText ">
            <w:r>
              <w:rPr>
                <w:noProof/>
              </w:rPr>
              <w:t>Provisions as to Council</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Provisions as to constitution and proceedings of the Council</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AA4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1AD2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BE63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9615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22E7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E62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6B89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6CB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460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8CC4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C90423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3BE1DE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610"/>
    <w:docVar w:name="WAFER_20151210092610" w:val="RemoveTrackChanges"/>
    <w:docVar w:name="WAFER_20151210092610_GUID" w:val="48092288-9a24-48c4-8ff0-ead8142352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11702</Words>
  <Characters>56874</Characters>
  <Application>Microsoft Office Word</Application>
  <DocSecurity>0</DocSecurity>
  <Lines>1624</Lines>
  <Paragraphs>1008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67568</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Act 1997 - 02-g0-02</dc:title>
  <dc:subject/>
  <dc:creator/>
  <cp:keywords/>
  <dc:description/>
  <cp:lastModifiedBy>svcMRProcess</cp:lastModifiedBy>
  <cp:revision>4</cp:revision>
  <cp:lastPrinted>2007-04-10T02:41:00Z</cp:lastPrinted>
  <dcterms:created xsi:type="dcterms:W3CDTF">2018-08-26T05:10:00Z</dcterms:created>
  <dcterms:modified xsi:type="dcterms:W3CDTF">2018-08-26T05:10:00Z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1813</vt:i4>
  </property>
  <property fmtid="{D5CDD505-2E9C-101B-9397-08002B2CF9AE}" pid="6" name="ReprintNo">
    <vt:lpwstr>2</vt:lpwstr>
  </property>
  <property fmtid="{D5CDD505-2E9C-101B-9397-08002B2CF9AE}" pid="7" name="AsAtDate">
    <vt:lpwstr>01 Oct 2010</vt:lpwstr>
  </property>
  <property fmtid="{D5CDD505-2E9C-101B-9397-08002B2CF9AE}" pid="8" name="Suffix">
    <vt:lpwstr>02-g0-02</vt:lpwstr>
  </property>
</Properties>
</file>