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Painters’ Registration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Act 1961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_Toc274303519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_Toc274303520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_Toc274303521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_Toc274303522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_Toc274303523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_Toc274303524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_Toc274303525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_Toc274303526 \h </w:instrText>
      </w:r>
      <w:r>
        <w:fldChar w:fldCharType="separate"/>
      </w:r>
      <w:r>
        <w:t>5</w:t>
      </w:r>
      <w:r>
        <w:fldChar w:fldCharType="end"/>
      </w:r>
    </w:p>
    <w:p>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_Toc274303527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_Toc274303528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_Toc274303529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_Toc274303530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_Toc274303531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_Toc274303532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_Toc274303533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_Toc274303534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_Toc274303535 \h </w:instrText>
      </w:r>
      <w:r>
        <w:fldChar w:fldCharType="separate"/>
      </w:r>
      <w:r>
        <w:t>11</w:t>
      </w:r>
      <w:r>
        <w:fldChar w:fldCharType="end"/>
      </w:r>
    </w:p>
    <w:p>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_Toc274303536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_Toc274303537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_Toc274303538 \h </w:instrText>
      </w:r>
      <w:r>
        <w:fldChar w:fldCharType="separate"/>
      </w:r>
      <w:r>
        <w:t>13</w:t>
      </w:r>
      <w:r>
        <w:fldChar w:fldCharType="end"/>
      </w:r>
    </w:p>
    <w:p>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_Toc274303539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_Toc274303540 \h </w:instrText>
      </w:r>
      <w:r>
        <w:fldChar w:fldCharType="separate"/>
      </w:r>
      <w:r>
        <w:t>15</w:t>
      </w:r>
      <w:r>
        <w:fldChar w:fldCharType="end"/>
      </w:r>
    </w:p>
    <w:p>
      <w:pPr>
        <w:pStyle w:val="TOC8"/>
        <w:rPr>
          <w:sz w:val="24"/>
          <w:szCs w:val="24"/>
        </w:rPr>
      </w:pPr>
      <w:r>
        <w:rPr>
          <w:szCs w:val="24"/>
        </w:rPr>
        <w:lastRenderedPageBreak/>
        <w:t>16D</w:t>
      </w:r>
      <w:r>
        <w:rPr>
          <w:snapToGrid w:val="0"/>
          <w:szCs w:val="24"/>
        </w:rPr>
        <w:t>.</w:t>
      </w:r>
      <w:r>
        <w:rPr>
          <w:snapToGrid w:val="0"/>
          <w:szCs w:val="24"/>
        </w:rPr>
        <w:tab/>
        <w:t>Order to remedy or pay for remediation of unsatisfactory painting work</w:t>
      </w:r>
      <w:r>
        <w:tab/>
      </w:r>
      <w:r>
        <w:fldChar w:fldCharType="begin"/>
      </w:r>
      <w:r>
        <w:instrText xml:space="preserve"> PAGEREF _Toc274303541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_Toc274303542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_Toc274303543 \h </w:instrText>
      </w:r>
      <w:r>
        <w:fldChar w:fldCharType="separate"/>
      </w:r>
      <w:r>
        <w:t>17</w:t>
      </w:r>
      <w:r>
        <w:fldChar w:fldCharType="end"/>
      </w:r>
    </w:p>
    <w:p>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_Toc274303544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_Toc274303545 \h </w:instrText>
      </w:r>
      <w:r>
        <w:fldChar w:fldCharType="separate"/>
      </w:r>
      <w:r>
        <w:t>18</w:t>
      </w:r>
      <w:r>
        <w:fldChar w:fldCharType="end"/>
      </w:r>
    </w:p>
    <w:p>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_Toc274303546 \h </w:instrText>
      </w:r>
      <w:r>
        <w:fldChar w:fldCharType="separate"/>
      </w:r>
      <w:r>
        <w:t>18</w:t>
      </w:r>
      <w:r>
        <w:fldChar w:fldCharType="end"/>
      </w:r>
    </w:p>
    <w:p>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_Toc274303547 \h </w:instrText>
      </w:r>
      <w:r>
        <w:fldChar w:fldCharType="separate"/>
      </w:r>
      <w:r>
        <w:t>19</w:t>
      </w:r>
      <w:r>
        <w:fldChar w:fldCharType="end"/>
      </w:r>
    </w:p>
    <w:p>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_Toc274303548 \h </w:instrText>
      </w:r>
      <w:r>
        <w:fldChar w:fldCharType="separate"/>
      </w:r>
      <w:r>
        <w:t>19</w:t>
      </w:r>
      <w:r>
        <w:fldChar w:fldCharType="end"/>
      </w:r>
    </w:p>
    <w:p>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_Toc274303549 \h </w:instrText>
      </w:r>
      <w:r>
        <w:fldChar w:fldCharType="separate"/>
      </w:r>
      <w:r>
        <w:t>19</w:t>
      </w:r>
      <w:r>
        <w:fldChar w:fldCharType="end"/>
      </w:r>
    </w:p>
    <w:p>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_Toc274303550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_Toc274303551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_Toc274303552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_Toc274303553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_Toc274303554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_Toc274303555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_Toc274303556 \h </w:instrText>
      </w:r>
      <w:r>
        <w:fldChar w:fldCharType="separate"/>
      </w:r>
      <w:r>
        <w:t>22</w:t>
      </w:r>
      <w:r>
        <w:fldChar w:fldCharType="end"/>
      </w:r>
    </w:p>
    <w:p>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_Toc274303557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_Toc274303558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_Toc274303559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_Toc274303560 \h </w:instrText>
      </w:r>
      <w:r>
        <w:fldChar w:fldCharType="separate"/>
      </w:r>
      <w:r>
        <w:t>24</w:t>
      </w:r>
      <w:r>
        <w:fldChar w:fldCharType="end"/>
      </w:r>
    </w:p>
    <w:p>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_Toc274303561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_Toc274303562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_Toc274303563 \h </w:instrText>
      </w:r>
      <w:r>
        <w:fldChar w:fldCharType="separate"/>
      </w:r>
      <w:r>
        <w:t>25</w:t>
      </w:r>
      <w:r>
        <w:fldChar w:fldCharType="end"/>
      </w:r>
    </w:p>
    <w:p>
      <w:pPr>
        <w:pStyle w:val="TOC2"/>
        <w:tabs>
          <w:tab w:val="right" w:leader="dot" w:pos="7086"/>
        </w:tabs>
        <w:rPr>
          <w:b w:val="0"/>
          <w:sz w:val="24"/>
          <w:szCs w:val="24"/>
        </w:rPr>
      </w:pPr>
      <w:r>
        <w:rPr>
          <w:szCs w:val="28"/>
        </w:rPr>
        <w:t>Schedule — Areas within which this Act applies</w:t>
      </w:r>
    </w:p>
    <w:p>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_Toc274303565 \h </w:instrText>
      </w:r>
      <w:r>
        <w:fldChar w:fldCharType="separate"/>
      </w:r>
      <w:r>
        <w:t>26</w:t>
      </w:r>
      <w:r>
        <w:fldChar w:fldCharType="end"/>
      </w:r>
    </w:p>
    <w:p>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_Toc274303566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_Toc274303568 \h </w:instrText>
      </w:r>
      <w:r>
        <w:fldChar w:fldCharType="separate"/>
      </w:r>
      <w:r>
        <w:t>30</w:t>
      </w:r>
      <w:r>
        <w:fldChar w:fldCharType="end"/>
      </w:r>
    </w:p>
    <w:p>
      <w:pPr>
        <w:pStyle w:val="TOC8"/>
        <w:rPr>
          <w:sz w:val="24"/>
        </w:rPr>
      </w:pPr>
      <w:r>
        <w:rPr>
          <w:snapToGrid w:val="0"/>
        </w:rPr>
        <w:tab/>
        <w:t>Provisions that have not come into operation</w:t>
      </w:r>
      <w:r>
        <w:tab/>
      </w:r>
      <w:r>
        <w:fldChar w:fldCharType="begin"/>
      </w:r>
      <w:r>
        <w:instrText xml:space="preserve"> PAGEREF _Toc274303569 \h </w:instrText>
      </w:r>
      <w:r>
        <w:fldChar w:fldCharType="separate"/>
      </w:r>
      <w:r>
        <w:t>32</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Painters’ Registration Act 1961</w:t>
      </w:r>
    </w:p>
    <w:p>
      <w:pPr>
        <w:pStyle w:val="LongTitle"/>
        <w:rPr>
          <w:snapToGrid w:val="0"/>
        </w:rPr>
      </w:pPr>
      <w:r>
        <w:rPr>
          <w:snapToGrid w:val="0"/>
        </w:rPr>
        <w:t>An Act to provide for the registration of painters and for other purposes.</w:t>
      </w:r>
    </w:p>
    <w:p>
      <w:pPr>
        <w:pStyle w:val="Heading5"/>
        <w:spacing w:before="600"/>
        <w:rPr>
          <w:snapToGrid w:val="0"/>
        </w:rPr>
      </w:pPr>
      <w:bookmarkStart w:id="1" w:name="_Toc274303519"/>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274303520"/>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274303521"/>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274303522"/>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274303523"/>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274303524"/>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274303525"/>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274303526"/>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9" w:name="_Toc274303527"/>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274303528"/>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1" w:name="_Toc274303529"/>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274303530"/>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274303531"/>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274303532"/>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15" w:name="_Toc274303533"/>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274303534"/>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274303535"/>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274303536"/>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274303537"/>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274303538"/>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21" w:name="_Toc274303539"/>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274303540"/>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274303541"/>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274303542"/>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274303543"/>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274303544"/>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274303545"/>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274303546"/>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274303547"/>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30" w:name="_Toc274303548"/>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274303549"/>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274303550"/>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274303551"/>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274303552"/>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274303553"/>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274303554"/>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274303555"/>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274303556"/>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274303557"/>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274303558"/>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274303559"/>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274303560"/>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274303561"/>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274303562"/>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274303563"/>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bookmarkStart w:id="56" w:name="_Toc274303564"/>
      <w:r>
        <w:rPr>
          <w:rStyle w:val="CharSchNo"/>
        </w:rPr>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bookmarkEnd w:id="56"/>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57" w:name="_Toc274303565"/>
      <w:r>
        <w:rPr>
          <w:snapToGrid w:val="0"/>
        </w:rPr>
        <w:t>1.</w:t>
      </w:r>
      <w:r>
        <w:rPr>
          <w:snapToGrid w:val="0"/>
        </w:rPr>
        <w:tab/>
      </w:r>
      <w:r>
        <w:rPr>
          <w:i/>
          <w:iCs/>
          <w:snapToGrid w:val="0"/>
        </w:rPr>
        <w:t>The Metropolitan area</w:t>
      </w:r>
      <w:bookmarkEnd w:id="57"/>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8" w:name="_Toc274303566"/>
      <w:r>
        <w:rPr>
          <w:snapToGrid w:val="0"/>
        </w:rPr>
        <w:t>2.</w:t>
      </w:r>
      <w:r>
        <w:rPr>
          <w:snapToGrid w:val="0"/>
        </w:rPr>
        <w:tab/>
      </w:r>
      <w:r>
        <w:rPr>
          <w:i/>
          <w:iCs/>
          <w:snapToGrid w:val="0"/>
        </w:rPr>
        <w:t>Mandurah</w:t>
      </w:r>
      <w:bookmarkEnd w:id="58"/>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9" w:name="_Toc191178959"/>
      <w:bookmarkStart w:id="60" w:name="_Toc191778561"/>
      <w:bookmarkStart w:id="61" w:name="_Toc192560783"/>
      <w:bookmarkStart w:id="62" w:name="_Toc196802362"/>
      <w:bookmarkStart w:id="63" w:name="_Toc232398023"/>
      <w:bookmarkStart w:id="64" w:name="_Toc241055051"/>
      <w:bookmarkStart w:id="65" w:name="_Toc241055155"/>
      <w:bookmarkStart w:id="66" w:name="_Toc268184756"/>
      <w:bookmarkStart w:id="67" w:name="_Toc268682545"/>
      <w:bookmarkStart w:id="68" w:name="_Toc272240560"/>
      <w:bookmarkStart w:id="69" w:name="_Toc274303567"/>
      <w:r>
        <w:t>Notes</w:t>
      </w:r>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70" w:name="_Toc274303568"/>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 w:name="_Toc534778309"/>
      <w:bookmarkStart w:id="72" w:name="_Toc7405063"/>
      <w:bookmarkStart w:id="73" w:name="_Toc274303569"/>
      <w:r>
        <w:rPr>
          <w:snapToGrid w:val="0"/>
        </w:rPr>
        <w:t>Provisions that have not come into operation</w:t>
      </w:r>
      <w:bookmarkEnd w:id="71"/>
      <w:bookmarkEnd w:id="72"/>
      <w:bookmarkEnd w:id="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18" w:type="dxa"/>
          </w:tcPr>
          <w:p>
            <w:pPr>
              <w:pStyle w:val="nTable"/>
              <w:spacing w:after="40"/>
              <w:rPr>
                <w:snapToGrid w:val="0"/>
                <w:sz w:val="19"/>
                <w:lang w:val="en-US"/>
              </w:rPr>
            </w:pPr>
            <w:r>
              <w:rPr>
                <w:snapToGrid w:val="0"/>
                <w:sz w:val="19"/>
                <w:lang w:val="en-US"/>
              </w:rPr>
              <w:t>39</w:t>
            </w:r>
            <w:bookmarkStart w:id="74" w:name="UpToHere"/>
            <w:bookmarkEnd w:id="74"/>
            <w:r>
              <w:rPr>
                <w:snapToGrid w:val="0"/>
                <w:sz w:val="19"/>
                <w:lang w:val="en-US"/>
              </w:rPr>
              <w:t xml:space="preserve">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5" w:name="_Toc273538032"/>
      <w:bookmarkStart w:id="76" w:name="_Toc273964959"/>
      <w:bookmarkStart w:id="77" w:name="_Toc273971506"/>
      <w:r>
        <w:rPr>
          <w:rStyle w:val="CharSectno"/>
        </w:rPr>
        <w:t>89</w:t>
      </w:r>
      <w:r>
        <w:t>.</w:t>
      </w:r>
      <w:r>
        <w:tab/>
        <w:t>Various references to “Minister for Public Sector Management” amended</w:t>
      </w:r>
      <w:bookmarkEnd w:id="75"/>
      <w:bookmarkEnd w:id="76"/>
      <w:bookmarkEnd w:id="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Painters’ Registration Act 1961</w:t>
            </w:r>
          </w:p>
        </w:tc>
        <w:tc>
          <w:tcPr>
            <w:tcW w:w="2943" w:type="dxa"/>
          </w:tcPr>
          <w:p>
            <w:pPr>
              <w:pStyle w:val="nzTable"/>
            </w:pPr>
            <w:r>
              <w:t>s. 8</w:t>
            </w:r>
          </w:p>
        </w:tc>
      </w:tr>
    </w:tbl>
    <w:p>
      <w:pPr>
        <w:pStyle w:val="BlankClose"/>
        <w:rPr>
          <w:snapToGrid w:val="0"/>
        </w:rPr>
      </w:pPr>
    </w:p>
    <w:p>
      <w:pPr>
        <w:pStyle w:val="nSubsection"/>
        <w:rPr>
          <w:snapToGrid w:val="0"/>
        </w:rPr>
      </w:pP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rPr>
          <w:sz w:val="28"/>
        </w:rPr>
      </w:pPr>
      <w:bookmarkStart w:id="78" w:name="_Toc191178962"/>
      <w:bookmarkStart w:id="79" w:name="_Toc191778564"/>
      <w:bookmarkStart w:id="80" w:name="_Toc192560786"/>
      <w:bookmarkStart w:id="81" w:name="_Toc196802364"/>
      <w:bookmarkStart w:id="82" w:name="_Toc232398025"/>
      <w:bookmarkStart w:id="83" w:name="_Toc241055053"/>
      <w:bookmarkStart w:id="84" w:name="_Toc241055157"/>
      <w:bookmarkStart w:id="85" w:name="_Toc268184758"/>
      <w:bookmarkStart w:id="86" w:name="_Toc268682547"/>
      <w:bookmarkStart w:id="87" w:name="_Toc272240562"/>
      <w:bookmarkStart w:id="88" w:name="_Toc274303570"/>
      <w:r>
        <w:rPr>
          <w:sz w:val="28"/>
        </w:rPr>
        <w:t>Defined Terms</w:t>
      </w:r>
      <w:bookmarkEnd w:id="78"/>
      <w:bookmarkEnd w:id="79"/>
      <w:bookmarkEnd w:id="80"/>
      <w:bookmarkEnd w:id="81"/>
      <w:bookmarkEnd w:id="82"/>
      <w:bookmarkEnd w:id="83"/>
      <w:bookmarkEnd w:id="84"/>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Association</w:t>
      </w:r>
      <w:r>
        <w:tab/>
        <w:t>2</w:t>
      </w:r>
    </w:p>
    <w:p>
      <w:pPr>
        <w:pStyle w:val="DefinedTerms"/>
      </w:pPr>
      <w:r>
        <w:t>building or other structure</w:t>
      </w:r>
      <w:r>
        <w:tab/>
        <w:t>16D(4)</w:t>
      </w:r>
    </w:p>
    <w:p>
      <w:pPr>
        <w:pStyle w:val="DefinedTerms"/>
      </w:pPr>
      <w:r>
        <w:t>Minister</w:t>
      </w:r>
      <w:r>
        <w:tab/>
        <w:t>2</w:t>
      </w:r>
    </w:p>
    <w:p>
      <w:pPr>
        <w:pStyle w:val="DefinedTerms"/>
      </w:pPr>
      <w:r>
        <w:t>painter</w:t>
      </w:r>
      <w:r>
        <w:tab/>
        <w:t>2</w:t>
      </w:r>
    </w:p>
    <w:p>
      <w:pPr>
        <w:pStyle w:val="DefinedTerms"/>
      </w:pPr>
      <w:r>
        <w:t>painting</w:t>
      </w:r>
      <w:r>
        <w:tab/>
        <w:t>2</w:t>
      </w:r>
    </w:p>
    <w:p>
      <w:pPr>
        <w:pStyle w:val="DefinedTerms"/>
      </w:pPr>
      <w:r>
        <w:t>penalties</w:t>
      </w:r>
      <w:r>
        <w:tab/>
        <w:t>22(4)</w:t>
      </w:r>
    </w:p>
    <w:p>
      <w:pPr>
        <w:pStyle w:val="DefinedTerms"/>
      </w:pPr>
      <w:r>
        <w:t>person aggrieved</w:t>
      </w:r>
      <w:r>
        <w:tab/>
        <w:t>18(2)</w:t>
      </w:r>
    </w:p>
    <w:p>
      <w:pPr>
        <w:pStyle w:val="DefinedTerms"/>
      </w:pPr>
      <w:r>
        <w:t>Register</w:t>
      </w:r>
      <w:r>
        <w:tab/>
        <w:t>2</w:t>
      </w:r>
    </w:p>
    <w:p>
      <w:pPr>
        <w:pStyle w:val="DefinedTerms"/>
      </w:pPr>
      <w:r>
        <w:t>registered painter</w:t>
      </w:r>
      <w:r>
        <w:tab/>
        <w:t>2</w:t>
      </w:r>
    </w:p>
    <w:p>
      <w:pPr>
        <w:pStyle w:val="DefinedTerms"/>
      </w:pPr>
      <w:r>
        <w:t>Registrar</w:t>
      </w:r>
      <w:r>
        <w:tab/>
        <w:t>2</w:t>
      </w:r>
    </w:p>
    <w:p>
      <w:pPr>
        <w:pStyle w:val="DefinedTerms"/>
      </w:pPr>
      <w:r>
        <w:t>reviewable decision</w:t>
      </w:r>
      <w:r>
        <w:tab/>
        <w:t>18(2)</w:t>
      </w:r>
    </w:p>
    <w:p>
      <w:pPr>
        <w:pStyle w:val="DefinedTerms"/>
      </w:pPr>
      <w:r>
        <w:t>the Board</w:t>
      </w:r>
      <w:r>
        <w:tab/>
        <w:t>2</w:t>
      </w:r>
    </w:p>
    <w:p>
      <w:pPr>
        <w:pStyle w:val="DefinedTerms"/>
      </w:pPr>
      <w:r>
        <w:t>the prescribed amount</w:t>
      </w:r>
      <w:r>
        <w:tab/>
        <w:t>4(4)</w:t>
      </w:r>
    </w:p>
    <w:p>
      <w:pPr>
        <w:pStyle w:val="DefinedTerms"/>
      </w:pPr>
      <w:r>
        <w:t>Union</w:t>
      </w:r>
      <w:r>
        <w:tab/>
        <w:t>2</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fldSimple w:instr=" styleref CharSchText ">
            <w:r>
              <w:rPr>
                <w:noProof/>
              </w:rPr>
              <w:t>Areas within which this Act applies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56"/>
    <w:docVar w:name="WAFER_20151208153956" w:val="RemoveTrackChanges"/>
    <w:docVar w:name="WAFER_20151208153956_GUID" w:val="f75891e3-3902-43f9-a4f8-eb408a5b0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9866</Words>
  <Characters>47062</Characters>
  <Application>Microsoft Office Word</Application>
  <DocSecurity>0</DocSecurity>
  <Lines>1271</Lines>
  <Paragraphs>625</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1961 - 04-j0-02</dc:title>
  <dc:subject/>
  <dc:creator/>
  <cp:keywords/>
  <dc:description/>
  <cp:lastModifiedBy>svcMRProcess</cp:lastModifiedBy>
  <cp:revision>4</cp:revision>
  <cp:lastPrinted>2008-02-26T00:40:00Z</cp:lastPrinted>
  <dcterms:created xsi:type="dcterms:W3CDTF">2015-12-11T15:26:00Z</dcterms:created>
  <dcterms:modified xsi:type="dcterms:W3CDTF">2015-12-11T15:26:00Z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566</vt:i4>
  </property>
  <property fmtid="{D5CDD505-2E9C-101B-9397-08002B2CF9AE}" pid="6" name="AsAtDate">
    <vt:lpwstr>01 Oct 2010</vt:lpwstr>
  </property>
  <property fmtid="{D5CDD505-2E9C-101B-9397-08002B2CF9AE}" pid="7" name="Suffix">
    <vt:lpwstr>04-j0-02</vt:lpwstr>
  </property>
  <property fmtid="{D5CDD505-2E9C-101B-9397-08002B2CF9AE}" pid="8" name="ReprintNo">
    <vt:lpwstr>4</vt:lpwstr>
  </property>
</Properties>
</file>