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Poisons Act 1964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_Toc389746653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_Toc389746654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_Toc389746655 \h </w:instrText>
      </w:r>
      <w:r>
        <w:fldChar w:fldCharType="separate"/>
      </w:r>
      <w:r>
        <w:t>5</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Prescribed office (section 64B)</w:t>
      </w:r>
      <w:r>
        <w:tab/>
      </w:r>
      <w:r>
        <w:fldChar w:fldCharType="begin"/>
      </w:r>
      <w:r>
        <w:instrText xml:space="preserve"> PAGEREF _Toc389746656 \h </w:instrText>
      </w:r>
      <w:r>
        <w:fldChar w:fldCharType="separate"/>
      </w:r>
      <w:r>
        <w:t>6</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Exemptions</w:t>
      </w:r>
      <w:r>
        <w:tab/>
      </w:r>
      <w:r>
        <w:fldChar w:fldCharType="begin"/>
      </w:r>
      <w:r>
        <w:instrText xml:space="preserve"> PAGEREF _Toc389746657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and permits</w:t>
      </w:r>
      <w:r>
        <w:tab/>
      </w:r>
      <w:r>
        <w:fldChar w:fldCharType="begin"/>
      </w:r>
      <w:r>
        <w:instrText xml:space="preserve"> PAGEREF _Toc389746660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to sell poisons</w:t>
      </w:r>
      <w:r>
        <w:tab/>
      </w:r>
      <w:r>
        <w:fldChar w:fldCharType="begin"/>
      </w:r>
      <w:r>
        <w:instrText xml:space="preserve"> PAGEREF _Toc389746661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poisons specified in Schedule 2 to the Act</w:t>
      </w:r>
      <w:r>
        <w:tab/>
      </w:r>
      <w:r>
        <w:fldChar w:fldCharType="begin"/>
      </w:r>
      <w:r>
        <w:instrText xml:space="preserve"> PAGEREF _Toc389746662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poisons included in Schedule 7 to the Act</w:t>
      </w:r>
      <w:r>
        <w:tab/>
      </w:r>
      <w:r>
        <w:fldChar w:fldCharType="begin"/>
      </w:r>
      <w:r>
        <w:instrText xml:space="preserve"> PAGEREF _Toc389746663 \h </w:instrText>
      </w:r>
      <w:r>
        <w:fldChar w:fldCharType="separate"/>
      </w:r>
      <w:r>
        <w:t>10</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w:t>
      </w:r>
      <w:r>
        <w:tab/>
      </w:r>
      <w:r>
        <w:fldChar w:fldCharType="begin"/>
      </w:r>
      <w:r>
        <w:instrText xml:space="preserve"> PAGEREF _Toc389746664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w:t>
      </w:r>
      <w:r>
        <w:tab/>
      </w:r>
      <w:r>
        <w:fldChar w:fldCharType="begin"/>
      </w:r>
      <w:r>
        <w:instrText xml:space="preserve"> PAGEREF _Toc389746665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w:t>
      </w:r>
      <w:r>
        <w:tab/>
      </w:r>
      <w:r>
        <w:fldChar w:fldCharType="begin"/>
      </w:r>
      <w:r>
        <w:instrText xml:space="preserve"> PAGEREF _Toc389746666 \h </w:instrText>
      </w:r>
      <w:r>
        <w:fldChar w:fldCharType="separate"/>
      </w:r>
      <w:r>
        <w:t>14</w:t>
      </w:r>
      <w:r>
        <w:fldChar w:fldCharType="end"/>
      </w:r>
    </w:p>
    <w:p>
      <w:pPr>
        <w:pStyle w:val="TOC8"/>
        <w:rPr>
          <w:rFonts w:asciiTheme="minorHAnsi" w:eastAsiaTheme="minorEastAsia" w:hAnsiTheme="minorHAnsi" w:cstheme="minorBidi"/>
          <w:szCs w:val="22"/>
        </w:rPr>
      </w:pPr>
      <w:r>
        <w:t>10AA.</w:t>
      </w:r>
      <w:r>
        <w:tab/>
        <w:t>Poisons permit (health services)</w:t>
      </w:r>
      <w:r>
        <w:tab/>
      </w:r>
      <w:r>
        <w:fldChar w:fldCharType="begin"/>
      </w:r>
      <w:r>
        <w:instrText xml:space="preserve"> PAGEREF _Toc389746667 \h </w:instrText>
      </w:r>
      <w:r>
        <w:fldChar w:fldCharType="separate"/>
      </w:r>
      <w:r>
        <w:t>14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w:t>
      </w:r>
      <w:r>
        <w:tab/>
      </w:r>
      <w:r>
        <w:fldChar w:fldCharType="begin"/>
      </w:r>
      <w:r>
        <w:instrText xml:space="preserve"> PAGEREF _Toc389746668 \h </w:instrText>
      </w:r>
      <w:r>
        <w:fldChar w:fldCharType="separate"/>
      </w:r>
      <w:r>
        <w:t>14</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w:t>
      </w:r>
      <w:r>
        <w:tab/>
      </w:r>
      <w:r>
        <w:fldChar w:fldCharType="begin"/>
      </w:r>
      <w:r>
        <w:instrText xml:space="preserve"> PAGEREF _Toc389746669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CEO</w:t>
      </w:r>
      <w:r>
        <w:rPr>
          <w:snapToGrid w:val="0"/>
        </w:rPr>
        <w:t xml:space="preserve"> may designate remote area nursing posts</w:t>
      </w:r>
      <w:r>
        <w:tab/>
      </w:r>
      <w:r>
        <w:fldChar w:fldCharType="begin"/>
      </w:r>
      <w:r>
        <w:instrText xml:space="preserve"> PAGEREF _Toc389746670 \h </w:instrText>
      </w:r>
      <w:r>
        <w:fldChar w:fldCharType="separate"/>
      </w:r>
      <w:r>
        <w:t>15</w:t>
      </w:r>
      <w:r>
        <w:fldChar w:fldCharType="end"/>
      </w:r>
    </w:p>
    <w:p>
      <w:pPr>
        <w:pStyle w:val="TOC8"/>
        <w:rPr>
          <w:rFonts w:asciiTheme="minorHAnsi" w:eastAsiaTheme="minorEastAsia" w:hAnsiTheme="minorHAnsi" w:cstheme="minorBidi"/>
          <w:szCs w:val="22"/>
        </w:rPr>
      </w:pPr>
      <w:r>
        <w:t>11A.</w:t>
      </w:r>
      <w:r>
        <w:tab/>
        <w:t>CEO may designate areas for the purposes of section 23 of the Act</w:t>
      </w:r>
      <w:r>
        <w:tab/>
      </w:r>
      <w:r>
        <w:fldChar w:fldCharType="begin"/>
      </w:r>
      <w:r>
        <w:instrText xml:space="preserve"> PAGEREF _Toc389746671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licence or permit (sections 24 and 25)</w:t>
      </w:r>
      <w:r>
        <w:tab/>
      </w:r>
      <w:r>
        <w:fldChar w:fldCharType="begin"/>
      </w:r>
      <w:r>
        <w:instrText xml:space="preserve"> PAGEREF _Toc389746672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needle and syringe programme</w:t>
      </w:r>
      <w:r>
        <w:tab/>
      </w:r>
      <w:r>
        <w:fldChar w:fldCharType="begin"/>
      </w:r>
      <w:r>
        <w:instrText xml:space="preserve"> PAGEREF _Toc389746674 \h </w:instrText>
      </w:r>
      <w:r>
        <w:fldChar w:fldCharType="separate"/>
      </w:r>
      <w:r>
        <w:t>17</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w:t>
      </w:r>
      <w:r>
        <w:tab/>
      </w:r>
      <w:r>
        <w:fldChar w:fldCharType="begin"/>
      </w:r>
      <w:r>
        <w:instrText xml:space="preserve"> PAGEREF _Toc389746675 \h </w:instrText>
      </w:r>
      <w:r>
        <w:fldChar w:fldCharType="separate"/>
      </w:r>
      <w:r>
        <w:t>18</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Duties of coordinator</w:t>
      </w:r>
      <w:r>
        <w:tab/>
      </w:r>
      <w:r>
        <w:fldChar w:fldCharType="begin"/>
      </w:r>
      <w:r>
        <w:instrText xml:space="preserve"> PAGEREF _Toc389746676 \h </w:instrText>
      </w:r>
      <w:r>
        <w:fldChar w:fldCharType="separate"/>
      </w:r>
      <w:r>
        <w:t>18</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_Toc389746677 \h </w:instrText>
      </w:r>
      <w:r>
        <w:fldChar w:fldCharType="separate"/>
      </w:r>
      <w:r>
        <w:t>19</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_Toc389746678 \h </w:instrText>
      </w:r>
      <w:r>
        <w:fldChar w:fldCharType="separate"/>
      </w:r>
      <w:r>
        <w:t>19</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Requirements relating to used hypodermic needles and syringes</w:t>
      </w:r>
      <w:r>
        <w:tab/>
      </w:r>
      <w:r>
        <w:fldChar w:fldCharType="begin"/>
      </w:r>
      <w:r>
        <w:instrText xml:space="preserve"> PAGEREF _Toc389746679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Restriction to issue of licence or permit</w:t>
      </w:r>
      <w:r>
        <w:tab/>
      </w:r>
      <w:r>
        <w:fldChar w:fldCharType="begin"/>
      </w:r>
      <w:r>
        <w:instrText xml:space="preserve"> PAGEREF _Toc389746681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only by licensee</w:t>
      </w:r>
      <w:r>
        <w:tab/>
      </w:r>
      <w:r>
        <w:fldChar w:fldCharType="begin"/>
      </w:r>
      <w:r>
        <w:instrText xml:space="preserve"> PAGEREF _Toc389746682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_Toc389746683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_Toc389746684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Adoption of SUSDP for containers and labels</w:t>
      </w:r>
      <w:r>
        <w:tab/>
      </w:r>
      <w:r>
        <w:fldChar w:fldCharType="begin"/>
      </w:r>
      <w:r>
        <w:instrText xml:space="preserve"> PAGEREF _Toc389746687 \h </w:instrText>
      </w:r>
      <w:r>
        <w:fldChar w:fldCharType="separate"/>
      </w:r>
      <w:r>
        <w:t>23</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Certain containers prohibited</w:t>
      </w:r>
      <w:r>
        <w:tab/>
      </w:r>
      <w:r>
        <w:fldChar w:fldCharType="begin"/>
      </w:r>
      <w:r>
        <w:instrText xml:space="preserve"> PAGEREF _Toc389746688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_Toc389746689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w:t>
      </w:r>
      <w:r>
        <w:tab/>
      </w:r>
      <w:r>
        <w:fldChar w:fldCharType="begin"/>
      </w:r>
      <w:r>
        <w:instrText xml:space="preserve"> PAGEREF _Toc389746691 \h </w:instrText>
      </w:r>
      <w:r>
        <w:fldChar w:fldCharType="separate"/>
      </w:r>
      <w:r>
        <w:t>24</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container must have appropriate label</w:t>
      </w:r>
      <w:r>
        <w:tab/>
      </w:r>
      <w:r>
        <w:fldChar w:fldCharType="begin"/>
      </w:r>
      <w:r>
        <w:instrText xml:space="preserve"> PAGEREF _Toc389746692 \h </w:instrText>
      </w:r>
      <w:r>
        <w:fldChar w:fldCharType="separate"/>
      </w:r>
      <w:r>
        <w:t>27</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_Toc389746693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r>
      <w:r>
        <w:t>CEO</w:t>
      </w:r>
      <w:r>
        <w:rPr>
          <w:snapToGrid w:val="0"/>
        </w:rPr>
        <w:t xml:space="preserve"> may approve container or label</w:t>
      </w:r>
      <w:r>
        <w:tab/>
      </w:r>
      <w:r>
        <w:fldChar w:fldCharType="begin"/>
      </w:r>
      <w:r>
        <w:instrText xml:space="preserve"> PAGEREF _Toc389746695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t>CEO</w:t>
      </w:r>
      <w:r>
        <w:rPr>
          <w:snapToGrid w:val="0"/>
          <w:spacing w:val="-4"/>
        </w:rPr>
        <w:t xml:space="preserve"> may suspend use of container or label</w:t>
      </w:r>
      <w:r>
        <w:tab/>
      </w:r>
      <w:r>
        <w:fldChar w:fldCharType="begin"/>
      </w:r>
      <w:r>
        <w:instrText xml:space="preserve"> PAGEREF _Toc389746696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substances other than those specified in regulation 56</w:t>
      </w:r>
      <w:r>
        <w:tab/>
      </w:r>
      <w:r>
        <w:fldChar w:fldCharType="begin"/>
      </w:r>
      <w:r>
        <w:instrText xml:space="preserve"> PAGEREF _Toc389746698 \h </w:instrText>
      </w:r>
      <w:r>
        <w:fldChar w:fldCharType="separate"/>
      </w:r>
      <w:r>
        <w:t>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_Toc389746699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loss or theft of poison</w:t>
      </w:r>
      <w:r>
        <w:tab/>
      </w:r>
      <w:r>
        <w:fldChar w:fldCharType="begin"/>
      </w:r>
      <w:r>
        <w:instrText xml:space="preserve"> PAGEREF _Toc389746700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_Toc389746702 \h </w:instrText>
      </w:r>
      <w:r>
        <w:fldChar w:fldCharType="separate"/>
      </w:r>
      <w:r>
        <w:t>31</w:t>
      </w:r>
      <w:r>
        <w:fldChar w:fldCharType="end"/>
      </w:r>
    </w:p>
    <w:p>
      <w:pPr>
        <w:pStyle w:val="TOC8"/>
        <w:rPr>
          <w:rFonts w:asciiTheme="minorHAnsi" w:eastAsiaTheme="minorEastAsia" w:hAnsiTheme="minorHAnsi" w:cstheme="minorBidi"/>
          <w:szCs w:val="22"/>
        </w:rPr>
      </w:pPr>
      <w:r>
        <w:t>32B.</w:t>
      </w:r>
      <w:r>
        <w:tab/>
        <w:t>Approval of electronic prescribing systems</w:t>
      </w:r>
      <w:r>
        <w:tab/>
      </w:r>
      <w:r>
        <w:fldChar w:fldCharType="begin"/>
      </w:r>
      <w:r>
        <w:instrText xml:space="preserve"> PAGEREF _Toc389746703 \h </w:instrText>
      </w:r>
      <w:r>
        <w:fldChar w:fldCharType="separate"/>
      </w:r>
      <w:r>
        <w:t>31</w:t>
      </w:r>
      <w:r>
        <w:fldChar w:fldCharType="end"/>
      </w:r>
    </w:p>
    <w:p>
      <w:pPr>
        <w:pStyle w:val="TOC8"/>
        <w:rPr>
          <w:rFonts w:asciiTheme="minorHAnsi" w:eastAsiaTheme="minorEastAsia" w:hAnsiTheme="minorHAnsi" w:cstheme="minorBidi"/>
          <w:szCs w:val="22"/>
        </w:rPr>
      </w:pPr>
      <w:r>
        <w:t>32C.</w:t>
      </w:r>
      <w:r>
        <w:tab/>
        <w:t>System administrators</w:t>
      </w:r>
      <w:r>
        <w:tab/>
      </w:r>
      <w:r>
        <w:fldChar w:fldCharType="begin"/>
      </w:r>
      <w:r>
        <w:instrText xml:space="preserve"> PAGEREF _Toc389746704 \h </w:instrText>
      </w:r>
      <w:r>
        <w:fldChar w:fldCharType="separate"/>
      </w:r>
      <w:r>
        <w:t>33</w:t>
      </w:r>
      <w:r>
        <w:fldChar w:fldCharType="end"/>
      </w:r>
    </w:p>
    <w:p>
      <w:pPr>
        <w:pStyle w:val="TOC8"/>
        <w:rPr>
          <w:rFonts w:asciiTheme="minorHAnsi" w:eastAsiaTheme="minorEastAsia" w:hAnsiTheme="minorHAnsi" w:cstheme="minorBidi"/>
          <w:szCs w:val="22"/>
        </w:rPr>
      </w:pPr>
      <w:r>
        <w:t>32D.</w:t>
      </w:r>
      <w:r>
        <w:tab/>
        <w:t>Offence provisions</w:t>
      </w:r>
      <w:r>
        <w:tab/>
      </w:r>
      <w:r>
        <w:fldChar w:fldCharType="begin"/>
      </w:r>
      <w:r>
        <w:instrText xml:space="preserve"> PAGEREF _Toc389746705 \h </w:instrText>
      </w:r>
      <w:r>
        <w:fldChar w:fldCharType="separate"/>
      </w:r>
      <w:r>
        <w:t>33</w:t>
      </w:r>
      <w:r>
        <w:fldChar w:fldCharType="end"/>
      </w:r>
    </w:p>
    <w:p>
      <w:pPr>
        <w:pStyle w:val="TOC8"/>
        <w:rPr>
          <w:rFonts w:asciiTheme="minorHAnsi" w:eastAsiaTheme="minorEastAsia" w:hAnsiTheme="minorHAnsi" w:cstheme="minorBidi"/>
          <w:szCs w:val="22"/>
        </w:rPr>
      </w:pPr>
      <w:r>
        <w:t>32E.</w:t>
      </w:r>
      <w:r>
        <w:tab/>
        <w:t>Miscellaneous rules</w:t>
      </w:r>
      <w:r>
        <w:tab/>
      </w:r>
      <w:r>
        <w:fldChar w:fldCharType="begin"/>
      </w:r>
      <w:r>
        <w:instrText xml:space="preserve"> PAGEREF _Toc389746706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w:t>
      </w:r>
      <w:r>
        <w:tab/>
      </w:r>
      <w:r>
        <w:fldChar w:fldCharType="begin"/>
      </w:r>
      <w:r>
        <w:instrText xml:space="preserve"> PAGEREF _Toc389746709 \h </w:instrText>
      </w:r>
      <w:r>
        <w:fldChar w:fldCharType="separate"/>
      </w:r>
      <w:r>
        <w:t>35</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Restrictions applying to veterinary preparations</w:t>
      </w:r>
      <w:r>
        <w:tab/>
      </w:r>
      <w:r>
        <w:fldChar w:fldCharType="begin"/>
      </w:r>
      <w:r>
        <w:instrText xml:space="preserve"> PAGEREF _Toc389746710 \h </w:instrText>
      </w:r>
      <w:r>
        <w:fldChar w:fldCharType="separate"/>
      </w:r>
      <w:r>
        <w:t>35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Adoption of SUSDP for certain paints</w:t>
      </w:r>
      <w:r>
        <w:tab/>
      </w:r>
      <w:r>
        <w:fldChar w:fldCharType="begin"/>
      </w:r>
      <w:r>
        <w:instrText xml:space="preserve"> PAGEREF _Toc389746711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retail sale of substances included in Schedule 2</w:t>
      </w:r>
      <w:r>
        <w:tab/>
      </w:r>
      <w:r>
        <w:fldChar w:fldCharType="begin"/>
      </w:r>
      <w:r>
        <w:instrText xml:space="preserve"> PAGEREF _Toc389746712 \h </w:instrText>
      </w:r>
      <w:r>
        <w:fldChar w:fldCharType="separate"/>
      </w:r>
      <w:r>
        <w:t>36</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Restrictions on retail sale of substances included in Schedule 3</w:t>
      </w:r>
      <w:r>
        <w:tab/>
      </w:r>
      <w:r>
        <w:fldChar w:fldCharType="begin"/>
      </w:r>
      <w:r>
        <w:instrText xml:space="preserve"> PAGEREF _Toc389746713 \h </w:instrText>
      </w:r>
      <w:r>
        <w:fldChar w:fldCharType="separate"/>
      </w:r>
      <w:r>
        <w:t>36</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Storage of substances included in Schedule 3</w:t>
      </w:r>
      <w:r>
        <w:tab/>
      </w:r>
      <w:r>
        <w:fldChar w:fldCharType="begin"/>
      </w:r>
      <w:r>
        <w:instrText xml:space="preserve"> PAGEREF _Toc389746714 \h </w:instrText>
      </w:r>
      <w:r>
        <w:fldChar w:fldCharType="separate"/>
      </w:r>
      <w:r>
        <w:t>38</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Advertising of substances included in Schedule 3</w:t>
      </w:r>
      <w:r>
        <w:tab/>
      </w:r>
      <w:r>
        <w:fldChar w:fldCharType="begin"/>
      </w:r>
      <w:r>
        <w:instrText xml:space="preserve"> PAGEREF _Toc389746715 \h </w:instrText>
      </w:r>
      <w:r>
        <w:fldChar w:fldCharType="separate"/>
      </w:r>
      <w:r>
        <w:t>38</w:t>
      </w:r>
      <w:r>
        <w:fldChar w:fldCharType="end"/>
      </w:r>
    </w:p>
    <w:p>
      <w:pPr>
        <w:pStyle w:val="TOC8"/>
        <w:rPr>
          <w:rFonts w:asciiTheme="minorHAnsi" w:eastAsiaTheme="minorEastAsia" w:hAnsiTheme="minorHAnsi" w:cstheme="minorBidi"/>
          <w:szCs w:val="22"/>
        </w:rPr>
      </w:pPr>
      <w:r>
        <w:t>35D.</w:t>
      </w:r>
      <w:r>
        <w:tab/>
        <w:t>Advertising of substances included in Schedule 4</w:t>
      </w:r>
      <w:r>
        <w:tab/>
      </w:r>
      <w:r>
        <w:fldChar w:fldCharType="begin"/>
      </w:r>
      <w:r>
        <w:instrText xml:space="preserve"> PAGEREF _Toc389746716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Supply of poisons included in Schedule 4</w:t>
      </w:r>
      <w:r>
        <w:tab/>
      </w:r>
      <w:r>
        <w:fldChar w:fldCharType="begin"/>
      </w:r>
      <w:r>
        <w:instrText xml:space="preserve"> PAGEREF _Toc389746718 \h </w:instrText>
      </w:r>
      <w:r>
        <w:fldChar w:fldCharType="separate"/>
      </w:r>
      <w:r>
        <w:t>39</w:t>
      </w:r>
      <w:r>
        <w:fldChar w:fldCharType="end"/>
      </w:r>
    </w:p>
    <w:p>
      <w:pPr>
        <w:pStyle w:val="TOC8"/>
        <w:rPr>
          <w:rFonts w:asciiTheme="minorHAnsi" w:eastAsiaTheme="minorEastAsia" w:hAnsiTheme="minorHAnsi" w:cstheme="minorBidi"/>
          <w:szCs w:val="22"/>
        </w:rPr>
      </w:pPr>
      <w:r>
        <w:t>36AA.</w:t>
      </w:r>
      <w:r>
        <w:tab/>
        <w:t>Provision of approved starter packs by registered nurses</w:t>
      </w:r>
      <w:r>
        <w:tab/>
      </w:r>
      <w:r>
        <w:fldChar w:fldCharType="begin"/>
      </w:r>
      <w:r>
        <w:instrText xml:space="preserve"> PAGEREF _Toc389746719 \h </w:instrText>
      </w:r>
      <w:r>
        <w:fldChar w:fldCharType="separate"/>
      </w:r>
      <w:r>
        <w:t>44</w:t>
      </w:r>
      <w:r>
        <w:fldChar w:fldCharType="end"/>
      </w:r>
    </w:p>
    <w:p>
      <w:pPr>
        <w:pStyle w:val="TOC8"/>
        <w:rPr>
          <w:rFonts w:asciiTheme="minorHAnsi" w:eastAsiaTheme="minorEastAsia" w:hAnsiTheme="minorHAnsi" w:cstheme="minorBidi"/>
          <w:szCs w:val="22"/>
        </w:rPr>
      </w:pPr>
      <w:r>
        <w:t>36AAB.</w:t>
      </w:r>
      <w:r>
        <w:tab/>
        <w:t>Provision of psychiatric emergency packs by certain registered nurses</w:t>
      </w:r>
      <w:r>
        <w:tab/>
      </w:r>
      <w:r>
        <w:fldChar w:fldCharType="begin"/>
      </w:r>
      <w:r>
        <w:instrText xml:space="preserve"> PAGEREF _Toc389746720 \h </w:instrText>
      </w:r>
      <w:r>
        <w:fldChar w:fldCharType="separate"/>
      </w:r>
      <w:r>
        <w:t>48</w:t>
      </w:r>
      <w:r>
        <w:fldChar w:fldCharType="end"/>
      </w:r>
    </w:p>
    <w:p>
      <w:pPr>
        <w:pStyle w:val="TOC8"/>
        <w:rPr>
          <w:rFonts w:asciiTheme="minorHAnsi" w:eastAsiaTheme="minorEastAsia" w:hAnsiTheme="minorHAnsi" w:cstheme="minorBidi"/>
          <w:szCs w:val="22"/>
        </w:rPr>
      </w:pPr>
      <w:r>
        <w:t>36A.</w:t>
      </w:r>
      <w:r>
        <w:tab/>
        <w:t>Storage of substances included in Schedule 4</w:t>
      </w:r>
      <w:r>
        <w:tab/>
      </w:r>
      <w:r>
        <w:fldChar w:fldCharType="begin"/>
      </w:r>
      <w:r>
        <w:instrText xml:space="preserve"> PAGEREF _Toc389746721 \h </w:instrText>
      </w:r>
      <w:r>
        <w:fldChar w:fldCharType="separate"/>
      </w:r>
      <w:r>
        <w:t>52</w:t>
      </w:r>
      <w:r>
        <w:fldChar w:fldCharType="end"/>
      </w:r>
    </w:p>
    <w:p>
      <w:pPr>
        <w:pStyle w:val="TOC8"/>
        <w:rPr>
          <w:rFonts w:asciiTheme="minorHAnsi" w:eastAsiaTheme="minorEastAsia" w:hAnsiTheme="minorHAnsi" w:cstheme="minorBidi"/>
          <w:szCs w:val="22"/>
        </w:rPr>
      </w:pPr>
      <w:r>
        <w:t>36B.</w:t>
      </w:r>
      <w:r>
        <w:tab/>
        <w:t>Record of supply or administration of substances included in Schedule 4</w:t>
      </w:r>
      <w:r>
        <w:tab/>
      </w:r>
      <w:r>
        <w:fldChar w:fldCharType="begin"/>
      </w:r>
      <w:r>
        <w:instrText xml:space="preserve"> PAGEREF _Toc389746722 \h </w:instrText>
      </w:r>
      <w:r>
        <w:fldChar w:fldCharType="separate"/>
      </w:r>
      <w:r>
        <w:t>53</w:t>
      </w:r>
      <w:r>
        <w:fldChar w:fldCharType="end"/>
      </w:r>
    </w:p>
    <w:p>
      <w:pPr>
        <w:pStyle w:val="TOC8"/>
        <w:rPr>
          <w:rFonts w:asciiTheme="minorHAnsi" w:eastAsiaTheme="minorEastAsia" w:hAnsiTheme="minorHAnsi" w:cstheme="minorBidi"/>
          <w:szCs w:val="22"/>
        </w:rPr>
      </w:pPr>
      <w:r>
        <w:t>37A.</w:t>
      </w:r>
      <w:r>
        <w:tab/>
        <w:t>H1N1 Pandemic Influenza Vaccine — exemption from specified provisions of the Act</w:t>
      </w:r>
      <w:r>
        <w:tab/>
      </w:r>
      <w:r>
        <w:fldChar w:fldCharType="begin"/>
      </w:r>
      <w:r>
        <w:instrText xml:space="preserve"> PAGEREF _Toc389746723 \h </w:instrText>
      </w:r>
      <w:r>
        <w:fldChar w:fldCharType="separate"/>
      </w:r>
      <w:r>
        <w:t>54</w:t>
      </w:r>
      <w:r>
        <w:fldChar w:fldCharType="end"/>
      </w:r>
    </w:p>
    <w:p>
      <w:pPr>
        <w:pStyle w:val="TOC8"/>
        <w:rPr>
          <w:rFonts w:asciiTheme="minorHAnsi" w:eastAsiaTheme="minorEastAsia" w:hAnsiTheme="minorHAnsi" w:cstheme="minorBidi"/>
          <w:szCs w:val="22"/>
        </w:rPr>
      </w:pPr>
      <w:r>
        <w:t>37B.</w:t>
      </w:r>
      <w:r>
        <w:tab/>
        <w:t>Vaccines — exemption from specified provisions of the Act</w:t>
      </w:r>
      <w:r>
        <w:tab/>
      </w:r>
      <w:r>
        <w:fldChar w:fldCharType="begin"/>
      </w:r>
      <w:r>
        <w:instrText xml:space="preserve"> PAGEREF _Toc389746724 \h </w:instrText>
      </w:r>
      <w:r>
        <w:fldChar w:fldCharType="separate"/>
      </w:r>
      <w:r>
        <w:t>55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for prescription of a poison included in Schedule 4</w:t>
      </w:r>
      <w:r>
        <w:tab/>
      </w:r>
      <w:r>
        <w:fldChar w:fldCharType="begin"/>
      </w:r>
      <w:r>
        <w:instrText xml:space="preserve"> PAGEREF _Toc389746725 \h </w:instrText>
      </w:r>
      <w:r>
        <w:fldChar w:fldCharType="separate"/>
      </w:r>
      <w:r>
        <w:t>55</w:t>
      </w:r>
      <w:r>
        <w:fldChar w:fldCharType="end"/>
      </w:r>
    </w:p>
    <w:p>
      <w:pPr>
        <w:pStyle w:val="TOC8"/>
        <w:rPr>
          <w:rFonts w:asciiTheme="minorHAnsi" w:eastAsiaTheme="minorEastAsia" w:hAnsiTheme="minorHAnsi" w:cstheme="minorBidi"/>
          <w:szCs w:val="22"/>
        </w:rPr>
      </w:pPr>
      <w:r>
        <w:t>38A.</w:t>
      </w:r>
      <w:r>
        <w:tab/>
        <w:t>Prescriptions for poisons included in Schedule 4 for patient discharged from public hospital</w:t>
      </w:r>
      <w:r>
        <w:tab/>
      </w:r>
      <w:r>
        <w:fldChar w:fldCharType="begin"/>
      </w:r>
      <w:r>
        <w:instrText xml:space="preserve"> PAGEREF _Toc389746726 \h </w:instrText>
      </w:r>
      <w:r>
        <w:fldChar w:fldCharType="separate"/>
      </w:r>
      <w:r>
        <w:t>57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poisons included in Schedule 4 in emergency cases</w:t>
      </w:r>
      <w:r>
        <w:tab/>
      </w:r>
      <w:r>
        <w:fldChar w:fldCharType="begin"/>
      </w:r>
      <w:r>
        <w:instrText xml:space="preserve"> PAGEREF _Toc389746727 \h </w:instrText>
      </w:r>
      <w:r>
        <w:fldChar w:fldCharType="separate"/>
      </w:r>
      <w:r>
        <w:t>58</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Administration of poisons included in Schedule 4 in hospital</w:t>
      </w:r>
      <w:r>
        <w:tab/>
      </w:r>
      <w:r>
        <w:fldChar w:fldCharType="begin"/>
      </w:r>
      <w:r>
        <w:instrText xml:space="preserve"> PAGEREF _Toc389746728 \h </w:instrText>
      </w:r>
      <w:r>
        <w:fldChar w:fldCharType="separate"/>
      </w:r>
      <w:r>
        <w:t>58</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w:t>
      </w:r>
      <w:r>
        <w:tab/>
      </w:r>
      <w:r>
        <w:fldChar w:fldCharType="begin"/>
      </w:r>
      <w:r>
        <w:instrText xml:space="preserve"> PAGEREF _Toc389746729 \h </w:instrText>
      </w:r>
      <w:r>
        <w:fldChar w:fldCharType="separate"/>
      </w:r>
      <w:r>
        <w:t>59</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w:t>
      </w:r>
      <w:r>
        <w:tab/>
      </w:r>
      <w:r>
        <w:fldChar w:fldCharType="begin"/>
      </w:r>
      <w:r>
        <w:instrText xml:space="preserve"> PAGEREF _Toc389746730 \h </w:instrText>
      </w:r>
      <w:r>
        <w:fldChar w:fldCharType="separate"/>
      </w:r>
      <w:r>
        <w:t>59</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w:t>
      </w:r>
      <w:r>
        <w:tab/>
      </w:r>
      <w:r>
        <w:fldChar w:fldCharType="begin"/>
      </w:r>
      <w:r>
        <w:instrText xml:space="preserve"> PAGEREF _Toc389746731 \h </w:instrText>
      </w:r>
      <w:r>
        <w:fldChar w:fldCharType="separate"/>
      </w:r>
      <w:r>
        <w:t>60</w:t>
      </w:r>
      <w:r>
        <w:fldChar w:fldCharType="end"/>
      </w:r>
    </w:p>
    <w:p>
      <w:pPr>
        <w:pStyle w:val="TOC8"/>
        <w:rPr>
          <w:rFonts w:asciiTheme="minorHAnsi" w:eastAsiaTheme="minorEastAsia" w:hAnsiTheme="minorHAnsi" w:cstheme="minorBidi"/>
          <w:szCs w:val="22"/>
        </w:rPr>
      </w:pPr>
      <w:r>
        <w:t>38F.</w:t>
      </w:r>
      <w:r>
        <w:tab/>
        <w:t>Isotr</w:t>
      </w:r>
      <w:r>
        <w:rPr>
          <w:snapToGrid w:val="0"/>
        </w:rPr>
        <w:t>e</w:t>
      </w:r>
      <w:r>
        <w:t>tinoin</w:t>
      </w:r>
      <w:r>
        <w:tab/>
      </w:r>
      <w:r>
        <w:fldChar w:fldCharType="begin"/>
      </w:r>
      <w:r>
        <w:instrText xml:space="preserve"> PAGEREF _Toc389746732 \h </w:instrText>
      </w:r>
      <w:r>
        <w:fldChar w:fldCharType="separate"/>
      </w:r>
      <w:r>
        <w:t>61</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Thalidomide for human use</w:t>
      </w:r>
      <w:r>
        <w:tab/>
      </w:r>
      <w:r>
        <w:fldChar w:fldCharType="begin"/>
      </w:r>
      <w:r>
        <w:instrText xml:space="preserve"> PAGEREF _Toc389746733 \h </w:instrText>
      </w:r>
      <w:r>
        <w:fldChar w:fldCharType="separate"/>
      </w:r>
      <w:r>
        <w:t>61</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w:t>
      </w:r>
      <w:r>
        <w:tab/>
      </w:r>
      <w:r>
        <w:fldChar w:fldCharType="begin"/>
      </w:r>
      <w:r>
        <w:instrText xml:space="preserve"> PAGEREF _Toc389746734 \h </w:instrText>
      </w:r>
      <w:r>
        <w:fldChar w:fldCharType="separate"/>
      </w:r>
      <w:r>
        <w:t>62</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w:t>
      </w:r>
      <w:r>
        <w:tab/>
      </w:r>
      <w:r>
        <w:fldChar w:fldCharType="begin"/>
      </w:r>
      <w:r>
        <w:instrText xml:space="preserve"> PAGEREF _Toc389746735 \h </w:instrText>
      </w:r>
      <w:r>
        <w:fldChar w:fldCharType="separate"/>
      </w:r>
      <w:r>
        <w:t>62</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w:t>
      </w:r>
      <w:r>
        <w:tab/>
      </w:r>
      <w:r>
        <w:fldChar w:fldCharType="begin"/>
      </w:r>
      <w:r>
        <w:instrText xml:space="preserve"> PAGEREF _Toc389746736 \h </w:instrText>
      </w:r>
      <w:r>
        <w:fldChar w:fldCharType="separate"/>
      </w:r>
      <w:r>
        <w:t>63</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w:t>
      </w:r>
      <w:r>
        <w:tab/>
      </w:r>
      <w:r>
        <w:fldChar w:fldCharType="begin"/>
      </w:r>
      <w:r>
        <w:instrText xml:space="preserve"> PAGEREF _Toc389746737 \h </w:instrText>
      </w:r>
      <w:r>
        <w:fldChar w:fldCharType="separate"/>
      </w:r>
      <w:r>
        <w:t>63</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w:t>
      </w:r>
      <w:r>
        <w:tab/>
      </w:r>
      <w:r>
        <w:fldChar w:fldCharType="begin"/>
      </w:r>
      <w:r>
        <w:instrText xml:space="preserve"> PAGEREF _Toc389746738 \h </w:instrText>
      </w:r>
      <w:r>
        <w:fldChar w:fldCharType="separate"/>
      </w:r>
      <w:r>
        <w:t>63</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Nitrofuran derivatives</w:t>
      </w:r>
      <w:r>
        <w:tab/>
      </w:r>
      <w:r>
        <w:fldChar w:fldCharType="begin"/>
      </w:r>
      <w:r>
        <w:instrText xml:space="preserve"> PAGEREF _Toc389746739 \h </w:instrText>
      </w:r>
      <w:r>
        <w:fldChar w:fldCharType="separate"/>
      </w:r>
      <w:r>
        <w:t>64</w:t>
      </w:r>
      <w:r>
        <w:fldChar w:fldCharType="end"/>
      </w:r>
    </w:p>
    <w:p>
      <w:pPr>
        <w:pStyle w:val="TOC8"/>
        <w:rPr>
          <w:rFonts w:asciiTheme="minorHAnsi" w:eastAsiaTheme="minorEastAsia" w:hAnsiTheme="minorHAnsi" w:cstheme="minorBidi"/>
          <w:szCs w:val="22"/>
        </w:rPr>
      </w:pPr>
      <w:r>
        <w:t>38O.</w:t>
      </w:r>
      <w:r>
        <w:tab/>
        <w:t>Bosentan for human use</w:t>
      </w:r>
      <w:r>
        <w:tab/>
      </w:r>
      <w:r>
        <w:fldChar w:fldCharType="begin"/>
      </w:r>
      <w:r>
        <w:instrText xml:space="preserve"> PAGEREF _Toc389746740 \h </w:instrText>
      </w:r>
      <w:r>
        <w:fldChar w:fldCharType="separate"/>
      </w:r>
      <w:r>
        <w:t>64</w:t>
      </w:r>
      <w:r>
        <w:fldChar w:fldCharType="end"/>
      </w:r>
    </w:p>
    <w:p>
      <w:pPr>
        <w:pStyle w:val="TOC8"/>
        <w:rPr>
          <w:rFonts w:asciiTheme="minorHAnsi" w:eastAsiaTheme="minorEastAsia" w:hAnsiTheme="minorHAnsi" w:cstheme="minorBidi"/>
          <w:szCs w:val="22"/>
        </w:rPr>
      </w:pPr>
      <w:r>
        <w:t>38P.</w:t>
      </w:r>
      <w:r>
        <w:tab/>
        <w:t>Teriparatide for human use</w:t>
      </w:r>
      <w:r>
        <w:tab/>
      </w:r>
      <w:r>
        <w:fldChar w:fldCharType="begin"/>
      </w:r>
      <w:r>
        <w:instrText xml:space="preserve"> PAGEREF _Toc389746741 \h </w:instrText>
      </w:r>
      <w:r>
        <w:fldChar w:fldCharType="separate"/>
      </w:r>
      <w:r>
        <w:t>65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Veterinary use of poisons included in Schedule 4</w:t>
      </w:r>
      <w:r>
        <w:tab/>
      </w:r>
      <w:r>
        <w:fldChar w:fldCharType="begin"/>
      </w:r>
      <w:r>
        <w:instrText xml:space="preserve"> PAGEREF _Toc389746742 \h </w:instrText>
      </w:r>
      <w:r>
        <w:fldChar w:fldCharType="separate"/>
      </w:r>
      <w:r>
        <w:t>65</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Stockfeed manufacturers may sell poisons included in Schedule 4</w:t>
      </w:r>
      <w:r>
        <w:tab/>
      </w:r>
      <w:r>
        <w:fldChar w:fldCharType="begin"/>
      </w:r>
      <w:r>
        <w:instrText xml:space="preserve"> PAGEREF _Toc389746743 \h </w:instrText>
      </w:r>
      <w:r>
        <w:fldChar w:fldCharType="separate"/>
      </w:r>
      <w:r>
        <w:t>66</w:t>
      </w:r>
      <w:r>
        <w:fldChar w:fldCharType="end"/>
      </w:r>
    </w:p>
    <w:p>
      <w:pPr>
        <w:pStyle w:val="TOC8"/>
        <w:rPr>
          <w:rFonts w:asciiTheme="minorHAnsi" w:eastAsiaTheme="minorEastAsia" w:hAnsiTheme="minorHAnsi" w:cstheme="minorBidi"/>
          <w:szCs w:val="22"/>
        </w:rPr>
      </w:pPr>
      <w:r>
        <w:t>39BA.</w:t>
      </w:r>
      <w:r>
        <w:tab/>
        <w:t>Use of poisons included in Schedule 4 on certificated commercial vessels</w:t>
      </w:r>
      <w:r>
        <w:tab/>
      </w:r>
      <w:r>
        <w:fldChar w:fldCharType="begin"/>
      </w:r>
      <w:r>
        <w:instrText xml:space="preserve"> PAGEREF _Toc389746744 \h </w:instrText>
      </w:r>
      <w:r>
        <w:fldChar w:fldCharType="separate"/>
      </w:r>
      <w:r>
        <w:t>67</w:t>
      </w:r>
      <w:r>
        <w:fldChar w:fldCharType="end"/>
      </w:r>
    </w:p>
    <w:p>
      <w:pPr>
        <w:pStyle w:val="TOC8"/>
        <w:rPr>
          <w:rFonts w:asciiTheme="minorHAnsi" w:eastAsiaTheme="minorEastAsia" w:hAnsiTheme="minorHAnsi" w:cstheme="minorBidi"/>
          <w:szCs w:val="22"/>
        </w:rPr>
      </w:pPr>
      <w:r>
        <w:t>39BB.</w:t>
      </w:r>
      <w:r>
        <w:tab/>
        <w:t>Use of poisons included in Schedule 4 on racing yachts</w:t>
      </w:r>
      <w:r>
        <w:tab/>
      </w:r>
      <w:r>
        <w:fldChar w:fldCharType="begin"/>
      </w:r>
      <w:r>
        <w:instrText xml:space="preserve"> PAGEREF _Toc389746745 \h </w:instrText>
      </w:r>
      <w:r>
        <w:fldChar w:fldCharType="separate"/>
      </w:r>
      <w:r>
        <w:t>68</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Use of poisons included in Schedule 4 on ships and aircraft</w:t>
      </w:r>
      <w:r>
        <w:tab/>
      </w:r>
      <w:r>
        <w:fldChar w:fldCharType="begin"/>
      </w:r>
      <w:r>
        <w:instrText xml:space="preserve"> PAGEREF _Toc389746746 \h </w:instrText>
      </w:r>
      <w:r>
        <w:fldChar w:fldCharType="separate"/>
      </w:r>
      <w:r>
        <w:t>69</w:t>
      </w:r>
      <w:r>
        <w:fldChar w:fldCharType="end"/>
      </w:r>
    </w:p>
    <w:p>
      <w:pPr>
        <w:pStyle w:val="TOC8"/>
        <w:rPr>
          <w:rFonts w:asciiTheme="minorHAnsi" w:eastAsiaTheme="minorEastAsia" w:hAnsiTheme="minorHAnsi" w:cstheme="minorBidi"/>
          <w:szCs w:val="22"/>
        </w:rPr>
      </w:pPr>
      <w:r>
        <w:t>39C.</w:t>
      </w:r>
      <w:r>
        <w:tab/>
        <w:t>Use of poisons included in Schedule 4 on ships carrying livestock</w:t>
      </w:r>
      <w:r>
        <w:tab/>
      </w:r>
      <w:r>
        <w:fldChar w:fldCharType="begin"/>
      </w:r>
      <w:r>
        <w:instrText xml:space="preserve"> PAGEREF _Toc389746747 \h </w:instrText>
      </w:r>
      <w:r>
        <w:fldChar w:fldCharType="separate"/>
      </w:r>
      <w:r>
        <w:t>71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Special authority to purchase poisons included in Schedule 4</w:t>
      </w:r>
      <w:r>
        <w:tab/>
      </w:r>
      <w:r>
        <w:fldChar w:fldCharType="begin"/>
      </w:r>
      <w:r>
        <w:instrText xml:space="preserve"> PAGEREF _Toc389746748 \h </w:instrText>
      </w:r>
      <w:r>
        <w:fldChar w:fldCharType="separate"/>
      </w:r>
      <w:r>
        <w:t>72</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Delivery of a poison included in Schedule 4 on order</w:t>
      </w:r>
      <w:r>
        <w:tab/>
      </w:r>
      <w:r>
        <w:fldChar w:fldCharType="begin"/>
      </w:r>
      <w:r>
        <w:instrText xml:space="preserve"> PAGEREF _Toc389746749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Revocation notice in relation to poisons included in Schedule 6</w:t>
      </w:r>
      <w:r>
        <w:tab/>
      </w:r>
      <w:r>
        <w:fldChar w:fldCharType="begin"/>
      </w:r>
      <w:r>
        <w:instrText xml:space="preserve"> PAGEREF _Toc389746751 \h </w:instrText>
      </w:r>
      <w:r>
        <w:fldChar w:fldCharType="separate"/>
      </w:r>
      <w:r>
        <w:t>74</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Sale of poisons included in Schedule 7</w:t>
      </w:r>
      <w:r>
        <w:tab/>
      </w:r>
      <w:r>
        <w:fldChar w:fldCharType="begin"/>
      </w:r>
      <w:r>
        <w:instrText xml:space="preserve"> PAGEREF _Toc389746752 \h </w:instrText>
      </w:r>
      <w:r>
        <w:fldChar w:fldCharType="separate"/>
      </w:r>
      <w:r>
        <w:t>74</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Standard for intramammary antibiotic preparations</w:t>
      </w:r>
      <w:r>
        <w:tab/>
      </w:r>
      <w:r>
        <w:fldChar w:fldCharType="begin"/>
      </w:r>
      <w:r>
        <w:instrText xml:space="preserve"> PAGEREF _Toc389746753 \h </w:instrText>
      </w:r>
      <w:r>
        <w:fldChar w:fldCharType="separate"/>
      </w:r>
      <w:r>
        <w:t>75</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w:t>
      </w:r>
      <w:r>
        <w:tab/>
      </w:r>
      <w:r>
        <w:fldChar w:fldCharType="begin"/>
      </w:r>
      <w:r>
        <w:instrText xml:space="preserve"> PAGEREF _Toc389746754 \h </w:instrText>
      </w:r>
      <w:r>
        <w:fldChar w:fldCharType="separate"/>
      </w:r>
      <w:r>
        <w:t>76</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Record of poisons included in Schedule 3, 4 or 7</w:t>
      </w:r>
      <w:r>
        <w:tab/>
      </w:r>
      <w:r>
        <w:fldChar w:fldCharType="begin"/>
      </w:r>
      <w:r>
        <w:instrText xml:space="preserve"> PAGEREF _Toc389746755 \h </w:instrText>
      </w:r>
      <w:r>
        <w:fldChar w:fldCharType="separate"/>
      </w:r>
      <w:r>
        <w:t>76</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Access to poisons included in Schedule 7</w:t>
      </w:r>
      <w:r>
        <w:tab/>
      </w:r>
      <w:r>
        <w:fldChar w:fldCharType="begin"/>
      </w:r>
      <w:r>
        <w:instrText xml:space="preserve"> PAGEREF _Toc389746756 \h </w:instrText>
      </w:r>
      <w:r>
        <w:fldChar w:fldCharType="separate"/>
      </w:r>
      <w:r>
        <w:t>77</w:t>
      </w:r>
      <w:r>
        <w:fldChar w:fldCharType="end"/>
      </w:r>
    </w:p>
    <w:p>
      <w:pPr>
        <w:pStyle w:val="TOC8"/>
        <w:rPr>
          <w:rFonts w:asciiTheme="minorHAnsi" w:eastAsiaTheme="minorEastAsia" w:hAnsiTheme="minorHAnsi" w:cstheme="minorBidi"/>
          <w:szCs w:val="22"/>
        </w:rPr>
      </w:pPr>
      <w:r>
        <w:t>41D.</w:t>
      </w:r>
      <w:r>
        <w:tab/>
        <w:t>Emergency supply of adrenaline in schools and child care centres</w:t>
      </w:r>
      <w:r>
        <w:tab/>
      </w:r>
      <w:r>
        <w:fldChar w:fldCharType="begin"/>
      </w:r>
      <w:r>
        <w:instrText xml:space="preserve"> PAGEREF _Toc389746757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_Toc389746760 \h </w:instrText>
      </w:r>
      <w:r>
        <w:fldChar w:fldCharType="separate"/>
      </w:r>
      <w:r>
        <w:t>79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Authority for prescribed persons to procure and have poisons included in Schedule 8</w:t>
      </w:r>
      <w:r>
        <w:tab/>
      </w:r>
      <w:r>
        <w:fldChar w:fldCharType="begin"/>
      </w:r>
      <w:r>
        <w:instrText xml:space="preserve"> PAGEREF _Toc389746761 \h </w:instrText>
      </w:r>
      <w:r>
        <w:fldChar w:fldCharType="separate"/>
      </w:r>
      <w:r>
        <w:t>79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 for pharmacists to retail, compound and dispense poisons included in Schedule 8</w:t>
      </w:r>
      <w:r>
        <w:tab/>
      </w:r>
      <w:r>
        <w:fldChar w:fldCharType="begin"/>
      </w:r>
      <w:r>
        <w:instrText xml:space="preserve"> PAGEREF _Toc389746762 \h </w:instrText>
      </w:r>
      <w:r>
        <w:fldChar w:fldCharType="separate"/>
      </w:r>
      <w:r>
        <w:t>81</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Revocation notice in relation to poisons included in Schedule 8 and specified drugs</w:t>
      </w:r>
      <w:r>
        <w:tab/>
      </w:r>
      <w:r>
        <w:fldChar w:fldCharType="begin"/>
      </w:r>
      <w:r>
        <w:instrText xml:space="preserve"> PAGEREF _Toc389746763 \h </w:instrText>
      </w:r>
      <w:r>
        <w:fldChar w:fldCharType="separate"/>
      </w:r>
      <w:r>
        <w:t>81</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Prescribed purposes (section 41(1))</w:t>
      </w:r>
      <w:r>
        <w:tab/>
      </w:r>
      <w:r>
        <w:fldChar w:fldCharType="begin"/>
      </w:r>
      <w:r>
        <w:instrText xml:space="preserve"> PAGEREF _Toc389746764 \h </w:instrText>
      </w:r>
      <w:r>
        <w:fldChar w:fldCharType="separate"/>
      </w:r>
      <w:r>
        <w:t>82</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of substances included in Schedule 8</w:t>
      </w:r>
      <w:r>
        <w:tab/>
      </w:r>
      <w:r>
        <w:fldChar w:fldCharType="begin"/>
      </w:r>
      <w:r>
        <w:instrText xml:space="preserve"> PAGEREF _Toc389746765 \h </w:instrText>
      </w:r>
      <w:r>
        <w:fldChar w:fldCharType="separate"/>
      </w:r>
      <w:r>
        <w:t>82</w:t>
      </w:r>
      <w:r>
        <w:fldChar w:fldCharType="end"/>
      </w:r>
    </w:p>
    <w:p>
      <w:pPr>
        <w:pStyle w:val="TOC8"/>
        <w:rPr>
          <w:rFonts w:asciiTheme="minorHAnsi" w:eastAsiaTheme="minorEastAsia" w:hAnsiTheme="minorHAnsi" w:cstheme="minorBidi"/>
          <w:szCs w:val="22"/>
        </w:rPr>
      </w:pPr>
      <w:r>
        <w:t>44.</w:t>
      </w:r>
      <w:r>
        <w:tab/>
        <w:t>Register of drugs of addiction</w:t>
      </w:r>
      <w:r>
        <w:tab/>
      </w:r>
      <w:r>
        <w:fldChar w:fldCharType="begin"/>
      </w:r>
      <w:r>
        <w:instrText xml:space="preserve"> PAGEREF _Toc389746766 \h </w:instrText>
      </w:r>
      <w:r>
        <w:fldChar w:fldCharType="separate"/>
      </w:r>
      <w:r>
        <w:t>83</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Destruction of drugs of addiction and poisons included in Schedule 8</w:t>
      </w:r>
      <w:r>
        <w:tab/>
      </w:r>
      <w:r>
        <w:fldChar w:fldCharType="begin"/>
      </w:r>
      <w:r>
        <w:instrText xml:space="preserve"> PAGEREF _Toc389746767 \h </w:instrText>
      </w:r>
      <w:r>
        <w:fldChar w:fldCharType="separate"/>
      </w:r>
      <w:r>
        <w:t>84</w:t>
      </w:r>
      <w:r>
        <w:fldChar w:fldCharType="end"/>
      </w:r>
    </w:p>
    <w:p>
      <w:pPr>
        <w:pStyle w:val="TOC8"/>
        <w:rPr>
          <w:rFonts w:asciiTheme="minorHAnsi" w:eastAsiaTheme="minorEastAsia" w:hAnsiTheme="minorHAnsi" w:cstheme="minorBidi"/>
          <w:szCs w:val="22"/>
        </w:rPr>
      </w:pPr>
      <w:r>
        <w:t>44B.</w:t>
      </w:r>
      <w:r>
        <w:tab/>
        <w:t>Form of registers</w:t>
      </w:r>
      <w:r>
        <w:tab/>
      </w:r>
      <w:r>
        <w:fldChar w:fldCharType="begin"/>
      </w:r>
      <w:r>
        <w:instrText xml:space="preserve"> PAGEREF _Toc389746768 \h </w:instrText>
      </w:r>
      <w:r>
        <w:fldChar w:fldCharType="separate"/>
      </w:r>
      <w:r>
        <w:t>86</w:t>
      </w:r>
      <w:r>
        <w:fldChar w:fldCharType="end"/>
      </w:r>
    </w:p>
    <w:p>
      <w:pPr>
        <w:pStyle w:val="TOC8"/>
        <w:rPr>
          <w:rFonts w:asciiTheme="minorHAnsi" w:eastAsiaTheme="minorEastAsia" w:hAnsiTheme="minorHAnsi" w:cstheme="minorBidi"/>
          <w:szCs w:val="22"/>
        </w:rPr>
      </w:pPr>
      <w:r>
        <w:t>44C.</w:t>
      </w:r>
      <w:r>
        <w:tab/>
        <w:t>Control of access to electronic registers</w:t>
      </w:r>
      <w:r>
        <w:tab/>
      </w:r>
      <w:r>
        <w:fldChar w:fldCharType="begin"/>
      </w:r>
      <w:r>
        <w:instrText xml:space="preserve"> PAGEREF _Toc389746769 \h </w:instrText>
      </w:r>
      <w:r>
        <w:fldChar w:fldCharType="separate"/>
      </w:r>
      <w:r>
        <w:t>87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w:t>
      </w:r>
      <w:r>
        <w:tab/>
      </w:r>
      <w:r>
        <w:fldChar w:fldCharType="begin"/>
      </w:r>
      <w:r>
        <w:instrText xml:space="preserve"> PAGEREF _Toc389746770 \h </w:instrText>
      </w:r>
      <w:r>
        <w:fldChar w:fldCharType="separate"/>
      </w:r>
      <w:r>
        <w:t>88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retained for 7 years and available on demand</w:t>
      </w:r>
      <w:r>
        <w:tab/>
      </w:r>
      <w:r>
        <w:fldChar w:fldCharType="begin"/>
      </w:r>
      <w:r>
        <w:instrText xml:space="preserve"> PAGEREF _Toc389746771 \h </w:instrText>
      </w:r>
      <w:r>
        <w:fldChar w:fldCharType="separate"/>
      </w:r>
      <w:r>
        <w:t>89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Returns from manufacturers and wholesalers</w:t>
      </w:r>
      <w:r>
        <w:tab/>
      </w:r>
      <w:r>
        <w:fldChar w:fldCharType="begin"/>
      </w:r>
      <w:r>
        <w:instrText xml:space="preserve"> PAGEREF _Toc389746772 \h </w:instrText>
      </w:r>
      <w:r>
        <w:fldChar w:fldCharType="separate"/>
      </w:r>
      <w:r>
        <w:t>90</w:t>
      </w:r>
      <w:r>
        <w:fldChar w:fldCharType="end"/>
      </w:r>
    </w:p>
    <w:p>
      <w:pPr>
        <w:pStyle w:val="TOC8"/>
        <w:rPr>
          <w:rFonts w:asciiTheme="minorHAnsi" w:eastAsiaTheme="minorEastAsia" w:hAnsiTheme="minorHAnsi" w:cstheme="minorBidi"/>
          <w:szCs w:val="22"/>
        </w:rPr>
      </w:pPr>
      <w:r>
        <w:t>49A.</w:t>
      </w:r>
      <w:r>
        <w:tab/>
        <w:t>Use of poisons included in Schedule 8 on certificated commercial vessels</w:t>
      </w:r>
      <w:r>
        <w:tab/>
      </w:r>
      <w:r>
        <w:fldChar w:fldCharType="begin"/>
      </w:r>
      <w:r>
        <w:instrText xml:space="preserve"> PAGEREF _Toc389746773 \h </w:instrText>
      </w:r>
      <w:r>
        <w:fldChar w:fldCharType="separate"/>
      </w:r>
      <w:r>
        <w:t>90</w:t>
      </w:r>
      <w:r>
        <w:fldChar w:fldCharType="end"/>
      </w:r>
    </w:p>
    <w:p>
      <w:pPr>
        <w:pStyle w:val="TOC8"/>
        <w:rPr>
          <w:rFonts w:asciiTheme="minorHAnsi" w:eastAsiaTheme="minorEastAsia" w:hAnsiTheme="minorHAnsi" w:cstheme="minorBidi"/>
          <w:szCs w:val="22"/>
        </w:rPr>
      </w:pPr>
      <w:r>
        <w:t>49B.</w:t>
      </w:r>
      <w:r>
        <w:tab/>
        <w:t>Use of poisons included in Schedule 8 on racing yachts</w:t>
      </w:r>
      <w:r>
        <w:tab/>
      </w:r>
      <w:r>
        <w:fldChar w:fldCharType="begin"/>
      </w:r>
      <w:r>
        <w:instrText xml:space="preserve"> PAGEREF _Toc389746774 \h </w:instrText>
      </w:r>
      <w:r>
        <w:fldChar w:fldCharType="separate"/>
      </w:r>
      <w:r>
        <w:t>92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Use of poisons included in Schedule 8 on ships and aircraft</w:t>
      </w:r>
      <w:r>
        <w:tab/>
      </w:r>
      <w:r>
        <w:fldChar w:fldCharType="begin"/>
      </w:r>
      <w:r>
        <w:instrText xml:space="preserve"> PAGEREF _Toc389746775 \h </w:instrText>
      </w:r>
      <w:r>
        <w:fldChar w:fldCharType="separate"/>
      </w:r>
      <w:r>
        <w:t>93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Used poisons included in Schedule 8 at hospitals</w:t>
      </w:r>
      <w:r>
        <w:tab/>
      </w:r>
      <w:r>
        <w:fldChar w:fldCharType="begin"/>
      </w:r>
      <w:r>
        <w:instrText xml:space="preserve"> PAGEREF _Toc389746776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w:t>
      </w:r>
      <w:r>
        <w:tab/>
      </w:r>
      <w:r>
        <w:fldChar w:fldCharType="begin"/>
      </w:r>
      <w:r>
        <w:instrText xml:space="preserve"> PAGEREF _Toc389746779 \h </w:instrText>
      </w:r>
      <w:r>
        <w:fldChar w:fldCharType="separate"/>
      </w:r>
      <w:r>
        <w:t>95</w:t>
      </w:r>
      <w:r>
        <w:fldChar w:fldCharType="end"/>
      </w:r>
    </w:p>
    <w:p>
      <w:pPr>
        <w:pStyle w:val="TOC8"/>
        <w:rPr>
          <w:rFonts w:asciiTheme="minorHAnsi" w:eastAsiaTheme="minorEastAsia" w:hAnsiTheme="minorHAnsi" w:cstheme="minorBidi"/>
          <w:szCs w:val="22"/>
        </w:rPr>
      </w:pPr>
      <w:r>
        <w:t>51AAA.</w:t>
      </w:r>
      <w:r>
        <w:tab/>
        <w:t>Prescriptions for poisons included in Schedule 8 for patient discharged from public hospital</w:t>
      </w:r>
      <w:r>
        <w:tab/>
      </w:r>
      <w:r>
        <w:fldChar w:fldCharType="begin"/>
      </w:r>
      <w:r>
        <w:instrText xml:space="preserve"> PAGEREF _Toc389746780 \h </w:instrText>
      </w:r>
      <w:r>
        <w:fldChar w:fldCharType="separate"/>
      </w:r>
      <w:r>
        <w:t>98</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_Toc389746782 \h </w:instrText>
      </w:r>
      <w:r>
        <w:fldChar w:fldCharType="separate"/>
      </w:r>
      <w:r>
        <w:t>98</w:t>
      </w:r>
      <w:r>
        <w:fldChar w:fldCharType="end"/>
      </w:r>
    </w:p>
    <w:p>
      <w:pPr>
        <w:pStyle w:val="TOC8"/>
        <w:rPr>
          <w:rFonts w:asciiTheme="minorHAnsi" w:eastAsiaTheme="minorEastAsia" w:hAnsiTheme="minorHAnsi" w:cstheme="minorBidi"/>
          <w:szCs w:val="22"/>
        </w:rPr>
      </w:pPr>
      <w:r>
        <w:t>51AA.</w:t>
      </w:r>
      <w:r>
        <w:tab/>
        <w:t>Disclosure by drug addict to medical practitioner</w:t>
      </w:r>
      <w:r>
        <w:tab/>
      </w:r>
      <w:r>
        <w:fldChar w:fldCharType="begin"/>
      </w:r>
      <w:r>
        <w:instrText xml:space="preserve"> PAGEREF _Toc389746783 \h </w:instrText>
      </w:r>
      <w:r>
        <w:fldChar w:fldCharType="separate"/>
      </w:r>
      <w:r>
        <w:t>99</w:t>
      </w:r>
      <w:r>
        <w:fldChar w:fldCharType="end"/>
      </w:r>
    </w:p>
    <w:p>
      <w:pPr>
        <w:pStyle w:val="TOC8"/>
        <w:rPr>
          <w:rFonts w:asciiTheme="minorHAnsi" w:eastAsiaTheme="minorEastAsia" w:hAnsiTheme="minorHAnsi" w:cstheme="minorBidi"/>
          <w:szCs w:val="22"/>
        </w:rPr>
      </w:pPr>
      <w:r>
        <w:t>51B.</w:t>
      </w:r>
      <w:r>
        <w:tab/>
        <w:t>Prescription and supply in accordance with this Subdivision — general provision</w:t>
      </w:r>
      <w:r>
        <w:tab/>
      </w:r>
      <w:r>
        <w:fldChar w:fldCharType="begin"/>
      </w:r>
      <w:r>
        <w:instrText xml:space="preserve"> PAGEREF _Toc389746784 \h </w:instrText>
      </w:r>
      <w:r>
        <w:fldChar w:fldCharType="separate"/>
      </w:r>
      <w:r>
        <w:t>100</w:t>
      </w:r>
      <w:r>
        <w:fldChar w:fldCharType="end"/>
      </w:r>
    </w:p>
    <w:p>
      <w:pPr>
        <w:pStyle w:val="TOC8"/>
        <w:rPr>
          <w:rFonts w:asciiTheme="minorHAnsi" w:eastAsiaTheme="minorEastAsia" w:hAnsiTheme="minorHAnsi" w:cstheme="minorBidi"/>
          <w:szCs w:val="22"/>
        </w:rPr>
      </w:pPr>
      <w:r>
        <w:t>51BA.</w:t>
      </w:r>
      <w:r>
        <w:tab/>
        <w:t>P</w:t>
      </w:r>
      <w:r>
        <w:rPr>
          <w:snapToGrid w:val="0"/>
        </w:rPr>
        <w:t>rescribing drugs of addiction for drug addicts other than for the treatment of drug addiction</w:t>
      </w:r>
      <w:r>
        <w:tab/>
      </w:r>
      <w:r>
        <w:fldChar w:fldCharType="begin"/>
      </w:r>
      <w:r>
        <w:instrText xml:space="preserve"> PAGEREF _Toc389746785 \h </w:instrText>
      </w:r>
      <w:r>
        <w:fldChar w:fldCharType="separate"/>
      </w:r>
      <w:r>
        <w:t>100</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Designation of authorised prescribers and specialist prescribers</w:t>
      </w:r>
      <w:r>
        <w:tab/>
      </w:r>
      <w:r>
        <w:fldChar w:fldCharType="begin"/>
      </w:r>
      <w:r>
        <w:instrText xml:space="preserve"> PAGEREF _Toc389746786 \h </w:instrText>
      </w:r>
      <w:r>
        <w:fldChar w:fldCharType="separate"/>
      </w:r>
      <w:r>
        <w:t>101</w:t>
      </w:r>
      <w:r>
        <w:fldChar w:fldCharType="end"/>
      </w:r>
    </w:p>
    <w:p>
      <w:pPr>
        <w:pStyle w:val="TOC8"/>
        <w:rPr>
          <w:rFonts w:asciiTheme="minorHAnsi" w:eastAsiaTheme="minorEastAsia" w:hAnsiTheme="minorHAnsi" w:cstheme="minorBidi"/>
          <w:szCs w:val="22"/>
        </w:rPr>
      </w:pPr>
      <w:r>
        <w:t>51CA.</w:t>
      </w:r>
      <w:r>
        <w:tab/>
        <w:t>Appointment</w:t>
      </w:r>
      <w:r>
        <w:rPr>
          <w:snapToGrid w:val="0"/>
        </w:rPr>
        <w:t xml:space="preserve"> of medical practitioner as authorised prescriber for a drug addict</w:t>
      </w:r>
      <w:r>
        <w:tab/>
      </w:r>
      <w:r>
        <w:fldChar w:fldCharType="begin"/>
      </w:r>
      <w:r>
        <w:instrText xml:space="preserve"> PAGEREF _Toc389746787 \h </w:instrText>
      </w:r>
      <w:r>
        <w:fldChar w:fldCharType="separate"/>
      </w:r>
      <w:r>
        <w:t>101</w:t>
      </w:r>
      <w:r>
        <w:fldChar w:fldCharType="end"/>
      </w:r>
    </w:p>
    <w:p>
      <w:pPr>
        <w:pStyle w:val="TOC8"/>
        <w:rPr>
          <w:rFonts w:asciiTheme="minorHAnsi" w:eastAsiaTheme="minorEastAsia" w:hAnsiTheme="minorHAnsi" w:cstheme="minorBidi"/>
          <w:szCs w:val="22"/>
        </w:rPr>
      </w:pPr>
      <w:r>
        <w:t>51CB.</w:t>
      </w:r>
      <w:r>
        <w:tab/>
        <w:t>Appointment of co</w:t>
      </w:r>
      <w:r>
        <w:noBreakHyphen/>
        <w:t xml:space="preserve">prescriber </w:t>
      </w:r>
      <w:r>
        <w:rPr>
          <w:snapToGrid w:val="0"/>
        </w:rPr>
        <w:t>for a drug addict</w:t>
      </w:r>
      <w:r>
        <w:tab/>
      </w:r>
      <w:r>
        <w:fldChar w:fldCharType="begin"/>
      </w:r>
      <w:r>
        <w:instrText xml:space="preserve"> PAGEREF _Toc389746788 \h </w:instrText>
      </w:r>
      <w:r>
        <w:fldChar w:fldCharType="separate"/>
      </w:r>
      <w:r>
        <w:t>101</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 general rules</w:t>
      </w:r>
      <w:r>
        <w:tab/>
      </w:r>
      <w:r>
        <w:fldChar w:fldCharType="begin"/>
      </w:r>
      <w:r>
        <w:instrText xml:space="preserve"> PAGEREF _Toc389746789 \h </w:instrText>
      </w:r>
      <w:r>
        <w:fldChar w:fldCharType="separate"/>
      </w:r>
      <w:r>
        <w:t>102</w:t>
      </w:r>
      <w:r>
        <w:fldChar w:fldCharType="end"/>
      </w:r>
    </w:p>
    <w:p>
      <w:pPr>
        <w:pStyle w:val="TOC8"/>
        <w:rPr>
          <w:rFonts w:asciiTheme="minorHAnsi" w:eastAsiaTheme="minorEastAsia" w:hAnsiTheme="minorHAnsi" w:cstheme="minorBidi"/>
          <w:szCs w:val="22"/>
        </w:rPr>
      </w:pPr>
      <w:r>
        <w:t>51D.</w:t>
      </w:r>
      <w:r>
        <w:tab/>
        <w:t>P</w:t>
      </w:r>
      <w:r>
        <w:rPr>
          <w:snapToGrid w:val="0"/>
        </w:rPr>
        <w:t>rescribing pharmacotherapies for the treatment of the drug addiction of a drug addict — general rules</w:t>
      </w:r>
      <w:r>
        <w:tab/>
      </w:r>
      <w:r>
        <w:fldChar w:fldCharType="begin"/>
      </w:r>
      <w:r>
        <w:instrText xml:space="preserve"> PAGEREF _Toc389746790 \h </w:instrText>
      </w:r>
      <w:r>
        <w:fldChar w:fldCharType="separate"/>
      </w:r>
      <w:r>
        <w:t>102</w:t>
      </w:r>
      <w:r>
        <w:fldChar w:fldCharType="end"/>
      </w:r>
    </w:p>
    <w:p>
      <w:pPr>
        <w:pStyle w:val="TOC8"/>
        <w:rPr>
          <w:rFonts w:asciiTheme="minorHAnsi" w:eastAsiaTheme="minorEastAsia" w:hAnsiTheme="minorHAnsi" w:cstheme="minorBidi"/>
          <w:szCs w:val="22"/>
        </w:rPr>
      </w:pPr>
      <w:r>
        <w:t>51DA.</w:t>
      </w:r>
      <w:r>
        <w:tab/>
        <w:t>P</w:t>
      </w:r>
      <w:r>
        <w:rPr>
          <w:snapToGrid w:val="0"/>
        </w:rPr>
        <w:t>rescribing pharmacotherapies for the treatment of the drug addiction of a drug addict — in a hospital</w:t>
      </w:r>
      <w:r>
        <w:tab/>
      </w:r>
      <w:r>
        <w:fldChar w:fldCharType="begin"/>
      </w:r>
      <w:r>
        <w:instrText xml:space="preserve"> PAGEREF _Toc389746791 \h </w:instrText>
      </w:r>
      <w:r>
        <w:fldChar w:fldCharType="separate"/>
      </w:r>
      <w:r>
        <w:t>104</w:t>
      </w:r>
      <w:r>
        <w:fldChar w:fldCharType="end"/>
      </w:r>
    </w:p>
    <w:p>
      <w:pPr>
        <w:pStyle w:val="TOC8"/>
        <w:rPr>
          <w:rFonts w:asciiTheme="minorHAnsi" w:eastAsiaTheme="minorEastAsia" w:hAnsiTheme="minorHAnsi" w:cstheme="minorBidi"/>
          <w:szCs w:val="22"/>
        </w:rPr>
      </w:pPr>
      <w:r>
        <w:t>51DB.</w:t>
      </w:r>
      <w:r>
        <w:tab/>
        <w:t>P</w:t>
      </w:r>
      <w:r>
        <w:rPr>
          <w:snapToGrid w:val="0"/>
        </w:rPr>
        <w:t>rescribing pharmacotherapies for the treatment of the drug addiction of a drug addict — in custody</w:t>
      </w:r>
      <w:r>
        <w:tab/>
      </w:r>
      <w:r>
        <w:fldChar w:fldCharType="begin"/>
      </w:r>
      <w:r>
        <w:instrText xml:space="preserve"> PAGEREF _Toc389746792 \h </w:instrText>
      </w:r>
      <w:r>
        <w:fldChar w:fldCharType="separate"/>
      </w:r>
      <w:r>
        <w:t>104</w:t>
      </w:r>
      <w:r>
        <w:fldChar w:fldCharType="end"/>
      </w:r>
    </w:p>
    <w:p>
      <w:pPr>
        <w:pStyle w:val="TOC8"/>
        <w:rPr>
          <w:rFonts w:asciiTheme="minorHAnsi" w:eastAsiaTheme="minorEastAsia" w:hAnsiTheme="minorHAnsi" w:cstheme="minorBidi"/>
          <w:szCs w:val="22"/>
        </w:rPr>
      </w:pPr>
      <w:r>
        <w:t>51DC.</w:t>
      </w:r>
      <w:r>
        <w:tab/>
        <w:t>P</w:t>
      </w:r>
      <w:r>
        <w:rPr>
          <w:snapToGrid w:val="0"/>
        </w:rPr>
        <w:t>rescribing pharmacotherapies for the treatment of the drug addiction of a drug addict — interim prescriptions</w:t>
      </w:r>
      <w:r>
        <w:tab/>
      </w:r>
      <w:r>
        <w:fldChar w:fldCharType="begin"/>
      </w:r>
      <w:r>
        <w:instrText xml:space="preserve"> PAGEREF _Toc389746793 \h </w:instrText>
      </w:r>
      <w:r>
        <w:fldChar w:fldCharType="separate"/>
      </w:r>
      <w:r>
        <w:t>105</w:t>
      </w:r>
      <w:r>
        <w:fldChar w:fldCharType="end"/>
      </w:r>
    </w:p>
    <w:p>
      <w:pPr>
        <w:pStyle w:val="TOC8"/>
        <w:rPr>
          <w:rFonts w:asciiTheme="minorHAnsi" w:eastAsiaTheme="minorEastAsia" w:hAnsiTheme="minorHAnsi" w:cstheme="minorBidi"/>
          <w:szCs w:val="22"/>
        </w:rPr>
      </w:pPr>
      <w:r>
        <w:t>51E.</w:t>
      </w:r>
      <w:r>
        <w:tab/>
        <w:t>Dispensing drugs of addiction from a pharmacy</w:t>
      </w:r>
      <w:r>
        <w:tab/>
      </w:r>
      <w:r>
        <w:fldChar w:fldCharType="begin"/>
      </w:r>
      <w:r>
        <w:instrText xml:space="preserve"> PAGEREF _Toc389746794 \h </w:instrText>
      </w:r>
      <w:r>
        <w:fldChar w:fldCharType="separate"/>
      </w:r>
      <w:r>
        <w:t>105</w:t>
      </w:r>
      <w:r>
        <w:fldChar w:fldCharType="end"/>
      </w:r>
    </w:p>
    <w:p>
      <w:pPr>
        <w:pStyle w:val="TOC8"/>
        <w:rPr>
          <w:rFonts w:asciiTheme="minorHAnsi" w:eastAsiaTheme="minorEastAsia" w:hAnsiTheme="minorHAnsi" w:cstheme="minorBidi"/>
          <w:szCs w:val="22"/>
        </w:rPr>
      </w:pPr>
      <w:r>
        <w:t>51EA.</w:t>
      </w:r>
      <w:r>
        <w:tab/>
        <w:t>Dispensing pharmacotherapies from a pharmacy</w:t>
      </w:r>
      <w:r>
        <w:tab/>
      </w:r>
      <w:r>
        <w:fldChar w:fldCharType="begin"/>
      </w:r>
      <w:r>
        <w:instrText xml:space="preserve"> PAGEREF _Toc389746795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Treatment not to exceed 60 days unless authorised by </w:t>
      </w:r>
      <w:r>
        <w:t>CEO</w:t>
      </w:r>
      <w:r>
        <w:tab/>
      </w:r>
      <w:r>
        <w:fldChar w:fldCharType="begin"/>
      </w:r>
      <w:r>
        <w:instrText xml:space="preserve"> PAGEREF _Toc389746797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_Toc389746799 \h </w:instrText>
      </w:r>
      <w:r>
        <w:fldChar w:fldCharType="separate"/>
      </w:r>
      <w:r>
        <w:t>109</w:t>
      </w:r>
      <w:r>
        <w:fldChar w:fldCharType="end"/>
      </w:r>
    </w:p>
    <w:p>
      <w:pPr>
        <w:pStyle w:val="TOC8"/>
        <w:rPr>
          <w:rFonts w:asciiTheme="minorHAnsi" w:eastAsiaTheme="minorEastAsia" w:hAnsiTheme="minorHAnsi" w:cstheme="minorBidi"/>
          <w:szCs w:val="22"/>
        </w:rPr>
      </w:pPr>
      <w:r>
        <w:t>51FB.</w:t>
      </w:r>
      <w:r>
        <w:tab/>
        <w:t>Who may supply or prescribe a stimulant</w:t>
      </w:r>
      <w:r>
        <w:tab/>
      </w:r>
      <w:r>
        <w:fldChar w:fldCharType="begin"/>
      </w:r>
      <w:r>
        <w:instrText xml:space="preserve"> PAGEREF _Toc389746800 \h </w:instrText>
      </w:r>
      <w:r>
        <w:fldChar w:fldCharType="separate"/>
      </w:r>
      <w:r>
        <w:t>110</w:t>
      </w:r>
      <w:r>
        <w:fldChar w:fldCharType="end"/>
      </w:r>
    </w:p>
    <w:p>
      <w:pPr>
        <w:pStyle w:val="TOC8"/>
        <w:rPr>
          <w:rFonts w:asciiTheme="minorHAnsi" w:eastAsiaTheme="minorEastAsia" w:hAnsiTheme="minorHAnsi" w:cstheme="minorBidi"/>
          <w:szCs w:val="22"/>
        </w:rPr>
      </w:pPr>
      <w:r>
        <w:t>51FC.</w:t>
      </w:r>
      <w:r>
        <w:tab/>
        <w:t>Stimulant Prescribing Code</w:t>
      </w:r>
      <w:r>
        <w:tab/>
      </w:r>
      <w:r>
        <w:fldChar w:fldCharType="begin"/>
      </w:r>
      <w:r>
        <w:instrText xml:space="preserve"> PAGEREF _Toc389746801 \h </w:instrText>
      </w:r>
      <w:r>
        <w:fldChar w:fldCharType="separate"/>
      </w:r>
      <w:r>
        <w:t>111</w:t>
      </w:r>
      <w:r>
        <w:fldChar w:fldCharType="end"/>
      </w:r>
    </w:p>
    <w:p>
      <w:pPr>
        <w:pStyle w:val="TOC8"/>
        <w:rPr>
          <w:rFonts w:asciiTheme="minorHAnsi" w:eastAsiaTheme="minorEastAsia" w:hAnsiTheme="minorHAnsi" w:cstheme="minorBidi"/>
          <w:szCs w:val="22"/>
        </w:rPr>
      </w:pPr>
      <w:r>
        <w:t>51FD.</w:t>
      </w:r>
      <w:r>
        <w:tab/>
        <w:t>CEO may order treatment to be terminated or varied</w:t>
      </w:r>
      <w:r>
        <w:tab/>
      </w:r>
      <w:r>
        <w:fldChar w:fldCharType="begin"/>
      </w:r>
      <w:r>
        <w:instrText xml:space="preserve"> PAGEREF _Toc389746802 \h </w:instrText>
      </w:r>
      <w:r>
        <w:fldChar w:fldCharType="separate"/>
      </w:r>
      <w:r>
        <w:t>112</w:t>
      </w:r>
      <w:r>
        <w:fldChar w:fldCharType="end"/>
      </w:r>
    </w:p>
    <w:p>
      <w:pPr>
        <w:pStyle w:val="TOC8"/>
        <w:rPr>
          <w:rFonts w:asciiTheme="minorHAnsi" w:eastAsiaTheme="minorEastAsia" w:hAnsiTheme="minorHAnsi" w:cstheme="minorBidi"/>
          <w:szCs w:val="22"/>
        </w:rPr>
      </w:pPr>
      <w:r>
        <w:t>51FE.</w:t>
      </w:r>
      <w:r>
        <w:tab/>
        <w:t>CEO to be notified of supply or prescription</w:t>
      </w:r>
      <w:r>
        <w:tab/>
      </w:r>
      <w:r>
        <w:fldChar w:fldCharType="begin"/>
      </w:r>
      <w:r>
        <w:instrText xml:space="preserve"> PAGEREF _Toc389746803 \h </w:instrText>
      </w:r>
      <w:r>
        <w:fldChar w:fldCharType="separate"/>
      </w:r>
      <w:r>
        <w:t>113</w:t>
      </w:r>
      <w:r>
        <w:fldChar w:fldCharType="end"/>
      </w:r>
    </w:p>
    <w:p>
      <w:pPr>
        <w:pStyle w:val="TOC8"/>
        <w:rPr>
          <w:rFonts w:asciiTheme="minorHAnsi" w:eastAsiaTheme="minorEastAsia" w:hAnsiTheme="minorHAnsi" w:cstheme="minorBidi"/>
          <w:szCs w:val="22"/>
        </w:rPr>
      </w:pPr>
      <w:r>
        <w:t>51FF.</w:t>
      </w:r>
      <w:r>
        <w:tab/>
        <w:t>Current prescriber and current clinic</w:t>
      </w:r>
      <w:r>
        <w:tab/>
      </w:r>
      <w:r>
        <w:fldChar w:fldCharType="begin"/>
      </w:r>
      <w:r>
        <w:instrText xml:space="preserve"> PAGEREF _Toc389746804 \h </w:instrText>
      </w:r>
      <w:r>
        <w:fldChar w:fldCharType="separate"/>
      </w:r>
      <w:r>
        <w:t>114</w:t>
      </w:r>
      <w:r>
        <w:fldChar w:fldCharType="end"/>
      </w:r>
    </w:p>
    <w:p>
      <w:pPr>
        <w:pStyle w:val="TOC8"/>
        <w:rPr>
          <w:rFonts w:asciiTheme="minorHAnsi" w:eastAsiaTheme="minorEastAsia" w:hAnsiTheme="minorHAnsi" w:cstheme="minorBidi"/>
          <w:szCs w:val="22"/>
        </w:rPr>
      </w:pPr>
      <w:r>
        <w:t>51FG.</w:t>
      </w:r>
      <w:r>
        <w:tab/>
        <w:t>Authorisation of practitioners</w:t>
      </w:r>
      <w:r>
        <w:tab/>
      </w:r>
      <w:r>
        <w:fldChar w:fldCharType="begin"/>
      </w:r>
      <w:r>
        <w:instrText xml:space="preserve"> PAGEREF _Toc389746805 \h </w:instrText>
      </w:r>
      <w:r>
        <w:fldChar w:fldCharType="separate"/>
      </w:r>
      <w:r>
        <w:t>116</w:t>
      </w:r>
      <w:r>
        <w:fldChar w:fldCharType="end"/>
      </w:r>
    </w:p>
    <w:p>
      <w:pPr>
        <w:pStyle w:val="TOC8"/>
        <w:rPr>
          <w:rFonts w:asciiTheme="minorHAnsi" w:eastAsiaTheme="minorEastAsia" w:hAnsiTheme="minorHAnsi" w:cstheme="minorBidi"/>
          <w:szCs w:val="22"/>
        </w:rPr>
      </w:pPr>
      <w:r>
        <w:t>51FH.</w:t>
      </w:r>
      <w:r>
        <w:tab/>
        <w:t>Co</w:t>
      </w:r>
      <w:r>
        <w:noBreakHyphen/>
        <w:t>prescribers</w:t>
      </w:r>
      <w:r>
        <w:tab/>
      </w:r>
      <w:r>
        <w:fldChar w:fldCharType="begin"/>
      </w:r>
      <w:r>
        <w:instrText xml:space="preserve"> PAGEREF _Toc389746806 \h </w:instrText>
      </w:r>
      <w:r>
        <w:fldChar w:fldCharType="separate"/>
      </w:r>
      <w:r>
        <w:t>116</w:t>
      </w:r>
      <w:r>
        <w:fldChar w:fldCharType="end"/>
      </w:r>
    </w:p>
    <w:p>
      <w:pPr>
        <w:pStyle w:val="TOC8"/>
        <w:rPr>
          <w:rFonts w:asciiTheme="minorHAnsi" w:eastAsiaTheme="minorEastAsia" w:hAnsiTheme="minorHAnsi" w:cstheme="minorBidi"/>
          <w:szCs w:val="22"/>
        </w:rPr>
      </w:pPr>
      <w:r>
        <w:t>51FJ.</w:t>
      </w:r>
      <w:r>
        <w:tab/>
        <w:t>Approval of public sector clinics</w:t>
      </w:r>
      <w:r>
        <w:tab/>
      </w:r>
      <w:r>
        <w:fldChar w:fldCharType="begin"/>
      </w:r>
      <w:r>
        <w:instrText xml:space="preserve"> PAGEREF _Toc389746807 \h </w:instrText>
      </w:r>
      <w:r>
        <w:fldChar w:fldCharType="separate"/>
      </w:r>
      <w:r>
        <w:t>118</w:t>
      </w:r>
      <w:r>
        <w:fldChar w:fldCharType="end"/>
      </w:r>
    </w:p>
    <w:p>
      <w:pPr>
        <w:pStyle w:val="TOC8"/>
        <w:rPr>
          <w:rFonts w:asciiTheme="minorHAnsi" w:eastAsiaTheme="minorEastAsia" w:hAnsiTheme="minorHAnsi" w:cstheme="minorBidi"/>
          <w:szCs w:val="22"/>
        </w:rPr>
      </w:pPr>
      <w:r>
        <w:t>51FK.</w:t>
      </w:r>
      <w:r>
        <w:tab/>
        <w:t>Change of manager</w:t>
      </w:r>
      <w:r>
        <w:tab/>
      </w:r>
      <w:r>
        <w:fldChar w:fldCharType="begin"/>
      </w:r>
      <w:r>
        <w:instrText xml:space="preserve"> PAGEREF _Toc389746808 \h </w:instrText>
      </w:r>
      <w:r>
        <w:fldChar w:fldCharType="separate"/>
      </w:r>
      <w:r>
        <w:t>119</w:t>
      </w:r>
      <w:r>
        <w:fldChar w:fldCharType="end"/>
      </w:r>
    </w:p>
    <w:p>
      <w:pPr>
        <w:pStyle w:val="TOC6"/>
        <w:tabs>
          <w:tab w:val="right" w:leader="dot" w:pos="7086"/>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Supply of dronabinol</w:t>
      </w:r>
      <w:r>
        <w:tab/>
      </w:r>
      <w:r>
        <w:fldChar w:fldCharType="begin"/>
      </w:r>
      <w:r>
        <w:instrText xml:space="preserve"> PAGEREF _Toc389746810 \h </w:instrText>
      </w:r>
      <w:r>
        <w:fldChar w:fldCharType="separate"/>
      </w:r>
      <w:r>
        <w:t>119</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Supply of flunitrazepam</w:t>
      </w:r>
      <w:r>
        <w:tab/>
      </w:r>
      <w:r>
        <w:fldChar w:fldCharType="begin"/>
      </w:r>
      <w:r>
        <w:instrText xml:space="preserve"> PAGEREF _Toc389746811 \h </w:instrText>
      </w:r>
      <w:r>
        <w:fldChar w:fldCharType="separate"/>
      </w:r>
      <w:r>
        <w:t>120</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Dentists not to prescribe or supply certain drugs of addiction</w:t>
      </w:r>
      <w:r>
        <w:tab/>
      </w:r>
      <w:r>
        <w:fldChar w:fldCharType="begin"/>
      </w:r>
      <w:r>
        <w:instrText xml:space="preserve"> PAGEREF _Toc389746812 \h </w:instrText>
      </w:r>
      <w:r>
        <w:fldChar w:fldCharType="separate"/>
      </w:r>
      <w:r>
        <w:t>121</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drugs of addiction</w:t>
      </w:r>
      <w:r>
        <w:tab/>
      </w:r>
      <w:r>
        <w:fldChar w:fldCharType="begin"/>
      </w:r>
      <w:r>
        <w:instrText xml:space="preserve"> PAGEREF _Toc389746814 \h </w:instrText>
      </w:r>
      <w:r>
        <w:fldChar w:fldCharType="separate"/>
      </w:r>
      <w:r>
        <w:t>122</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Movement of drugs of addiction in other circumstances</w:t>
      </w:r>
      <w:r>
        <w:tab/>
      </w:r>
      <w:r>
        <w:fldChar w:fldCharType="begin"/>
      </w:r>
      <w:r>
        <w:instrText xml:space="preserve"> PAGEREF _Toc389746815 \h </w:instrText>
      </w:r>
      <w:r>
        <w:fldChar w:fldCharType="separate"/>
      </w:r>
      <w:r>
        <w:t>129</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Manner of recording details</w:t>
      </w:r>
      <w:r>
        <w:tab/>
      </w:r>
      <w:r>
        <w:fldChar w:fldCharType="begin"/>
      </w:r>
      <w:r>
        <w:instrText xml:space="preserve"> PAGEREF _Toc389746816 \h </w:instrText>
      </w:r>
      <w:r>
        <w:fldChar w:fldCharType="separate"/>
      </w:r>
      <w:r>
        <w:t>129</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Returns to department</w:t>
      </w:r>
      <w:r>
        <w:tab/>
      </w:r>
      <w:r>
        <w:fldChar w:fldCharType="begin"/>
      </w:r>
      <w:r>
        <w:instrText xml:space="preserve"> PAGEREF _Toc389746817 \h </w:instrText>
      </w:r>
      <w:r>
        <w:fldChar w:fldCharType="separate"/>
      </w:r>
      <w:r>
        <w:t>129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poisons included in Schedule 8 in case of emergency</w:t>
      </w:r>
      <w:r>
        <w:tab/>
      </w:r>
      <w:r>
        <w:fldChar w:fldCharType="begin"/>
      </w:r>
      <w:r>
        <w:instrText xml:space="preserve"> PAGEREF _Toc389746818 \h </w:instrText>
      </w:r>
      <w:r>
        <w:fldChar w:fldCharType="separate"/>
      </w:r>
      <w:r>
        <w:t>130</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poisons included in Schedule 8</w:t>
      </w:r>
      <w:r>
        <w:tab/>
      </w:r>
      <w:r>
        <w:fldChar w:fldCharType="begin"/>
      </w:r>
      <w:r>
        <w:instrText xml:space="preserve"> PAGEREF _Toc389746819 \h </w:instrText>
      </w:r>
      <w:r>
        <w:fldChar w:fldCharType="separate"/>
      </w:r>
      <w:r>
        <w:t>131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poisons included in Schedule 8 on order</w:t>
      </w:r>
      <w:r>
        <w:tab/>
      </w:r>
      <w:r>
        <w:fldChar w:fldCharType="begin"/>
      </w:r>
      <w:r>
        <w:instrText xml:space="preserve"> PAGEREF _Toc389746820 \h </w:instrText>
      </w:r>
      <w:r>
        <w:fldChar w:fldCharType="separate"/>
      </w:r>
      <w:r>
        <w:t>131</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_Toc389746821 \h </w:instrText>
      </w:r>
      <w:r>
        <w:fldChar w:fldCharType="separate"/>
      </w:r>
      <w:r>
        <w:t>133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 protected</w:t>
      </w:r>
      <w:r>
        <w:tab/>
      </w:r>
      <w:r>
        <w:fldChar w:fldCharType="begin"/>
      </w:r>
      <w:r>
        <w:instrText xml:space="preserve"> PAGEREF _Toc389746822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_Toc389746824 \h </w:instrText>
      </w:r>
      <w:r>
        <w:fldChar w:fldCharType="separate"/>
      </w:r>
      <w:r>
        <w:t>133</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Prescribed amount of poisons included in Schedule 8</w:t>
      </w:r>
      <w:r>
        <w:tab/>
      </w:r>
      <w:r>
        <w:fldChar w:fldCharType="begin"/>
      </w:r>
      <w:r>
        <w:instrText xml:space="preserve"> PAGEREF _Toc389746825 \h </w:instrText>
      </w:r>
      <w:r>
        <w:fldChar w:fldCharType="separate"/>
      </w:r>
      <w:r>
        <w:t>135</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Location of safe in premises</w:t>
      </w:r>
      <w:r>
        <w:tab/>
      </w:r>
      <w:r>
        <w:fldChar w:fldCharType="begin"/>
      </w:r>
      <w:r>
        <w:instrText xml:space="preserve"> PAGEREF _Toc389746826 \h </w:instrText>
      </w:r>
      <w:r>
        <w:fldChar w:fldCharType="separate"/>
      </w:r>
      <w:r>
        <w:t>136</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Authorised persons to keep keys to safes</w:t>
      </w:r>
      <w:r>
        <w:tab/>
      </w:r>
      <w:r>
        <w:fldChar w:fldCharType="begin"/>
      </w:r>
      <w:r>
        <w:instrText xml:space="preserve"> PAGEREF _Toc389746827 \h </w:instrText>
      </w:r>
      <w:r>
        <w:fldChar w:fldCharType="separate"/>
      </w:r>
      <w:r>
        <w:t>136</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to be kept locked</w:t>
      </w:r>
      <w:r>
        <w:tab/>
      </w:r>
      <w:r>
        <w:fldChar w:fldCharType="begin"/>
      </w:r>
      <w:r>
        <w:instrText xml:space="preserve"> PAGEREF _Toc389746828 \h </w:instrText>
      </w:r>
      <w:r>
        <w:fldChar w:fldCharType="separate"/>
      </w:r>
      <w:r>
        <w:t>136</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present on premises</w:t>
      </w:r>
      <w:r>
        <w:tab/>
      </w:r>
      <w:r>
        <w:fldChar w:fldCharType="begin"/>
      </w:r>
      <w:r>
        <w:instrText xml:space="preserve"> PAGEREF _Toc389746829 \h </w:instrText>
      </w:r>
      <w:r>
        <w:fldChar w:fldCharType="separate"/>
      </w:r>
      <w:r>
        <w:t>137</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Keys to, and locking of, poisons cupboards and lockable drawers</w:t>
      </w:r>
      <w:r>
        <w:tab/>
      </w:r>
      <w:r>
        <w:fldChar w:fldCharType="begin"/>
      </w:r>
      <w:r>
        <w:instrText xml:space="preserve"> PAGEREF _Toc389746830 \h </w:instrText>
      </w:r>
      <w:r>
        <w:fldChar w:fldCharType="separate"/>
      </w:r>
      <w:r>
        <w:t>137</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Poisons included in Schedule 8 in hospital ward</w:t>
      </w:r>
      <w:r>
        <w:tab/>
      </w:r>
      <w:r>
        <w:fldChar w:fldCharType="begin"/>
      </w:r>
      <w:r>
        <w:instrText xml:space="preserve"> PAGEREF _Toc389746831 \h </w:instrText>
      </w:r>
      <w:r>
        <w:fldChar w:fldCharType="separate"/>
      </w:r>
      <w:r>
        <w:t>138</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Keys to, and locking of, cupboards in hospital wards</w:t>
      </w:r>
      <w:r>
        <w:tab/>
      </w:r>
      <w:r>
        <w:fldChar w:fldCharType="begin"/>
      </w:r>
      <w:r>
        <w:instrText xml:space="preserve"> PAGEREF _Toc389746832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w:t>
      </w:r>
      <w:r>
        <w:tab/>
      </w:r>
      <w:r>
        <w:fldChar w:fldCharType="begin"/>
      </w:r>
      <w:r>
        <w:instrText xml:space="preserve"> PAGEREF _Toc389746834 \h </w:instrText>
      </w:r>
      <w:r>
        <w:fldChar w:fldCharType="separate"/>
      </w:r>
      <w:r>
        <w:t>139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Improper prescribing or use of drugs of addiction</w:t>
      </w:r>
      <w:r>
        <w:tab/>
      </w:r>
      <w:r>
        <w:fldChar w:fldCharType="begin"/>
      </w:r>
      <w:r>
        <w:instrText xml:space="preserve"> PAGEREF _Toc389746835 \h </w:instrText>
      </w:r>
      <w:r>
        <w:fldChar w:fldCharType="separate"/>
      </w:r>
      <w:r>
        <w:t>139</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Names of persons from whom licence or authority withdrawn to be published</w:t>
      </w:r>
      <w:r>
        <w:tab/>
      </w:r>
      <w:r>
        <w:fldChar w:fldCharType="begin"/>
      </w:r>
      <w:r>
        <w:instrText xml:space="preserve"> PAGEREF _Toc389746837 \h </w:instrText>
      </w:r>
      <w:r>
        <w:fldChar w:fldCharType="separate"/>
      </w:r>
      <w:r>
        <w:t>140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a drug for another</w:t>
      </w:r>
      <w:r>
        <w:tab/>
      </w:r>
      <w:r>
        <w:fldChar w:fldCharType="begin"/>
      </w:r>
      <w:r>
        <w:instrText xml:space="preserve"> PAGEREF _Toc389746838 \h </w:instrText>
      </w:r>
      <w:r>
        <w:fldChar w:fldCharType="separate"/>
      </w:r>
      <w:r>
        <w:t>140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Form of warrant (section 55A)</w:t>
      </w:r>
      <w:r>
        <w:tab/>
      </w:r>
      <w:r>
        <w:fldChar w:fldCharType="begin"/>
      </w:r>
      <w:r>
        <w:instrText xml:space="preserve"> PAGEREF _Toc389746839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_Toc389746842 \h </w:instrText>
      </w:r>
      <w:r>
        <w:fldChar w:fldCharType="separate"/>
      </w:r>
      <w:r>
        <w:t>142</w:t>
      </w:r>
      <w:r>
        <w:fldChar w:fldCharType="end"/>
      </w:r>
    </w:p>
    <w:p>
      <w:pPr>
        <w:pStyle w:val="TOC8"/>
        <w:rPr>
          <w:rFonts w:asciiTheme="minorHAnsi" w:eastAsiaTheme="minorEastAsia" w:hAnsiTheme="minorHAnsi" w:cstheme="minorBidi"/>
          <w:szCs w:val="22"/>
        </w:rPr>
      </w:pPr>
      <w:r>
        <w:t>67.</w:t>
      </w:r>
      <w:r>
        <w:tab/>
        <w:t>Authorisation to prescribe drugs of addiction</w:t>
      </w:r>
      <w:r>
        <w:tab/>
      </w:r>
      <w:r>
        <w:fldChar w:fldCharType="begin"/>
      </w:r>
      <w:r>
        <w:instrText xml:space="preserve"> PAGEREF _Toc389746843 \h </w:instrText>
      </w:r>
      <w:r>
        <w:fldChar w:fldCharType="separate"/>
      </w:r>
      <w:r>
        <w:t>142</w:t>
      </w:r>
      <w:r>
        <w:fldChar w:fldCharType="end"/>
      </w:r>
    </w:p>
    <w:p>
      <w:pPr>
        <w:pStyle w:val="TOC8"/>
        <w:rPr>
          <w:rFonts w:asciiTheme="minorHAnsi" w:eastAsiaTheme="minorEastAsia" w:hAnsiTheme="minorHAnsi" w:cstheme="minorBidi"/>
          <w:szCs w:val="22"/>
        </w:rPr>
      </w:pPr>
      <w:r>
        <w:t>68.</w:t>
      </w:r>
      <w:r>
        <w:tab/>
        <w:t>Authorisation to prescribe pharmacotherapies</w:t>
      </w:r>
      <w:r>
        <w:tab/>
      </w:r>
      <w:r>
        <w:fldChar w:fldCharType="begin"/>
      </w:r>
      <w:r>
        <w:instrText xml:space="preserve"> PAGEREF _Toc389746844 \h </w:instrText>
      </w:r>
      <w:r>
        <w:fldChar w:fldCharType="separate"/>
      </w:r>
      <w:r>
        <w:t>142</w:t>
      </w:r>
      <w:r>
        <w:fldChar w:fldCharType="end"/>
      </w:r>
    </w:p>
    <w:p>
      <w:pPr>
        <w:pStyle w:val="TOC8"/>
        <w:rPr>
          <w:rFonts w:asciiTheme="minorHAnsi" w:eastAsiaTheme="minorEastAsia" w:hAnsiTheme="minorHAnsi" w:cstheme="minorBidi"/>
          <w:szCs w:val="22"/>
        </w:rPr>
      </w:pPr>
      <w:r>
        <w:t>69.</w:t>
      </w:r>
      <w:r>
        <w:tab/>
        <w:t>Prescriptions</w:t>
      </w:r>
      <w:r>
        <w:tab/>
      </w:r>
      <w:r>
        <w:fldChar w:fldCharType="begin"/>
      </w:r>
      <w:r>
        <w:instrText xml:space="preserve"> PAGEREF _Toc389746845 \h </w:instrText>
      </w:r>
      <w:r>
        <w:fldChar w:fldCharType="separate"/>
      </w:r>
      <w:r>
        <w:t>143</w:t>
      </w:r>
      <w:r>
        <w:fldChar w:fldCharType="end"/>
      </w:r>
    </w:p>
    <w:p>
      <w:pPr>
        <w:pStyle w:val="TOC8"/>
        <w:rPr>
          <w:rFonts w:asciiTheme="minorHAnsi" w:eastAsiaTheme="minorEastAsia" w:hAnsiTheme="minorHAnsi" w:cstheme="minorBidi"/>
          <w:szCs w:val="22"/>
        </w:rPr>
      </w:pPr>
      <w:r>
        <w:t>70.</w:t>
      </w:r>
      <w:r>
        <w:tab/>
        <w:t>Dispensing drugs of addiction from a pharmacy</w:t>
      </w:r>
      <w:r>
        <w:tab/>
      </w:r>
      <w:r>
        <w:fldChar w:fldCharType="begin"/>
      </w:r>
      <w:r>
        <w:instrText xml:space="preserve"> PAGEREF _Toc389746846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w:t>
      </w:r>
      <w:r>
        <w:tab/>
      </w:r>
      <w:r>
        <w:fldChar w:fldCharType="begin"/>
      </w:r>
      <w:r>
        <w:instrText xml:space="preserve"> PAGEREF _Toc389746860 \h </w:instrText>
      </w:r>
      <w:r>
        <w:fldChar w:fldCharType="separate"/>
      </w:r>
      <w:r>
        <w:t>168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_Toc389746861 \h </w:instrText>
      </w:r>
      <w:r>
        <w:fldChar w:fldCharType="separate"/>
      </w:r>
      <w:r>
        <w:t>169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_Toc389746863 \h </w:instrText>
      </w:r>
      <w:r>
        <w:fldChar w:fldCharType="separate"/>
      </w:r>
      <w:r>
        <w:t>170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652"/>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653"/>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654"/>
      <w:r>
        <w:rPr>
          <w:rStyle w:val="CharSectno"/>
        </w:rPr>
        <w:t>2</w:t>
      </w:r>
      <w:r>
        <w:rPr>
          <w:snapToGrid w:val="0"/>
        </w:rPr>
        <w:t>.</w:t>
      </w:r>
      <w:r>
        <w:rPr>
          <w:snapToGrid w:val="0"/>
        </w:rPr>
        <w:tab/>
        <w:t>Terms used</w:t>
      </w:r>
      <w:bookmarkEnd w:id="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spacing w:before="70"/>
      </w:pPr>
      <w:r>
        <w:rPr>
          <w:b/>
        </w:rPr>
        <w:tab/>
      </w:r>
      <w:r>
        <w:rPr>
          <w:rStyle w:val="CharDefText"/>
        </w:rPr>
        <w:t>dermatologist</w:t>
      </w:r>
      <w:r>
        <w:t xml:space="preserve"> means a medical practitioner who has qualifications recognised by the Medical Board as appropriate to a specialist in dermatology;</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 xml:space="preserve"> </w:t>
      </w:r>
      <w:r>
        <w:rPr>
          <w:vertAlign w:val="superscript"/>
        </w:rPr>
        <w:t>2</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3</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midwife as defined in the </w:t>
      </w:r>
      <w:r>
        <w:rPr>
          <w:i/>
        </w:rPr>
        <w:t>Nurses and Midwives Act 2006</w:t>
      </w:r>
      <w:r>
        <w:t>;</w:t>
      </w:r>
    </w:p>
    <w:p>
      <w:pPr>
        <w:pStyle w:val="Defstart"/>
      </w:pPr>
      <w:r>
        <w:tab/>
      </w:r>
      <w:r>
        <w:rPr>
          <w:rStyle w:val="CharDefText"/>
        </w:rPr>
        <w:t>registered nurse</w:t>
      </w:r>
      <w:r>
        <w:t xml:space="preserve"> has the meaning given in the </w:t>
      </w:r>
      <w:r>
        <w:rPr>
          <w:i/>
        </w:rPr>
        <w:t>Nurses and Midwives Act 2006</w:t>
      </w:r>
      <w:r>
        <w:t xml:space="preserve"> section 3;</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 xml:space="preserve">17; 11 Apr 1997 p. 1829; 27 Nov 1998 p. 6343; 12 Aug 2003 p. 3658; 15 Nov 2005 p. 5603; 15 Dec 2006 p. 5630; 7 Nov 2008 p. 4805; 12 Jun 2009 p. 2109; 26 Mar 2010 p. 1146; 27 Apr 2010 p. 1583; 1 Oct 2010 p. 5078 and 5079-80; amended by Act No. 9 of 2003 s. 41.] </w:t>
      </w:r>
    </w:p>
    <w:p>
      <w:pPr>
        <w:pStyle w:val="Heading5"/>
      </w:pPr>
      <w:bookmarkStart w:id="4" w:name="_Toc389746655"/>
      <w:r>
        <w:rPr>
          <w:rStyle w:val="CharSectno"/>
        </w:rPr>
        <w:t>2AAA</w:t>
      </w:r>
      <w:r>
        <w:t>.</w:t>
      </w:r>
      <w:r>
        <w:tab/>
        <w:t>Notes not part of regulations</w:t>
      </w:r>
      <w:bookmarkEnd w:id="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5" w:name="_Toc389746656"/>
      <w:r>
        <w:rPr>
          <w:rStyle w:val="CharSectno"/>
        </w:rPr>
        <w:t>2AA</w:t>
      </w:r>
      <w:r>
        <w:rPr>
          <w:snapToGrid w:val="0"/>
        </w:rPr>
        <w:t>.</w:t>
      </w:r>
      <w:r>
        <w:rPr>
          <w:snapToGrid w:val="0"/>
        </w:rPr>
        <w:tab/>
        <w:t>Prescribed office (section 64B)</w:t>
      </w:r>
      <w:bookmarkEnd w:id="5"/>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6" w:name="_Toc389746657"/>
      <w:r>
        <w:rPr>
          <w:rStyle w:val="CharSectno"/>
        </w:rPr>
        <w:t>2A</w:t>
      </w:r>
      <w:r>
        <w:rPr>
          <w:snapToGrid w:val="0"/>
        </w:rPr>
        <w:t>.</w:t>
      </w:r>
      <w:r>
        <w:rPr>
          <w:snapToGrid w:val="0"/>
        </w:rPr>
        <w:tab/>
        <w:t>Exemptions</w:t>
      </w:r>
      <w:bookmarkEnd w:id="6"/>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7" w:name="_Toc389746658"/>
      <w:r>
        <w:rPr>
          <w:rStyle w:val="CharPartNo"/>
        </w:rPr>
        <w:t>Part 2</w:t>
      </w:r>
      <w:r>
        <w:t xml:space="preserve"> — </w:t>
      </w:r>
      <w:r>
        <w:rPr>
          <w:rStyle w:val="CharPartText"/>
        </w:rPr>
        <w:t>Licences and permits</w:t>
      </w:r>
      <w:bookmarkEnd w:id="7"/>
      <w:r>
        <w:rPr>
          <w:i/>
        </w:rPr>
        <w:t xml:space="preserve"> </w:t>
      </w:r>
    </w:p>
    <w:p>
      <w:pPr>
        <w:pStyle w:val="Footnoteheading"/>
      </w:pPr>
      <w:r>
        <w:tab/>
        <w:t>[Heading inserted in Gazette 12 Aug 2003 p. 3664.]</w:t>
      </w:r>
    </w:p>
    <w:p>
      <w:pPr>
        <w:pStyle w:val="Heading3"/>
        <w:spacing w:before="220"/>
      </w:pPr>
      <w:bookmarkStart w:id="8" w:name="_Toc389746659"/>
      <w:r>
        <w:rPr>
          <w:rStyle w:val="CharDivNo"/>
        </w:rPr>
        <w:t>Division 1</w:t>
      </w:r>
      <w:r>
        <w:t xml:space="preserve"> — </w:t>
      </w:r>
      <w:r>
        <w:rPr>
          <w:rStyle w:val="CharDivText"/>
        </w:rPr>
        <w:t>General</w:t>
      </w:r>
      <w:bookmarkEnd w:id="8"/>
    </w:p>
    <w:p>
      <w:pPr>
        <w:pStyle w:val="Footnoteheading"/>
      </w:pPr>
      <w:r>
        <w:tab/>
        <w:t>[Heading inserted in Gazette 12 Aug 2003 p. 3664.]</w:t>
      </w:r>
    </w:p>
    <w:p>
      <w:pPr>
        <w:pStyle w:val="Heading5"/>
        <w:spacing w:before="180"/>
      </w:pPr>
      <w:bookmarkStart w:id="9" w:name="_Toc389746660"/>
      <w:r>
        <w:rPr>
          <w:rStyle w:val="CharSectno"/>
        </w:rPr>
        <w:t>3</w:t>
      </w:r>
      <w:r>
        <w:t>.</w:t>
      </w:r>
      <w:r>
        <w:tab/>
        <w:t>Wholesaler’s licences and permits</w:t>
      </w:r>
      <w:bookmarkEnd w:id="9"/>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64"/>
      </w:pPr>
      <w:r>
        <w:tab/>
        <w:t>(a)</w:t>
      </w:r>
      <w:r>
        <w:tab/>
        <w:t>a specified qualified person or a qualified person authorised under subregulation (4); or</w:t>
      </w:r>
    </w:p>
    <w:p>
      <w:pPr>
        <w:pStyle w:val="Indenta"/>
        <w:spacing w:before="64"/>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64"/>
      </w:pPr>
      <w:r>
        <w:tab/>
        <w:t>(a)</w:t>
      </w:r>
      <w:r>
        <w:tab/>
        <w:t>ceases to work for the licensee; or</w:t>
      </w:r>
    </w:p>
    <w:p>
      <w:pPr>
        <w:pStyle w:val="Indenta"/>
        <w:spacing w:before="64"/>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10" w:name="_Toc389746661"/>
      <w:r>
        <w:rPr>
          <w:rStyle w:val="CharSectno"/>
        </w:rPr>
        <w:t>5</w:t>
      </w:r>
      <w:r>
        <w:rPr>
          <w:snapToGrid w:val="0"/>
        </w:rPr>
        <w:t>.</w:t>
      </w:r>
      <w:r>
        <w:rPr>
          <w:snapToGrid w:val="0"/>
        </w:rPr>
        <w:tab/>
        <w:t>Pharmacist’s licence to sell poisons</w:t>
      </w:r>
      <w:bookmarkEnd w:id="10"/>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5079-80]</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rPr>
          <w:snapToGrid w:val="0"/>
        </w:rPr>
      </w:pPr>
      <w:bookmarkStart w:id="11" w:name="_Toc389746662"/>
      <w:r>
        <w:rPr>
          <w:rStyle w:val="CharSectno"/>
        </w:rPr>
        <w:t>7</w:t>
      </w:r>
      <w:r>
        <w:rPr>
          <w:snapToGrid w:val="0"/>
        </w:rPr>
        <w:t>.</w:t>
      </w:r>
      <w:r>
        <w:rPr>
          <w:snapToGrid w:val="0"/>
        </w:rPr>
        <w:tab/>
        <w:t>Retailer’s licence to sell poisons specified in Schedule 2 to the Act</w:t>
      </w:r>
      <w:bookmarkEnd w:id="11"/>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rPr>
          <w:snapToGrid w:val="0"/>
        </w:rPr>
      </w:pPr>
      <w:bookmarkStart w:id="12" w:name="_Toc389746663"/>
      <w:r>
        <w:rPr>
          <w:rStyle w:val="CharSectno"/>
        </w:rPr>
        <w:t>8</w:t>
      </w:r>
      <w:r>
        <w:rPr>
          <w:snapToGrid w:val="0"/>
        </w:rPr>
        <w:t>.</w:t>
      </w:r>
      <w:r>
        <w:rPr>
          <w:snapToGrid w:val="0"/>
        </w:rPr>
        <w:tab/>
        <w:t>Retailer’s licence to sell poisons included in Schedule 7 to the Act</w:t>
      </w:r>
      <w:bookmarkEnd w:id="12"/>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3" w:name="_Toc389746664"/>
      <w:r>
        <w:rPr>
          <w:rStyle w:val="CharSectno"/>
        </w:rPr>
        <w:t>8A</w:t>
      </w:r>
      <w:r>
        <w:rPr>
          <w:snapToGrid w:val="0"/>
        </w:rPr>
        <w:t>.</w:t>
      </w:r>
      <w:r>
        <w:rPr>
          <w:snapToGrid w:val="0"/>
        </w:rPr>
        <w:tab/>
        <w:t>Poisons permit (distribution of samples)</w:t>
      </w:r>
      <w:bookmarkEnd w:id="13"/>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spacing w:before="60"/>
        <w:rPr>
          <w:snapToGrid w:val="0"/>
        </w:rPr>
      </w:pPr>
      <w:r>
        <w:rPr>
          <w:snapToGrid w:val="0"/>
        </w:rPr>
        <w:tab/>
        <w:t>(a)</w:t>
      </w:r>
      <w:r>
        <w:rPr>
          <w:snapToGrid w:val="0"/>
        </w:rPr>
        <w:tab/>
        <w:t>a representative of a person — </w:t>
      </w:r>
    </w:p>
    <w:p>
      <w:pPr>
        <w:pStyle w:val="Indenti"/>
        <w:spacing w:before="60"/>
        <w:rPr>
          <w:snapToGrid w:val="0"/>
        </w:rPr>
      </w:pPr>
      <w:r>
        <w:rPr>
          <w:snapToGrid w:val="0"/>
        </w:rPr>
        <w:tab/>
        <w:t>(i)</w:t>
      </w:r>
      <w:r>
        <w:rPr>
          <w:snapToGrid w:val="0"/>
        </w:rPr>
        <w:tab/>
        <w:t>licensed to manufacture poisons or to supply poisons by wholesale dealing; or</w:t>
      </w:r>
    </w:p>
    <w:p>
      <w:pPr>
        <w:pStyle w:val="Indenti"/>
        <w:spacing w:before="60"/>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spacing w:before="60"/>
        <w:rPr>
          <w:snapToGrid w:val="0"/>
        </w:rPr>
      </w:pPr>
      <w:r>
        <w:rPr>
          <w:snapToGrid w:val="0"/>
        </w:rPr>
        <w:tab/>
        <w:t>(b)</w:t>
      </w:r>
      <w:r>
        <w:rPr>
          <w:snapToGrid w:val="0"/>
        </w:rPr>
        <w:tab/>
        <w:t>not less than 21 years of age; and</w:t>
      </w:r>
    </w:p>
    <w:p>
      <w:pPr>
        <w:pStyle w:val="Indenta"/>
        <w:spacing w:before="60"/>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4" w:name="_Toc389746665"/>
      <w:r>
        <w:rPr>
          <w:rStyle w:val="CharSectno"/>
        </w:rPr>
        <w:t>9</w:t>
      </w:r>
      <w:r>
        <w:rPr>
          <w:snapToGrid w:val="0"/>
        </w:rPr>
        <w:t>.</w:t>
      </w:r>
      <w:r>
        <w:rPr>
          <w:snapToGrid w:val="0"/>
        </w:rPr>
        <w:tab/>
        <w:t>Poisons permit (industrial)</w:t>
      </w:r>
      <w:bookmarkEnd w:id="14"/>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5" w:name="_Toc389746666"/>
      <w:r>
        <w:rPr>
          <w:rStyle w:val="CharSectno"/>
        </w:rPr>
        <w:t>10</w:t>
      </w:r>
      <w:r>
        <w:rPr>
          <w:snapToGrid w:val="0"/>
        </w:rPr>
        <w:t>.</w:t>
      </w:r>
      <w:r>
        <w:rPr>
          <w:snapToGrid w:val="0"/>
        </w:rPr>
        <w:tab/>
        <w:t>Poisons permit (educational, advisory or research)</w:t>
      </w:r>
      <w:bookmarkEnd w:id="15"/>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6" w:name="_Toc389746667"/>
      <w:r>
        <w:rPr>
          <w:rStyle w:val="CharSectno"/>
        </w:rPr>
        <w:t>10AA</w:t>
      </w:r>
      <w:r>
        <w:t>.</w:t>
      </w:r>
      <w:r>
        <w:tab/>
        <w:t>Poisons permit (health services)</w:t>
      </w:r>
      <w:bookmarkEnd w:id="16"/>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7" w:name="_Toc389746668"/>
      <w:r>
        <w:rPr>
          <w:rStyle w:val="CharSectno"/>
        </w:rPr>
        <w:t>10A</w:t>
      </w:r>
      <w:r>
        <w:rPr>
          <w:snapToGrid w:val="0"/>
        </w:rPr>
        <w:t>.</w:t>
      </w:r>
      <w:r>
        <w:rPr>
          <w:snapToGrid w:val="0"/>
        </w:rPr>
        <w:tab/>
        <w:t>Poisons permit (departmental and hospital)</w:t>
      </w:r>
      <w:bookmarkEnd w:id="17"/>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8" w:name="_Toc389746669"/>
      <w:r>
        <w:rPr>
          <w:rStyle w:val="CharSectno"/>
        </w:rPr>
        <w:t>10B</w:t>
      </w:r>
      <w:r>
        <w:rPr>
          <w:snapToGrid w:val="0"/>
        </w:rPr>
        <w:t>.</w:t>
      </w:r>
      <w:r>
        <w:rPr>
          <w:snapToGrid w:val="0"/>
        </w:rPr>
        <w:tab/>
        <w:t>Licence to cultivate prohibited plants</w:t>
      </w:r>
      <w:bookmarkEnd w:id="18"/>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9" w:name="_Toc389746670"/>
      <w:r>
        <w:rPr>
          <w:rStyle w:val="CharSectno"/>
        </w:rPr>
        <w:t>11</w:t>
      </w:r>
      <w:r>
        <w:rPr>
          <w:snapToGrid w:val="0"/>
        </w:rPr>
        <w:t>.</w:t>
      </w:r>
      <w:r>
        <w:rPr>
          <w:snapToGrid w:val="0"/>
        </w:rPr>
        <w:tab/>
      </w:r>
      <w:r>
        <w:t>CEO</w:t>
      </w:r>
      <w:r>
        <w:rPr>
          <w:snapToGrid w:val="0"/>
        </w:rPr>
        <w:t xml:space="preserve"> may designate remote area nursing posts</w:t>
      </w:r>
      <w:bookmarkEnd w:id="1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20" w:name="_Toc389746671"/>
      <w:r>
        <w:rPr>
          <w:rStyle w:val="CharSectno"/>
        </w:rPr>
        <w:t>11A</w:t>
      </w:r>
      <w:r>
        <w:t>.</w:t>
      </w:r>
      <w:r>
        <w:tab/>
        <w:t>CEO may designate areas for the purposes of section 23 of the Act</w:t>
      </w:r>
      <w:bookmarkEnd w:id="20"/>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4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spacing w:before="100"/>
        <w:ind w:left="890" w:hanging="890"/>
      </w:pPr>
      <w:r>
        <w:tab/>
        <w:t>[Regulation 11A inserted by Act No. 9 of 2003 s. 42; amended in Gazette 15 Dec 2006 p. 5630 and 5631.]</w:t>
      </w:r>
    </w:p>
    <w:p>
      <w:pPr>
        <w:pStyle w:val="Ednotedivision"/>
        <w:spacing w:before="180"/>
      </w:pPr>
      <w:r>
        <w:t>[Heading deleted in Gazette 12 Aug 2003 p. 3663.]</w:t>
      </w:r>
    </w:p>
    <w:p>
      <w:pPr>
        <w:pStyle w:val="Heading5"/>
        <w:rPr>
          <w:snapToGrid w:val="0"/>
        </w:rPr>
      </w:pPr>
      <w:bookmarkStart w:id="21" w:name="_Toc389746672"/>
      <w:r>
        <w:rPr>
          <w:rStyle w:val="CharSectno"/>
        </w:rPr>
        <w:t>12</w:t>
      </w:r>
      <w:r>
        <w:rPr>
          <w:snapToGrid w:val="0"/>
        </w:rPr>
        <w:t>.</w:t>
      </w:r>
      <w:r>
        <w:rPr>
          <w:snapToGrid w:val="0"/>
        </w:rPr>
        <w:tab/>
        <w:t>Application for licence or permit (sections 24 and 25)</w:t>
      </w:r>
      <w:bookmarkEnd w:id="21"/>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2" w:name="_Toc389746673"/>
      <w:r>
        <w:rPr>
          <w:rStyle w:val="CharDivNo"/>
        </w:rPr>
        <w:t>Division 2</w:t>
      </w:r>
      <w:r>
        <w:t xml:space="preserve"> — </w:t>
      </w:r>
      <w:r>
        <w:rPr>
          <w:rStyle w:val="CharDivText"/>
        </w:rPr>
        <w:t>Needle and syringe programme</w:t>
      </w:r>
      <w:bookmarkEnd w:id="22"/>
    </w:p>
    <w:p>
      <w:pPr>
        <w:pStyle w:val="Footnoteheading"/>
      </w:pPr>
      <w:r>
        <w:tab/>
        <w:t>[Heading inserted in Gazette 12 Aug 2003 p. 3664.]</w:t>
      </w:r>
    </w:p>
    <w:p>
      <w:pPr>
        <w:pStyle w:val="Heading5"/>
        <w:rPr>
          <w:snapToGrid w:val="0"/>
        </w:rPr>
      </w:pPr>
      <w:bookmarkStart w:id="23" w:name="_Toc389746674"/>
      <w:r>
        <w:rPr>
          <w:rStyle w:val="CharSectno"/>
        </w:rPr>
        <w:t>12A</w:t>
      </w:r>
      <w:r>
        <w:rPr>
          <w:snapToGrid w:val="0"/>
        </w:rPr>
        <w:t>.</w:t>
      </w:r>
      <w:r>
        <w:rPr>
          <w:snapToGrid w:val="0"/>
        </w:rPr>
        <w:tab/>
        <w:t>Approval of needle and syringe programme</w:t>
      </w:r>
      <w:bookmarkEnd w:id="23"/>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4" w:name="_Toc389746675"/>
      <w:r>
        <w:rPr>
          <w:rStyle w:val="CharSectno"/>
        </w:rPr>
        <w:t>12B</w:t>
      </w:r>
      <w:r>
        <w:rPr>
          <w:snapToGrid w:val="0"/>
        </w:rPr>
        <w:t>.</w:t>
      </w:r>
      <w:r>
        <w:rPr>
          <w:snapToGrid w:val="0"/>
        </w:rPr>
        <w:tab/>
        <w:t>Copy of approval to be provided</w:t>
      </w:r>
      <w:bookmarkEnd w:id="24"/>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5" w:name="_Toc389746676"/>
      <w:r>
        <w:rPr>
          <w:rStyle w:val="CharSectno"/>
        </w:rPr>
        <w:t>12C</w:t>
      </w:r>
      <w:r>
        <w:rPr>
          <w:snapToGrid w:val="0"/>
        </w:rPr>
        <w:t>.</w:t>
      </w:r>
      <w:r>
        <w:rPr>
          <w:snapToGrid w:val="0"/>
        </w:rPr>
        <w:tab/>
        <w:t>Duties of coordinator</w:t>
      </w:r>
      <w:bookmarkEnd w:id="25"/>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spacing w:before="180"/>
        <w:rPr>
          <w:snapToGrid w:val="0"/>
        </w:rPr>
      </w:pPr>
      <w:bookmarkStart w:id="26" w:name="_Toc389746677"/>
      <w:r>
        <w:rPr>
          <w:rStyle w:val="CharSectno"/>
        </w:rPr>
        <w:t>12D</w:t>
      </w:r>
      <w:r>
        <w:rPr>
          <w:snapToGrid w:val="0"/>
        </w:rPr>
        <w:t>.</w:t>
      </w:r>
      <w:r>
        <w:rPr>
          <w:snapToGrid w:val="0"/>
        </w:rPr>
        <w:tab/>
        <w:t>Requirements relating to programme</w:t>
      </w:r>
      <w:bookmarkEnd w:id="26"/>
      <w:r>
        <w:rPr>
          <w:snapToGrid w:val="0"/>
        </w:rPr>
        <w:t xml:space="preserve"> </w:t>
      </w:r>
    </w:p>
    <w:p>
      <w:pPr>
        <w:pStyle w:val="Subsection"/>
        <w:spacing w:before="15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spacing w:before="150"/>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100"/>
        <w:ind w:left="890" w:hanging="890"/>
      </w:pPr>
      <w:r>
        <w:tab/>
        <w:t>[Regulation 12D inserted in Gazette 26 May 1994 p. 2199; amended in Gazette 15 Dec 2006 p. 5630.]</w:t>
      </w:r>
    </w:p>
    <w:p>
      <w:pPr>
        <w:pStyle w:val="Heading5"/>
        <w:rPr>
          <w:snapToGrid w:val="0"/>
        </w:rPr>
      </w:pPr>
      <w:bookmarkStart w:id="27" w:name="_Toc389746678"/>
      <w:r>
        <w:rPr>
          <w:rStyle w:val="CharSectno"/>
        </w:rPr>
        <w:t>12E</w:t>
      </w:r>
      <w:r>
        <w:rPr>
          <w:snapToGrid w:val="0"/>
        </w:rPr>
        <w:t>.</w:t>
      </w:r>
      <w:r>
        <w:rPr>
          <w:snapToGrid w:val="0"/>
        </w:rPr>
        <w:tab/>
        <w:t>Direction to person not to participate in programme</w:t>
      </w:r>
      <w:bookmarkEnd w:id="27"/>
    </w:p>
    <w:p>
      <w:pPr>
        <w:pStyle w:val="Subsection"/>
        <w:spacing w:before="150"/>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spacing w:before="150"/>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rPr>
          <w:snapToGrid w:val="0"/>
        </w:rPr>
      </w:pPr>
      <w:bookmarkStart w:id="28" w:name="_Toc389746679"/>
      <w:r>
        <w:rPr>
          <w:rStyle w:val="CharSectno"/>
        </w:rPr>
        <w:t>12F</w:t>
      </w:r>
      <w:r>
        <w:rPr>
          <w:snapToGrid w:val="0"/>
        </w:rPr>
        <w:t>.</w:t>
      </w:r>
      <w:r>
        <w:rPr>
          <w:snapToGrid w:val="0"/>
        </w:rPr>
        <w:tab/>
        <w:t>Requirements relating to used hypodermic needles and syringes</w:t>
      </w:r>
      <w:bookmarkEnd w:id="28"/>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29" w:name="_Toc389746680"/>
      <w:r>
        <w:rPr>
          <w:rStyle w:val="CharDivNo"/>
        </w:rPr>
        <w:t>Division 3</w:t>
      </w:r>
      <w:r>
        <w:t xml:space="preserve"> — </w:t>
      </w:r>
      <w:r>
        <w:rPr>
          <w:rStyle w:val="CharDivText"/>
        </w:rPr>
        <w:t>Restrictions and obligations</w:t>
      </w:r>
      <w:bookmarkEnd w:id="29"/>
    </w:p>
    <w:p>
      <w:pPr>
        <w:pStyle w:val="Footnoteheading"/>
      </w:pPr>
      <w:r>
        <w:tab/>
        <w:t>[Heading inserted in Gazette 12 Aug 2003 p. 3664.]</w:t>
      </w:r>
    </w:p>
    <w:p>
      <w:pPr>
        <w:pStyle w:val="Heading5"/>
        <w:rPr>
          <w:snapToGrid w:val="0"/>
        </w:rPr>
      </w:pPr>
      <w:bookmarkStart w:id="30" w:name="_Toc389746681"/>
      <w:r>
        <w:rPr>
          <w:rStyle w:val="CharSectno"/>
        </w:rPr>
        <w:t>15</w:t>
      </w:r>
      <w:r>
        <w:rPr>
          <w:snapToGrid w:val="0"/>
        </w:rPr>
        <w:t>.</w:t>
      </w:r>
      <w:r>
        <w:rPr>
          <w:snapToGrid w:val="0"/>
        </w:rPr>
        <w:tab/>
        <w:t>Restriction to issue of licence or permit</w:t>
      </w:r>
      <w:bookmarkEnd w:id="30"/>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1" w:name="_Toc389746682"/>
      <w:r>
        <w:rPr>
          <w:rStyle w:val="CharSectno"/>
        </w:rPr>
        <w:t>16</w:t>
      </w:r>
      <w:r>
        <w:rPr>
          <w:snapToGrid w:val="0"/>
        </w:rPr>
        <w:t>.</w:t>
      </w:r>
      <w:r>
        <w:rPr>
          <w:snapToGrid w:val="0"/>
        </w:rPr>
        <w:tab/>
        <w:t>Sale of poison only by licensee</w:t>
      </w:r>
      <w:bookmarkEnd w:id="31"/>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2" w:name="_Toc389746683"/>
      <w:r>
        <w:rPr>
          <w:rStyle w:val="CharSectno"/>
        </w:rPr>
        <w:t>17</w:t>
      </w:r>
      <w:r>
        <w:rPr>
          <w:snapToGrid w:val="0"/>
        </w:rPr>
        <w:t>.</w:t>
      </w:r>
      <w:r>
        <w:rPr>
          <w:snapToGrid w:val="0"/>
        </w:rPr>
        <w:tab/>
        <w:t>Licence or permit not transferable</w:t>
      </w:r>
      <w:bookmarkEnd w:id="32"/>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3" w:name="_Toc389746684"/>
      <w:r>
        <w:rPr>
          <w:rStyle w:val="CharSectno"/>
        </w:rPr>
        <w:t>18</w:t>
      </w:r>
      <w:r>
        <w:rPr>
          <w:snapToGrid w:val="0"/>
        </w:rPr>
        <w:t>.</w:t>
      </w:r>
      <w:r>
        <w:rPr>
          <w:snapToGrid w:val="0"/>
        </w:rPr>
        <w:tab/>
        <w:t>Licensee to display licence</w:t>
      </w:r>
      <w:bookmarkEnd w:id="33"/>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4" w:name="_Toc389746685"/>
      <w:r>
        <w:rPr>
          <w:rStyle w:val="CharPartNo"/>
        </w:rPr>
        <w:t>Part 3</w:t>
      </w:r>
      <w:r>
        <w:t xml:space="preserve"> — </w:t>
      </w:r>
      <w:r>
        <w:rPr>
          <w:rStyle w:val="CharPartText"/>
        </w:rPr>
        <w:t>Containers and labels</w:t>
      </w:r>
      <w:bookmarkEnd w:id="34"/>
      <w:r>
        <w:rPr>
          <w:i/>
        </w:rPr>
        <w:t xml:space="preserve"> </w:t>
      </w:r>
    </w:p>
    <w:p>
      <w:pPr>
        <w:pStyle w:val="Footnoteheading"/>
      </w:pPr>
      <w:r>
        <w:tab/>
        <w:t>[Heading inserted in Gazette 12 Aug 2003 p. 3664.]</w:t>
      </w:r>
    </w:p>
    <w:p>
      <w:pPr>
        <w:pStyle w:val="Heading3"/>
        <w:keepNext w:val="0"/>
      </w:pPr>
      <w:bookmarkStart w:id="35" w:name="_Toc389746686"/>
      <w:r>
        <w:rPr>
          <w:rStyle w:val="CharDivNo"/>
        </w:rPr>
        <w:t>Division 1</w:t>
      </w:r>
      <w:r>
        <w:t xml:space="preserve"> — </w:t>
      </w:r>
      <w:r>
        <w:rPr>
          <w:rStyle w:val="CharDivText"/>
        </w:rPr>
        <w:t>Containers</w:t>
      </w:r>
      <w:bookmarkEnd w:id="35"/>
    </w:p>
    <w:p>
      <w:pPr>
        <w:pStyle w:val="Footnoteheading"/>
      </w:pPr>
      <w:r>
        <w:tab/>
        <w:t>[Heading inserted in Gazette 12 Aug 2003 p. 3664.]</w:t>
      </w:r>
    </w:p>
    <w:p>
      <w:pPr>
        <w:pStyle w:val="Heading5"/>
        <w:rPr>
          <w:snapToGrid w:val="0"/>
        </w:rPr>
      </w:pPr>
      <w:bookmarkStart w:id="36" w:name="_Toc389746687"/>
      <w:r>
        <w:rPr>
          <w:rStyle w:val="CharSectno"/>
        </w:rPr>
        <w:t>19</w:t>
      </w:r>
      <w:r>
        <w:rPr>
          <w:snapToGrid w:val="0"/>
        </w:rPr>
        <w:t>.</w:t>
      </w:r>
      <w:r>
        <w:rPr>
          <w:snapToGrid w:val="0"/>
        </w:rPr>
        <w:tab/>
        <w:t>Adoption of SUSDP for containers and labels</w:t>
      </w:r>
      <w:bookmarkEnd w:id="36"/>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37" w:name="_Toc389746688"/>
      <w:r>
        <w:rPr>
          <w:rStyle w:val="CharSectno"/>
        </w:rPr>
        <w:t>19AA</w:t>
      </w:r>
      <w:r>
        <w:rPr>
          <w:snapToGrid w:val="0"/>
        </w:rPr>
        <w:t>.</w:t>
      </w:r>
      <w:r>
        <w:rPr>
          <w:snapToGrid w:val="0"/>
        </w:rPr>
        <w:tab/>
        <w:t>Certain containers prohibited</w:t>
      </w:r>
      <w:bookmarkEnd w:id="37"/>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38" w:name="_Toc389746689"/>
      <w:r>
        <w:rPr>
          <w:rStyle w:val="CharSectno"/>
        </w:rPr>
        <w:t>19A</w:t>
      </w:r>
      <w:r>
        <w:rPr>
          <w:snapToGrid w:val="0"/>
        </w:rPr>
        <w:t>.</w:t>
      </w:r>
      <w:r>
        <w:rPr>
          <w:snapToGrid w:val="0"/>
        </w:rPr>
        <w:tab/>
        <w:t>Food etc. containers to be distinguishable from poison containers</w:t>
      </w:r>
      <w:bookmarkEnd w:id="38"/>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39" w:name="_Toc389746690"/>
      <w:r>
        <w:rPr>
          <w:rStyle w:val="CharDivNo"/>
        </w:rPr>
        <w:t>Division 2</w:t>
      </w:r>
      <w:r>
        <w:t xml:space="preserve"> — </w:t>
      </w:r>
      <w:r>
        <w:rPr>
          <w:rStyle w:val="CharDivText"/>
        </w:rPr>
        <w:t>Labels</w:t>
      </w:r>
      <w:bookmarkEnd w:id="39"/>
    </w:p>
    <w:p>
      <w:pPr>
        <w:pStyle w:val="Footnoteheading"/>
        <w:spacing w:before="100"/>
      </w:pPr>
      <w:r>
        <w:tab/>
        <w:t>[Heading inserted in Gazette 12 Aug 2003 p. 3664.]</w:t>
      </w:r>
    </w:p>
    <w:p>
      <w:pPr>
        <w:pStyle w:val="Heading5"/>
        <w:rPr>
          <w:snapToGrid w:val="0"/>
        </w:rPr>
      </w:pPr>
      <w:bookmarkStart w:id="40" w:name="_Toc389746691"/>
      <w:r>
        <w:rPr>
          <w:rStyle w:val="CharSectno"/>
        </w:rPr>
        <w:t>21</w:t>
      </w:r>
      <w:r>
        <w:rPr>
          <w:snapToGrid w:val="0"/>
        </w:rPr>
        <w:t>.</w:t>
      </w:r>
      <w:r>
        <w:rPr>
          <w:snapToGrid w:val="0"/>
        </w:rPr>
        <w:tab/>
        <w:t>Labels on medicines or preparations</w:t>
      </w:r>
      <w:bookmarkEnd w:id="40"/>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spacing w:before="7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70"/>
        <w:rPr>
          <w:snapToGrid w:val="0"/>
        </w:rPr>
      </w:pPr>
      <w:r>
        <w:rPr>
          <w:snapToGrid w:val="0"/>
        </w:rPr>
        <w:tab/>
        <w:t>(i)</w:t>
      </w:r>
      <w:r>
        <w:rPr>
          <w:snapToGrid w:val="0"/>
        </w:rPr>
        <w:tab/>
        <w:t>the words “Keep out of reach of children”;</w:t>
      </w:r>
    </w:p>
    <w:p>
      <w:pPr>
        <w:pStyle w:val="Indenti"/>
        <w:spacing w:before="7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70"/>
        <w:rPr>
          <w:snapToGrid w:val="0"/>
        </w:rPr>
      </w:pPr>
      <w:r>
        <w:rPr>
          <w:snapToGrid w:val="0"/>
        </w:rPr>
        <w:tab/>
        <w:t>(iii)</w:t>
      </w:r>
      <w:r>
        <w:rPr>
          <w:snapToGrid w:val="0"/>
        </w:rPr>
        <w:tab/>
        <w:t>the owner’s surname and the species of animal;</w:t>
      </w:r>
    </w:p>
    <w:p>
      <w:pPr>
        <w:pStyle w:val="Indenti"/>
        <w:spacing w:before="70"/>
        <w:rPr>
          <w:snapToGrid w:val="0"/>
        </w:rPr>
      </w:pPr>
      <w:r>
        <w:rPr>
          <w:snapToGrid w:val="0"/>
        </w:rPr>
        <w:tab/>
        <w:t>(iv)</w:t>
      </w:r>
      <w:r>
        <w:rPr>
          <w:snapToGrid w:val="0"/>
        </w:rPr>
        <w:tab/>
        <w:t>instructions for the use of that medicine or preparation;</w:t>
      </w:r>
    </w:p>
    <w:p>
      <w:pPr>
        <w:pStyle w:val="Indenti"/>
        <w:spacing w:before="7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7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70"/>
        <w:rPr>
          <w:snapToGrid w:val="0"/>
        </w:rPr>
      </w:pPr>
      <w:r>
        <w:rPr>
          <w:snapToGrid w:val="0"/>
        </w:rPr>
        <w:tab/>
        <w:t>(II)</w:t>
      </w:r>
      <w:r>
        <w:rPr>
          <w:snapToGrid w:val="0"/>
        </w:rPr>
        <w:tab/>
        <w:t>the patient’s records, in the case of a veterinary surgeon;</w:t>
      </w:r>
    </w:p>
    <w:p>
      <w:pPr>
        <w:pStyle w:val="Indenti"/>
        <w:spacing w:before="70"/>
        <w:rPr>
          <w:snapToGrid w:val="0"/>
        </w:rPr>
      </w:pPr>
      <w:r>
        <w:rPr>
          <w:snapToGrid w:val="0"/>
        </w:rPr>
        <w:tab/>
        <w:t>(vi)</w:t>
      </w:r>
      <w:r>
        <w:rPr>
          <w:snapToGrid w:val="0"/>
        </w:rPr>
        <w:tab/>
        <w:t>the name and address of the pharmacy, or veterinary practice, from which it is supplied;</w:t>
      </w:r>
    </w:p>
    <w:p>
      <w:pPr>
        <w:pStyle w:val="Indenti"/>
        <w:spacing w:before="7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7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1 Oct 2010 p. 5079-80; amended by Act No. 9 of 2003 s. 43.]</w:t>
      </w:r>
    </w:p>
    <w:p>
      <w:pPr>
        <w:pStyle w:val="Heading5"/>
        <w:spacing w:before="180"/>
        <w:rPr>
          <w:snapToGrid w:val="0"/>
        </w:rPr>
      </w:pPr>
      <w:bookmarkStart w:id="41" w:name="_Toc389746692"/>
      <w:r>
        <w:rPr>
          <w:rStyle w:val="CharSectno"/>
        </w:rPr>
        <w:t>21A</w:t>
      </w:r>
      <w:r>
        <w:rPr>
          <w:snapToGrid w:val="0"/>
        </w:rPr>
        <w:t>.</w:t>
      </w:r>
      <w:r>
        <w:rPr>
          <w:snapToGrid w:val="0"/>
        </w:rPr>
        <w:tab/>
        <w:t>Appendix K container must have appropriate label</w:t>
      </w:r>
      <w:bookmarkEnd w:id="41"/>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1 Oct 2010 p. 5079-80.]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42" w:name="_Toc389746693"/>
      <w:r>
        <w:rPr>
          <w:rStyle w:val="CharSectno"/>
        </w:rPr>
        <w:t>24A</w:t>
      </w:r>
      <w:r>
        <w:rPr>
          <w:snapToGrid w:val="0"/>
        </w:rPr>
        <w:t>.</w:t>
      </w:r>
      <w:r>
        <w:rPr>
          <w:snapToGrid w:val="0"/>
        </w:rPr>
        <w:tab/>
        <w:t>Carcinogenicity and teratogenicity warnings to be approved</w:t>
      </w:r>
      <w:bookmarkEnd w:id="42"/>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3" w:name="_Toc389746694"/>
      <w:r>
        <w:rPr>
          <w:rStyle w:val="CharDivNo"/>
        </w:rPr>
        <w:t>Division 3</w:t>
      </w:r>
      <w:r>
        <w:t xml:space="preserve"> — </w:t>
      </w:r>
      <w:r>
        <w:rPr>
          <w:rStyle w:val="CharDivText"/>
        </w:rPr>
        <w:t>General</w:t>
      </w:r>
      <w:bookmarkEnd w:id="43"/>
    </w:p>
    <w:p>
      <w:pPr>
        <w:pStyle w:val="Footnoteheading"/>
      </w:pPr>
      <w:r>
        <w:tab/>
        <w:t>[Heading inserted in Gazette 12 Aug 2003 p. 3664.]</w:t>
      </w:r>
    </w:p>
    <w:p>
      <w:pPr>
        <w:pStyle w:val="Heading5"/>
        <w:keepLines w:val="0"/>
        <w:rPr>
          <w:snapToGrid w:val="0"/>
        </w:rPr>
      </w:pPr>
      <w:bookmarkStart w:id="44" w:name="_Toc389746695"/>
      <w:r>
        <w:rPr>
          <w:rStyle w:val="CharSectno"/>
        </w:rPr>
        <w:t>25</w:t>
      </w:r>
      <w:r>
        <w:rPr>
          <w:snapToGrid w:val="0"/>
        </w:rPr>
        <w:t>.</w:t>
      </w:r>
      <w:r>
        <w:rPr>
          <w:snapToGrid w:val="0"/>
        </w:rPr>
        <w:tab/>
      </w:r>
      <w:r>
        <w:t>CEO</w:t>
      </w:r>
      <w:r>
        <w:rPr>
          <w:snapToGrid w:val="0"/>
        </w:rPr>
        <w:t xml:space="preserve"> may approve container or label</w:t>
      </w:r>
      <w:bookmarkEnd w:id="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5" w:name="_Toc389746696"/>
      <w:r>
        <w:rPr>
          <w:rStyle w:val="CharSectno"/>
        </w:rPr>
        <w:t>26</w:t>
      </w:r>
      <w:r>
        <w:rPr>
          <w:snapToGrid w:val="0"/>
        </w:rPr>
        <w:t>.</w:t>
      </w:r>
      <w:r>
        <w:rPr>
          <w:snapToGrid w:val="0"/>
        </w:rPr>
        <w:tab/>
      </w:r>
      <w:r>
        <w:t>CEO</w:t>
      </w:r>
      <w:r>
        <w:rPr>
          <w:snapToGrid w:val="0"/>
          <w:spacing w:val="-4"/>
        </w:rPr>
        <w:t xml:space="preserve"> may suspend use of container or label</w:t>
      </w:r>
      <w:bookmarkEnd w:id="4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46" w:name="_Toc389746697"/>
      <w:r>
        <w:rPr>
          <w:rStyle w:val="CharPartNo"/>
        </w:rPr>
        <w:t>Part 4</w:t>
      </w:r>
      <w:r>
        <w:rPr>
          <w:rStyle w:val="CharDivNo"/>
        </w:rPr>
        <w:t> </w:t>
      </w:r>
      <w:r>
        <w:t>—</w:t>
      </w:r>
      <w:r>
        <w:rPr>
          <w:rStyle w:val="CharDivText"/>
        </w:rPr>
        <w:t> </w:t>
      </w:r>
      <w:r>
        <w:rPr>
          <w:rStyle w:val="CharPartText"/>
        </w:rPr>
        <w:t>Storage, disposal and loss or theft of poisons</w:t>
      </w:r>
      <w:bookmarkEnd w:id="46"/>
    </w:p>
    <w:p>
      <w:pPr>
        <w:pStyle w:val="Footnoteheading"/>
      </w:pPr>
      <w:r>
        <w:tab/>
        <w:t>[Heading inserted in Gazette 12 Aug 2003 p. 3664.]</w:t>
      </w:r>
    </w:p>
    <w:p>
      <w:pPr>
        <w:pStyle w:val="Heading5"/>
        <w:rPr>
          <w:snapToGrid w:val="0"/>
        </w:rPr>
      </w:pPr>
      <w:bookmarkStart w:id="47" w:name="_Toc389746698"/>
      <w:r>
        <w:rPr>
          <w:rStyle w:val="CharSectno"/>
        </w:rPr>
        <w:t>30</w:t>
      </w:r>
      <w:r>
        <w:rPr>
          <w:snapToGrid w:val="0"/>
        </w:rPr>
        <w:t>.</w:t>
      </w:r>
      <w:r>
        <w:rPr>
          <w:snapToGrid w:val="0"/>
        </w:rPr>
        <w:tab/>
        <w:t>Storage of substances other than those specified in regulation 56</w:t>
      </w:r>
      <w:bookmarkEnd w:id="47"/>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48" w:name="_Toc389746699"/>
      <w:r>
        <w:rPr>
          <w:rStyle w:val="CharSectno"/>
        </w:rPr>
        <w:t>31</w:t>
      </w:r>
      <w:r>
        <w:rPr>
          <w:snapToGrid w:val="0"/>
        </w:rPr>
        <w:t>.</w:t>
      </w:r>
      <w:r>
        <w:rPr>
          <w:snapToGrid w:val="0"/>
        </w:rPr>
        <w:tab/>
        <w:t>Disposal of poisons</w:t>
      </w:r>
      <w:bookmarkEnd w:id="48"/>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49" w:name="_Toc389746700"/>
      <w:r>
        <w:rPr>
          <w:rStyle w:val="CharSectno"/>
        </w:rPr>
        <w:t>32</w:t>
      </w:r>
      <w:r>
        <w:rPr>
          <w:snapToGrid w:val="0"/>
        </w:rPr>
        <w:t>.</w:t>
      </w:r>
      <w:r>
        <w:rPr>
          <w:snapToGrid w:val="0"/>
        </w:rPr>
        <w:tab/>
        <w:t>Notification of loss or theft of poison</w:t>
      </w:r>
      <w:bookmarkEnd w:id="49"/>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50" w:name="_Toc389746701"/>
      <w:r>
        <w:rPr>
          <w:rStyle w:val="CharPartNo"/>
        </w:rPr>
        <w:t>Part 4A</w:t>
      </w:r>
      <w:r>
        <w:rPr>
          <w:b w:val="0"/>
        </w:rPr>
        <w:t> </w:t>
      </w:r>
      <w:r>
        <w:t>—</w:t>
      </w:r>
      <w:r>
        <w:rPr>
          <w:b w:val="0"/>
        </w:rPr>
        <w:t> </w:t>
      </w:r>
      <w:r>
        <w:rPr>
          <w:rStyle w:val="CharPartText"/>
        </w:rPr>
        <w:t>Electronic prescribing systems</w:t>
      </w:r>
      <w:bookmarkEnd w:id="50"/>
    </w:p>
    <w:p>
      <w:pPr>
        <w:pStyle w:val="Footnoteheading"/>
        <w:spacing w:before="100"/>
      </w:pPr>
      <w:r>
        <w:tab/>
        <w:t>[Heading inserted in Gazette 7 Nov 2008 p. 4806.]</w:t>
      </w:r>
    </w:p>
    <w:p>
      <w:pPr>
        <w:pStyle w:val="Heading5"/>
      </w:pPr>
      <w:bookmarkStart w:id="51" w:name="_Toc389746702"/>
      <w:r>
        <w:rPr>
          <w:rStyle w:val="CharSectno"/>
        </w:rPr>
        <w:t>32A</w:t>
      </w:r>
      <w:r>
        <w:t>.</w:t>
      </w:r>
      <w:r>
        <w:tab/>
        <w:t>Terms used</w:t>
      </w:r>
      <w:bookmarkEnd w:id="51"/>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2" w:name="_Toc389746703"/>
      <w:r>
        <w:rPr>
          <w:rStyle w:val="CharSectno"/>
        </w:rPr>
        <w:t>32B</w:t>
      </w:r>
      <w:r>
        <w:t>.</w:t>
      </w:r>
      <w:r>
        <w:tab/>
        <w:t>Approval of electronic prescribing systems</w:t>
      </w:r>
      <w:bookmarkEnd w:id="52"/>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5079-80.]</w:t>
      </w:r>
    </w:p>
    <w:p>
      <w:pPr>
        <w:pStyle w:val="Heading5"/>
      </w:pPr>
      <w:bookmarkStart w:id="53" w:name="_Toc389746704"/>
      <w:r>
        <w:rPr>
          <w:rStyle w:val="CharSectno"/>
        </w:rPr>
        <w:t>32C</w:t>
      </w:r>
      <w:r>
        <w:t>.</w:t>
      </w:r>
      <w:r>
        <w:tab/>
        <w:t>System administrators</w:t>
      </w:r>
      <w:bookmarkEnd w:id="53"/>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4" w:name="_Toc389746705"/>
      <w:r>
        <w:rPr>
          <w:rStyle w:val="CharSectno"/>
        </w:rPr>
        <w:t>32D</w:t>
      </w:r>
      <w:r>
        <w:t>.</w:t>
      </w:r>
      <w:r>
        <w:tab/>
        <w:t>Offence provisions</w:t>
      </w:r>
      <w:bookmarkEnd w:id="54"/>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spacing w:before="60"/>
      </w:pPr>
      <w:r>
        <w:tab/>
        <w:t>(b)</w:t>
      </w:r>
      <w:r>
        <w:tab/>
        <w:t>otherwise allow another person to have access to the system unless to do so is in accordance with the procedures that control access to the system.</w:t>
      </w:r>
    </w:p>
    <w:p>
      <w:pPr>
        <w:pStyle w:val="Penstart"/>
        <w:spacing w:before="70"/>
      </w:pPr>
      <w:r>
        <w:tab/>
        <w:t>Penalty: a fine of $5 000.</w:t>
      </w:r>
    </w:p>
    <w:p>
      <w:pPr>
        <w:pStyle w:val="Subsection"/>
        <w:spacing w:before="120"/>
      </w:pPr>
      <w:r>
        <w:tab/>
        <w:t>(3)</w:t>
      </w:r>
      <w:r>
        <w:tab/>
        <w:t>A person must not make inappropriate use of an approved electronic prescribing system.</w:t>
      </w:r>
    </w:p>
    <w:p>
      <w:pPr>
        <w:pStyle w:val="Penstart"/>
        <w:spacing w:before="70"/>
      </w:pPr>
      <w:r>
        <w:tab/>
        <w:t>Penalty: a fine of $5 000.</w:t>
      </w:r>
    </w:p>
    <w:p>
      <w:pPr>
        <w:pStyle w:val="Subsection"/>
        <w:spacing w:before="120"/>
      </w:pPr>
      <w:r>
        <w:tab/>
        <w:t>(4)</w:t>
      </w:r>
      <w:r>
        <w:tab/>
        <w:t xml:space="preserve">An administrator of an approved electronic prescribing system must, to the extent practicable, ensure that — </w:t>
      </w:r>
    </w:p>
    <w:p>
      <w:pPr>
        <w:pStyle w:val="Indenta"/>
        <w:spacing w:before="60"/>
      </w:pPr>
      <w:r>
        <w:tab/>
        <w:t>(a)</w:t>
      </w:r>
      <w:r>
        <w:tab/>
        <w:t>a person who is permitted to have access to the system in accordance with the procedures that control access to the system is not given more than one access code; and</w:t>
      </w:r>
    </w:p>
    <w:p>
      <w:pPr>
        <w:pStyle w:val="Indenta"/>
        <w:spacing w:before="60"/>
      </w:pPr>
      <w:r>
        <w:tab/>
        <w:t>(b)</w:t>
      </w:r>
      <w:r>
        <w:tab/>
        <w:t>each person who is responsible to the administrator for the operation and control of the system does not make inappropriate use of the system.</w:t>
      </w:r>
    </w:p>
    <w:p>
      <w:pPr>
        <w:pStyle w:val="Penstart"/>
        <w:spacing w:before="70"/>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55" w:name="_Toc389746706"/>
      <w:r>
        <w:rPr>
          <w:rStyle w:val="CharSectno"/>
        </w:rPr>
        <w:t>32E</w:t>
      </w:r>
      <w:r>
        <w:t>.</w:t>
      </w:r>
      <w:r>
        <w:tab/>
        <w:t>Miscellaneous rules</w:t>
      </w:r>
      <w:bookmarkEnd w:id="55"/>
    </w:p>
    <w:p>
      <w:pPr>
        <w:pStyle w:val="Subsection"/>
        <w:spacing w:before="120"/>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spacing w:before="120"/>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56" w:name="_Toc389746707"/>
      <w:r>
        <w:rPr>
          <w:rStyle w:val="CharPartNo"/>
        </w:rPr>
        <w:t>Part 5</w:t>
      </w:r>
      <w:r>
        <w:t xml:space="preserve"> — </w:t>
      </w:r>
      <w:r>
        <w:rPr>
          <w:rStyle w:val="CharPartText"/>
        </w:rPr>
        <w:t>Sale, supply and use of poisons</w:t>
      </w:r>
      <w:bookmarkEnd w:id="56"/>
    </w:p>
    <w:p>
      <w:pPr>
        <w:pStyle w:val="Footnoteheading"/>
      </w:pPr>
      <w:r>
        <w:tab/>
        <w:t>[Heading inserted in Gazette 12 Aug 2003 p. 3664.]</w:t>
      </w:r>
    </w:p>
    <w:p>
      <w:pPr>
        <w:pStyle w:val="Heading3"/>
      </w:pPr>
      <w:bookmarkStart w:id="57" w:name="_Toc389746708"/>
      <w:r>
        <w:rPr>
          <w:rStyle w:val="CharDivNo"/>
        </w:rPr>
        <w:t>Division 1 </w:t>
      </w:r>
      <w:r>
        <w:t xml:space="preserve">— </w:t>
      </w:r>
      <w:r>
        <w:rPr>
          <w:rStyle w:val="CharDivText"/>
        </w:rPr>
        <w:t>Restrictions</w:t>
      </w:r>
      <w:bookmarkEnd w:id="57"/>
    </w:p>
    <w:p>
      <w:pPr>
        <w:pStyle w:val="Footnoteheading"/>
      </w:pPr>
      <w:r>
        <w:tab/>
        <w:t>[Heading inserted in Gazette 12 Aug 2003 p. 3664.]</w:t>
      </w:r>
    </w:p>
    <w:p>
      <w:pPr>
        <w:pStyle w:val="Heading5"/>
        <w:rPr>
          <w:snapToGrid w:val="0"/>
        </w:rPr>
      </w:pPr>
      <w:bookmarkStart w:id="58" w:name="_Toc389746709"/>
      <w:r>
        <w:rPr>
          <w:rStyle w:val="CharSectno"/>
        </w:rPr>
        <w:t>33</w:t>
      </w:r>
      <w:r>
        <w:rPr>
          <w:snapToGrid w:val="0"/>
        </w:rPr>
        <w:t>.</w:t>
      </w:r>
      <w:r>
        <w:rPr>
          <w:snapToGrid w:val="0"/>
        </w:rPr>
        <w:tab/>
        <w:t>Poison not to be sold to persons under 16 years</w:t>
      </w:r>
      <w:bookmarkEnd w:id="58"/>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9" w:name="_Toc389746710"/>
      <w:r>
        <w:rPr>
          <w:rStyle w:val="CharSectno"/>
        </w:rPr>
        <w:t>33A</w:t>
      </w:r>
      <w:r>
        <w:rPr>
          <w:snapToGrid w:val="0"/>
        </w:rPr>
        <w:t>.</w:t>
      </w:r>
      <w:r>
        <w:rPr>
          <w:snapToGrid w:val="0"/>
        </w:rPr>
        <w:tab/>
        <w:t>Restrictions applying to veterinary preparations</w:t>
      </w:r>
      <w:bookmarkEnd w:id="5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60" w:name="_Toc389746711"/>
      <w:r>
        <w:rPr>
          <w:rStyle w:val="CharSectno"/>
        </w:rPr>
        <w:t>33B</w:t>
      </w:r>
      <w:r>
        <w:rPr>
          <w:snapToGrid w:val="0"/>
        </w:rPr>
        <w:t>.</w:t>
      </w:r>
      <w:r>
        <w:rPr>
          <w:snapToGrid w:val="0"/>
        </w:rPr>
        <w:tab/>
        <w:t>Adoption of SUSDP for certain paints</w:t>
      </w:r>
      <w:bookmarkEnd w:id="60"/>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61" w:name="_Toc389746712"/>
      <w:r>
        <w:rPr>
          <w:rStyle w:val="CharSectno"/>
        </w:rPr>
        <w:t>35</w:t>
      </w:r>
      <w:r>
        <w:rPr>
          <w:snapToGrid w:val="0"/>
        </w:rPr>
        <w:t>.</w:t>
      </w:r>
      <w:r>
        <w:rPr>
          <w:snapToGrid w:val="0"/>
        </w:rPr>
        <w:tab/>
        <w:t>Restrictions on retail sale of substances included in Schedule 2</w:t>
      </w:r>
      <w:bookmarkEnd w:id="61"/>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62" w:name="_Toc389746713"/>
      <w:r>
        <w:rPr>
          <w:rStyle w:val="CharSectno"/>
        </w:rPr>
        <w:t>35A</w:t>
      </w:r>
      <w:r>
        <w:rPr>
          <w:snapToGrid w:val="0"/>
        </w:rPr>
        <w:t>.</w:t>
      </w:r>
      <w:r>
        <w:rPr>
          <w:snapToGrid w:val="0"/>
        </w:rPr>
        <w:tab/>
        <w:t>Restrictions on retail sale of substances included in Schedule 3</w:t>
      </w:r>
      <w:bookmarkEnd w:id="62"/>
      <w:r>
        <w:rPr>
          <w:snapToGrid w:val="0"/>
        </w:rPr>
        <w:t xml:space="preserve"> </w:t>
      </w:r>
    </w:p>
    <w:p>
      <w:pPr>
        <w:pStyle w:val="Subsection"/>
      </w:pPr>
      <w:r>
        <w:tab/>
        <w:t>(1)</w:t>
      </w:r>
      <w:r>
        <w:tab/>
        <w:t>The retail sale of a substance included in Schedule 3 shall only be by way of direct, personal sale by a pharmacist or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by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w:t>
      </w:r>
    </w:p>
    <w:p>
      <w:pPr>
        <w:pStyle w:val="Ednotesection"/>
      </w:pPr>
      <w:r>
        <w:t>[</w:t>
      </w:r>
      <w:r>
        <w:rPr>
          <w:b/>
        </w:rPr>
        <w:t>35AA.</w:t>
      </w:r>
      <w:r>
        <w:rPr>
          <w:b/>
        </w:rPr>
        <w:tab/>
      </w:r>
      <w:r>
        <w:t xml:space="preserve">Deleted in Gazette 11 Apr 1997 p. 1829.] </w:t>
      </w:r>
    </w:p>
    <w:p>
      <w:pPr>
        <w:pStyle w:val="Heading5"/>
        <w:rPr>
          <w:snapToGrid w:val="0"/>
        </w:rPr>
      </w:pPr>
      <w:bookmarkStart w:id="63" w:name="_Toc389746714"/>
      <w:r>
        <w:rPr>
          <w:rStyle w:val="CharSectno"/>
        </w:rPr>
        <w:t>35B</w:t>
      </w:r>
      <w:r>
        <w:rPr>
          <w:snapToGrid w:val="0"/>
        </w:rPr>
        <w:t>.</w:t>
      </w:r>
      <w:r>
        <w:rPr>
          <w:snapToGrid w:val="0"/>
        </w:rPr>
        <w:tab/>
        <w:t>Storage of substances included in Schedule 3</w:t>
      </w:r>
      <w:bookmarkEnd w:id="63"/>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64" w:name="_Toc389746715"/>
      <w:r>
        <w:rPr>
          <w:rStyle w:val="CharSectno"/>
        </w:rPr>
        <w:t>35C</w:t>
      </w:r>
      <w:r>
        <w:rPr>
          <w:snapToGrid w:val="0"/>
        </w:rPr>
        <w:t>.</w:t>
      </w:r>
      <w:r>
        <w:rPr>
          <w:snapToGrid w:val="0"/>
        </w:rPr>
        <w:tab/>
        <w:t>Advertising of substances included in Schedule 3</w:t>
      </w:r>
      <w:bookmarkEnd w:id="64"/>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pPr>
      <w:bookmarkStart w:id="65" w:name="_Toc389746716"/>
      <w:r>
        <w:rPr>
          <w:rStyle w:val="CharSectno"/>
        </w:rPr>
        <w:t>35D</w:t>
      </w:r>
      <w:r>
        <w:t>.</w:t>
      </w:r>
      <w:r>
        <w:tab/>
        <w:t>Advertising of substances included in Schedule 4</w:t>
      </w:r>
      <w:bookmarkEnd w:id="65"/>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66" w:name="_Toc389746717"/>
      <w:r>
        <w:rPr>
          <w:rStyle w:val="CharDivNo"/>
        </w:rPr>
        <w:t>Division 2</w:t>
      </w:r>
      <w:r>
        <w:t xml:space="preserve"> — </w:t>
      </w:r>
      <w:r>
        <w:rPr>
          <w:rStyle w:val="CharDivText"/>
        </w:rPr>
        <w:t>Schedule 4 poisons</w:t>
      </w:r>
      <w:bookmarkEnd w:id="66"/>
    </w:p>
    <w:p>
      <w:pPr>
        <w:pStyle w:val="Footnoteheading"/>
      </w:pPr>
      <w:r>
        <w:tab/>
        <w:t>[Heading inserted in Gazette 12 Aug 2003 p. 3664; amended in Gazette 4 Jan 2005 p. 3.]</w:t>
      </w:r>
    </w:p>
    <w:p>
      <w:pPr>
        <w:pStyle w:val="Heading5"/>
        <w:rPr>
          <w:snapToGrid w:val="0"/>
        </w:rPr>
      </w:pPr>
      <w:bookmarkStart w:id="67" w:name="_Toc389746718"/>
      <w:r>
        <w:rPr>
          <w:rStyle w:val="CharSectno"/>
        </w:rPr>
        <w:t>36</w:t>
      </w:r>
      <w:r>
        <w:rPr>
          <w:snapToGrid w:val="0"/>
        </w:rPr>
        <w:t>.</w:t>
      </w:r>
      <w:r>
        <w:rPr>
          <w:snapToGrid w:val="0"/>
        </w:rPr>
        <w:tab/>
        <w:t>Supply of poisons included in Schedule 4</w:t>
      </w:r>
      <w:bookmarkEnd w:id="67"/>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or veterinary surgeon or an assistant under the direct personal supervision of a medical practitioner,</w:t>
      </w:r>
      <w:r>
        <w:t xml:space="preserve"> nurse practitioner,</w:t>
      </w:r>
      <w:r>
        <w:rPr>
          <w:snapToGrid w:val="0"/>
        </w:rPr>
        <w:t xml:space="preserve"> </w:t>
      </w:r>
      <w:r>
        <w:t>pharmacist</w:t>
      </w:r>
      <w:r>
        <w:rPr>
          <w:snapToGrid w:val="0"/>
        </w:rPr>
        <w: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spacing w:before="100"/>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1 Oct 2010 p. 5079-80; amended by Act No. 9 of 2003 s. 44.] </w:t>
      </w:r>
    </w:p>
    <w:p>
      <w:pPr>
        <w:pStyle w:val="Heading5"/>
        <w:spacing w:before="260"/>
      </w:pPr>
      <w:bookmarkStart w:id="68" w:name="_Toc389746719"/>
      <w:r>
        <w:rPr>
          <w:rStyle w:val="CharSectno"/>
        </w:rPr>
        <w:t>36AA</w:t>
      </w:r>
      <w:r>
        <w:t>.</w:t>
      </w:r>
      <w:r>
        <w:tab/>
        <w:t>Provision of approved starter packs by registered nurses</w:t>
      </w:r>
      <w:bookmarkEnd w:id="68"/>
    </w:p>
    <w:p>
      <w:pPr>
        <w:pStyle w:val="Subsection"/>
        <w:spacing w:before="200"/>
      </w:pPr>
      <w:r>
        <w:tab/>
        <w:t>(1)</w:t>
      </w:r>
      <w:r>
        <w:tab/>
        <w:t>In this regulation —</w:t>
      </w:r>
    </w:p>
    <w:p>
      <w:pPr>
        <w:pStyle w:val="Defstart"/>
        <w:spacing w:before="70"/>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spacing w:before="70"/>
      </w:pPr>
      <w:r>
        <w:tab/>
        <w:t>(a)</w:t>
      </w:r>
      <w:r>
        <w:tab/>
        <w:t xml:space="preserve">operates outside the metropolitan region (as defined in section 6 of the </w:t>
      </w:r>
      <w:r>
        <w:rPr>
          <w:i/>
        </w:rPr>
        <w:t>Metropolitan Region Town Planning Scheme Act 1959</w:t>
      </w:r>
      <w:r>
        <w:t xml:space="preserve"> </w:t>
      </w:r>
      <w:r>
        <w:rPr>
          <w:vertAlign w:val="superscript"/>
        </w:rPr>
        <w:t>5</w:t>
      </w:r>
      <w:r>
        <w:t xml:space="preserve">); and </w:t>
      </w:r>
    </w:p>
    <w:p>
      <w:pPr>
        <w:pStyle w:val="Defpara"/>
        <w:spacing w:before="70"/>
      </w:pPr>
      <w:r>
        <w:tab/>
        <w:t>(b)</w:t>
      </w:r>
      <w:r>
        <w:tab/>
        <w:t xml:space="preserve">has been approved by the CEO for the purposes of this regulation; </w:t>
      </w:r>
    </w:p>
    <w:p>
      <w:pPr>
        <w:pStyle w:val="Defstart"/>
        <w:spacing w:before="70"/>
      </w:pPr>
      <w:r>
        <w:tab/>
      </w:r>
      <w:r>
        <w:rPr>
          <w:rStyle w:val="CharDefText"/>
        </w:rPr>
        <w:t>approved name</w:t>
      </w:r>
      <w:r>
        <w:t xml:space="preserve"> has the same meaning as in regulation 35C; </w:t>
      </w:r>
    </w:p>
    <w:p>
      <w:pPr>
        <w:pStyle w:val="Defstart"/>
        <w:spacing w:before="70"/>
      </w:pPr>
      <w:r>
        <w:tab/>
      </w:r>
      <w:r>
        <w:rPr>
          <w:rStyle w:val="CharDefText"/>
        </w:rPr>
        <w:t>approved starter pack</w:t>
      </w:r>
      <w:r>
        <w:t xml:space="preserve"> means a starter pack approved by the CEO for the purposes of this regulation; </w:t>
      </w:r>
    </w:p>
    <w:p>
      <w:pPr>
        <w:pStyle w:val="Defstart"/>
        <w:spacing w:before="70"/>
      </w:pPr>
      <w:r>
        <w:tab/>
      </w:r>
      <w:r>
        <w:rPr>
          <w:rStyle w:val="CharDefText"/>
        </w:rPr>
        <w:t>brand name</w:t>
      </w:r>
      <w:r>
        <w:t xml:space="preserve"> has the same meaning as in regulation 35C; </w:t>
      </w:r>
    </w:p>
    <w:p>
      <w:pPr>
        <w:pStyle w:val="Defstart"/>
        <w:keepNext/>
        <w:spacing w:before="70"/>
      </w:pPr>
      <w:r>
        <w:tab/>
      </w:r>
      <w:r>
        <w:rPr>
          <w:rStyle w:val="CharDefText"/>
        </w:rPr>
        <w:t>starter pack</w:t>
      </w:r>
      <w:r>
        <w:t xml:space="preserve"> means a quantity of a poison included in Schedule 4, prepared by a pharmacist and consisting of —</w:t>
      </w:r>
    </w:p>
    <w:p>
      <w:pPr>
        <w:pStyle w:val="Defpara"/>
        <w:spacing w:before="70"/>
      </w:pPr>
      <w:r>
        <w:tab/>
        <w:t>(a)</w:t>
      </w:r>
      <w:r>
        <w:tab/>
        <w:t xml:space="preserve">if the poison is supplied in prepacked individual packs, one individual standard pack; </w:t>
      </w:r>
    </w:p>
    <w:p>
      <w:pPr>
        <w:pStyle w:val="Defpara"/>
        <w:spacing w:before="70"/>
      </w:pPr>
      <w:r>
        <w:tab/>
        <w:t>(b)</w:t>
      </w:r>
      <w:r>
        <w:tab/>
        <w:t>if the poison is a liquid, the smallest pack of the poison available from the manufacturer; or</w:t>
      </w:r>
    </w:p>
    <w:p>
      <w:pPr>
        <w:pStyle w:val="Defpara"/>
        <w:spacing w:before="70"/>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spacing w:before="70"/>
      </w:pPr>
      <w:r>
        <w:tab/>
        <w:t>(d)</w:t>
      </w:r>
      <w:r>
        <w:tab/>
        <w:t>the date and time when the instruction was given;</w:t>
      </w:r>
    </w:p>
    <w:p>
      <w:pPr>
        <w:pStyle w:val="Indenta"/>
        <w:spacing w:before="70"/>
      </w:pPr>
      <w:r>
        <w:tab/>
        <w:t>(e)</w:t>
      </w:r>
      <w:r>
        <w:tab/>
        <w:t xml:space="preserve">details of the approved starter pack; </w:t>
      </w:r>
    </w:p>
    <w:p>
      <w:pPr>
        <w:pStyle w:val="Indenta"/>
        <w:spacing w:before="70"/>
      </w:pPr>
      <w:r>
        <w:tab/>
        <w:t>(f)</w:t>
      </w:r>
      <w:r>
        <w:tab/>
        <w:t>any relevant directions for use that were to be given to the patient; and</w:t>
      </w:r>
    </w:p>
    <w:p>
      <w:pPr>
        <w:pStyle w:val="Indenta"/>
        <w:spacing w:before="70"/>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w:t>
      </w:r>
    </w:p>
    <w:p>
      <w:pPr>
        <w:pStyle w:val="Indenta"/>
        <w:spacing w:before="70"/>
      </w:pPr>
      <w:r>
        <w:tab/>
        <w:t>(b)</w:t>
      </w:r>
      <w:r>
        <w:tab/>
        <w:t>the name of the patient;</w:t>
      </w:r>
    </w:p>
    <w:p>
      <w:pPr>
        <w:pStyle w:val="Indenta"/>
        <w:spacing w:before="70"/>
      </w:pPr>
      <w:r>
        <w:tab/>
        <w:t>(c)</w:t>
      </w:r>
      <w:r>
        <w:tab/>
        <w:t>the name and address of the health service;</w:t>
      </w:r>
    </w:p>
    <w:p>
      <w:pPr>
        <w:pStyle w:val="Indenta"/>
        <w:spacing w:before="70"/>
      </w:pPr>
      <w:r>
        <w:tab/>
        <w:t>(d)</w:t>
      </w:r>
      <w:r>
        <w:tab/>
        <w:t>in relation to each poison in the approved starter pack —</w:t>
      </w:r>
    </w:p>
    <w:p>
      <w:pPr>
        <w:pStyle w:val="Indenti"/>
        <w:spacing w:before="70"/>
      </w:pPr>
      <w:r>
        <w:tab/>
        <w:t>(i)</w:t>
      </w:r>
      <w:r>
        <w:tab/>
        <w:t xml:space="preserve">the approved name and strength or amount of the poison; or </w:t>
      </w:r>
    </w:p>
    <w:p>
      <w:pPr>
        <w:pStyle w:val="Indenti"/>
        <w:spacing w:before="70"/>
      </w:pPr>
      <w:r>
        <w:tab/>
        <w:t>(ii)</w:t>
      </w:r>
      <w:r>
        <w:tab/>
        <w:t>if the brand name uniquely identifies the strength of the poison, that brand name;</w:t>
      </w:r>
    </w:p>
    <w:p>
      <w:pPr>
        <w:pStyle w:val="Indenta"/>
        <w:spacing w:before="70"/>
      </w:pPr>
      <w:r>
        <w:tab/>
        <w:t>(e)</w:t>
      </w:r>
      <w:r>
        <w:tab/>
        <w:t>the total quantity of medication contained in the approved starter pack;</w:t>
      </w:r>
    </w:p>
    <w:p>
      <w:pPr>
        <w:pStyle w:val="Indenta"/>
        <w:spacing w:before="70"/>
      </w:pPr>
      <w:r>
        <w:tab/>
        <w:t>(f)</w:t>
      </w:r>
      <w:r>
        <w:tab/>
        <w:t>the date on which the approved starter pack was given to the patient;</w:t>
      </w:r>
    </w:p>
    <w:p>
      <w:pPr>
        <w:pStyle w:val="Indenta"/>
        <w:spacing w:before="70"/>
      </w:pPr>
      <w:r>
        <w:tab/>
        <w:t>(g)</w:t>
      </w:r>
      <w:r>
        <w:tab/>
        <w:t>any directions for use given by the medical practitioner;</w:t>
      </w:r>
    </w:p>
    <w:p>
      <w:pPr>
        <w:pStyle w:val="Indenta"/>
        <w:spacing w:before="70"/>
      </w:pPr>
      <w:r>
        <w:tab/>
        <w:t>(h)</w:t>
      </w:r>
      <w:r>
        <w:tab/>
        <w:t>the number referred to in subregulation (10)(f) identifying the relevant entry in the health service’s Starter Pack Supply Book; and</w:t>
      </w:r>
    </w:p>
    <w:p>
      <w:pPr>
        <w:pStyle w:val="Indenta"/>
        <w:spacing w:before="70"/>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5079-80.]</w:t>
      </w:r>
    </w:p>
    <w:p>
      <w:pPr>
        <w:pStyle w:val="Heading5"/>
      </w:pPr>
      <w:bookmarkStart w:id="69" w:name="_Toc389746720"/>
      <w:r>
        <w:rPr>
          <w:rStyle w:val="CharSectno"/>
        </w:rPr>
        <w:t>36AAB</w:t>
      </w:r>
      <w:r>
        <w:t>.</w:t>
      </w:r>
      <w:r>
        <w:tab/>
        <w:t>Provision of psychiatric emergency packs by certain registered nurses</w:t>
      </w:r>
      <w:bookmarkEnd w:id="69"/>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spacing w:before="70"/>
      </w:pPr>
      <w:r>
        <w:tab/>
        <w:t>(a)</w:t>
      </w:r>
      <w:r>
        <w:tab/>
        <w:t>is provided in the metropolitan region; and</w:t>
      </w:r>
    </w:p>
    <w:p>
      <w:pPr>
        <w:pStyle w:val="Defpara"/>
        <w:spacing w:before="70"/>
      </w:pPr>
      <w:r>
        <w:tab/>
        <w:t>(b)</w:t>
      </w:r>
      <w:r>
        <w:tab/>
        <w:t>responds to psychiatric emergencies in the community; and</w:t>
      </w:r>
    </w:p>
    <w:p>
      <w:pPr>
        <w:pStyle w:val="Defpara"/>
        <w:spacing w:before="70"/>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70"/>
      </w:pPr>
      <w:r>
        <w:tab/>
        <w:t>(a)</w:t>
      </w:r>
      <w:r>
        <w:tab/>
        <w:t>if the poison is supplied in prepacked individual packs — is one individual standard pack; or</w:t>
      </w:r>
    </w:p>
    <w:p>
      <w:pPr>
        <w:pStyle w:val="Defpara"/>
        <w:spacing w:before="70"/>
      </w:pPr>
      <w:r>
        <w:tab/>
        <w:t>(b)</w:t>
      </w:r>
      <w:r>
        <w:tab/>
        <w:t>if the poison is a liquid — is the smallest pack of the poison available from the manufacturer; or</w:t>
      </w:r>
    </w:p>
    <w:p>
      <w:pPr>
        <w:pStyle w:val="Defpara"/>
        <w:spacing w:before="70"/>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70"/>
      </w:pPr>
      <w:r>
        <w:rPr>
          <w:bCs/>
        </w:rPr>
        <w:tab/>
        <w:t>(a)</w:t>
      </w:r>
      <w:r>
        <w:rPr>
          <w:bCs/>
        </w:rPr>
        <w:tab/>
        <w:t>is provided outside the metropolitan region; and</w:t>
      </w:r>
    </w:p>
    <w:p>
      <w:pPr>
        <w:pStyle w:val="Defpara"/>
        <w:spacing w:before="70"/>
      </w:pPr>
      <w:r>
        <w:tab/>
        <w:t>(b)</w:t>
      </w:r>
      <w:r>
        <w:tab/>
        <w:t>responds to psychiatric emergencies in the community; and</w:t>
      </w:r>
    </w:p>
    <w:p>
      <w:pPr>
        <w:pStyle w:val="Defpara"/>
        <w:spacing w:before="7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 amended in Gazette 1 Oct 2010 p. 5079-80.]</w:t>
      </w:r>
    </w:p>
    <w:p>
      <w:pPr>
        <w:pStyle w:val="Heading5"/>
      </w:pPr>
      <w:bookmarkStart w:id="70" w:name="_Toc389746721"/>
      <w:r>
        <w:rPr>
          <w:rStyle w:val="CharSectno"/>
        </w:rPr>
        <w:t>36A</w:t>
      </w:r>
      <w:r>
        <w:t>.</w:t>
      </w:r>
      <w:r>
        <w:tab/>
        <w:t>Storage of substances included in Schedule 4</w:t>
      </w:r>
      <w:bookmarkEnd w:id="70"/>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 amended in Gazette 1 Oct 2010 p. 5079-80.]</w:t>
      </w:r>
    </w:p>
    <w:p>
      <w:pPr>
        <w:pStyle w:val="Heading5"/>
        <w:spacing w:before="260"/>
      </w:pPr>
      <w:bookmarkStart w:id="71" w:name="_Toc389746722"/>
      <w:r>
        <w:rPr>
          <w:rStyle w:val="CharSectno"/>
        </w:rPr>
        <w:t>36B</w:t>
      </w:r>
      <w:r>
        <w:t>.</w:t>
      </w:r>
      <w:r>
        <w:tab/>
        <w:t>Record of supply or administration of substances included in Schedule 4</w:t>
      </w:r>
      <w:bookmarkEnd w:id="71"/>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Heading5"/>
      </w:pPr>
      <w:bookmarkStart w:id="72" w:name="_Toc389746723"/>
      <w:r>
        <w:rPr>
          <w:rStyle w:val="CharSectno"/>
        </w:rPr>
        <w:t>37A</w:t>
      </w:r>
      <w:r>
        <w:t>.</w:t>
      </w:r>
      <w:r>
        <w:tab/>
        <w:t>H1N1 Pandemic Influenza Vaccine — exemption from specified provisions of the Act</w:t>
      </w:r>
      <w:bookmarkEnd w:id="72"/>
    </w:p>
    <w:p>
      <w:pPr>
        <w:pStyle w:val="Subsection"/>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73" w:name="_Toc389746724"/>
      <w:r>
        <w:rPr>
          <w:rStyle w:val="CharSectno"/>
        </w:rPr>
        <w:t>37B</w:t>
      </w:r>
      <w:r>
        <w:t>.</w:t>
      </w:r>
      <w:r>
        <w:tab/>
        <w:t>Vaccines — exemption from specified provisions of the Act</w:t>
      </w:r>
      <w:bookmarkEnd w:id="73"/>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1146-7.]</w:t>
      </w:r>
    </w:p>
    <w:p>
      <w:pPr>
        <w:pStyle w:val="Ednotedivision"/>
      </w:pPr>
      <w:r>
        <w:t>[Heading deleted in Gazette 12 Aug 2003 p. 3663.]</w:t>
      </w:r>
    </w:p>
    <w:p>
      <w:pPr>
        <w:pStyle w:val="Heading5"/>
        <w:rPr>
          <w:snapToGrid w:val="0"/>
        </w:rPr>
      </w:pPr>
      <w:bookmarkStart w:id="74" w:name="_Toc389746725"/>
      <w:r>
        <w:rPr>
          <w:rStyle w:val="CharSectno"/>
        </w:rPr>
        <w:t>37</w:t>
      </w:r>
      <w:r>
        <w:rPr>
          <w:snapToGrid w:val="0"/>
        </w:rPr>
        <w:t>.</w:t>
      </w:r>
      <w:r>
        <w:rPr>
          <w:snapToGrid w:val="0"/>
        </w:rPr>
        <w:tab/>
        <w:t>Conditions for prescription of a poison included in Schedule 4</w:t>
      </w:r>
      <w:bookmarkEnd w:id="74"/>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60"/>
        <w:rPr>
          <w:snapToGrid w:val="0"/>
        </w:rPr>
      </w:pPr>
      <w:r>
        <w:rPr>
          <w:snapToGrid w:val="0"/>
        </w:rPr>
        <w:tab/>
        <w:t>(f)</w:t>
      </w:r>
      <w:r>
        <w:rPr>
          <w:snapToGrid w:val="0"/>
        </w:rPr>
        <w:tab/>
        <w:t>a prescription shall not be written in cipher.</w:t>
      </w:r>
    </w:p>
    <w:p>
      <w:pPr>
        <w:pStyle w:val="Subsection"/>
        <w:spacing w:before="120"/>
      </w:pPr>
      <w:r>
        <w:tab/>
        <w:t>(1A)</w:t>
      </w:r>
      <w:r>
        <w:tab/>
        <w:t>A prescription that is issued electronically shall be issued via an approved electronic prescribing system</w:t>
      </w:r>
      <w:r>
        <w:rPr>
          <w:snapToGrid w:val="0"/>
        </w:rPr>
        <w:t>.</w:t>
      </w:r>
    </w:p>
    <w:p>
      <w:pPr>
        <w:pStyle w:val="Subsection"/>
        <w:spacing w:before="120"/>
      </w:pPr>
      <w:r>
        <w:tab/>
        <w:t>(1B)</w:t>
      </w:r>
      <w:r>
        <w:tab/>
        <w:t xml:space="preserve">A prescription that is not issued electronically shall be either — </w:t>
      </w:r>
    </w:p>
    <w:p>
      <w:pPr>
        <w:pStyle w:val="Indenta"/>
        <w:spacing w:before="60"/>
        <w:rPr>
          <w:snapToGrid w:val="0"/>
        </w:rPr>
      </w:pPr>
      <w:r>
        <w:rPr>
          <w:snapToGrid w:val="0"/>
        </w:rPr>
        <w:tab/>
        <w:t>(a)</w:t>
      </w:r>
      <w:r>
        <w:rPr>
          <w:snapToGrid w:val="0"/>
        </w:rPr>
        <w:tab/>
        <w:t>written in ink in the prescriber’s own handwriting; or</w:t>
      </w:r>
    </w:p>
    <w:p>
      <w:pPr>
        <w:pStyle w:val="Indenta"/>
        <w:spacing w:before="60"/>
      </w:pPr>
      <w:r>
        <w:tab/>
        <w:t>(b)</w:t>
      </w:r>
      <w:r>
        <w:tab/>
        <w:t xml:space="preserve">processed on a computer program that — </w:t>
      </w:r>
    </w:p>
    <w:p>
      <w:pPr>
        <w:pStyle w:val="Indenti"/>
        <w:spacing w:before="60"/>
        <w:rPr>
          <w:snapToGrid w:val="0"/>
        </w:rPr>
      </w:pPr>
      <w:r>
        <w:rPr>
          <w:snapToGrid w:val="0"/>
        </w:rPr>
        <w:tab/>
        <w:t>(i)</w:t>
      </w:r>
      <w:r>
        <w:rPr>
          <w:snapToGrid w:val="0"/>
        </w:rPr>
        <w:tab/>
        <w:t>complies with the criteria specified in Appendix L; or</w:t>
      </w:r>
    </w:p>
    <w:p>
      <w:pPr>
        <w:pStyle w:val="Indenti"/>
        <w:spacing w:before="60"/>
        <w:rPr>
          <w:snapToGrid w:val="0"/>
        </w:rPr>
      </w:pPr>
      <w:r>
        <w:rPr>
          <w:snapToGrid w:val="0"/>
        </w:rPr>
        <w:tab/>
        <w:t>(ii)</w:t>
      </w:r>
      <w:r>
        <w:rPr>
          <w:snapToGrid w:val="0"/>
        </w:rPr>
        <w:tab/>
        <w:t>is recommended by the Poisons Advisory Committee and approved in writing by the CEO.</w:t>
      </w:r>
    </w:p>
    <w:p>
      <w:pPr>
        <w:pStyle w:val="Subsection"/>
        <w:spacing w:before="120"/>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Heading5"/>
      </w:pPr>
      <w:bookmarkStart w:id="75" w:name="_Toc389746726"/>
      <w:r>
        <w:rPr>
          <w:rStyle w:val="CharSectno"/>
        </w:rPr>
        <w:t>38A</w:t>
      </w:r>
      <w:r>
        <w:t>.</w:t>
      </w:r>
      <w:r>
        <w:tab/>
        <w:t>Prescriptions for poisons included in Schedule 4 for patient discharged from public hospital</w:t>
      </w:r>
      <w:bookmarkEnd w:id="75"/>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or nurse practitioner has completed, in ink in his or her own hand writing, all the details in respect of the Schedule 4 poison required by the NIMC; and</w:t>
      </w:r>
    </w:p>
    <w:p>
      <w:pPr>
        <w:pStyle w:val="Indenta"/>
      </w:pPr>
      <w:r>
        <w:tab/>
        <w:t>(c)</w:t>
      </w:r>
      <w:r>
        <w:tab/>
        <w:t>a medical practitioner or nurse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w:t>
      </w:r>
    </w:p>
    <w:p>
      <w:pPr>
        <w:pStyle w:val="Ednotedivision"/>
        <w:spacing w:before="100"/>
      </w:pPr>
      <w:r>
        <w:t>[Heading deleted in Gazette 12 Aug 2003 p. 3663.]</w:t>
      </w:r>
    </w:p>
    <w:p>
      <w:pPr>
        <w:pStyle w:val="Heading5"/>
        <w:spacing w:before="180"/>
        <w:rPr>
          <w:snapToGrid w:val="0"/>
        </w:rPr>
      </w:pPr>
      <w:bookmarkStart w:id="76" w:name="_Toc389746727"/>
      <w:r>
        <w:rPr>
          <w:rStyle w:val="CharSectno"/>
        </w:rPr>
        <w:t>38</w:t>
      </w:r>
      <w:r>
        <w:rPr>
          <w:snapToGrid w:val="0"/>
        </w:rPr>
        <w:t>.</w:t>
      </w:r>
      <w:r>
        <w:rPr>
          <w:snapToGrid w:val="0"/>
        </w:rPr>
        <w:tab/>
      </w:r>
      <w:r>
        <w:rPr>
          <w:snapToGrid w:val="0"/>
          <w:spacing w:val="-4"/>
        </w:rPr>
        <w:t>Dispensing poisons included in Schedule 4 in emergency cases</w:t>
      </w:r>
      <w:bookmarkEnd w:id="76"/>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amended by Act No. 9 of 2003 s. 46.]</w:t>
      </w:r>
    </w:p>
    <w:p>
      <w:pPr>
        <w:pStyle w:val="Ednotedivision"/>
        <w:spacing w:before="16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77" w:name="_Toc389746728"/>
      <w:r>
        <w:rPr>
          <w:rStyle w:val="CharSectno"/>
        </w:rPr>
        <w:t>38AA</w:t>
      </w:r>
      <w:r>
        <w:rPr>
          <w:snapToGrid w:val="0"/>
        </w:rPr>
        <w:t>.</w:t>
      </w:r>
      <w:r>
        <w:rPr>
          <w:snapToGrid w:val="0"/>
        </w:rPr>
        <w:tab/>
        <w:t>Administration of poisons included in Schedule 4 in hospital</w:t>
      </w:r>
      <w:bookmarkEnd w:id="77"/>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spacing w:before="160"/>
      </w:pPr>
      <w:r>
        <w:rPr>
          <w:snapToGrid/>
        </w:rPr>
        <w:t>[Heading deleted in Gazette 12 Aug 2003 p. 3663.]</w:t>
      </w:r>
    </w:p>
    <w:p>
      <w:pPr>
        <w:pStyle w:val="Ednotesection"/>
        <w:spacing w:before="180"/>
        <w:ind w:left="890" w:hanging="890"/>
      </w:pPr>
      <w:r>
        <w:t>[</w:t>
      </w:r>
      <w:r>
        <w:rPr>
          <w:b/>
        </w:rPr>
        <w:t>38B.</w:t>
      </w:r>
      <w:r>
        <w:rPr>
          <w:b/>
        </w:rPr>
        <w:tab/>
      </w:r>
      <w:r>
        <w:t xml:space="preserve">Deleted in Gazette 24 Jun 1994 p. 2867.] </w:t>
      </w:r>
    </w:p>
    <w:p>
      <w:pPr>
        <w:pStyle w:val="Ednotedivision"/>
        <w:spacing w:before="160"/>
      </w:pPr>
      <w:r>
        <w:t>[Heading deleted in Gazette 12 Aug 2003 p. 3663.]</w:t>
      </w:r>
    </w:p>
    <w:p>
      <w:pPr>
        <w:pStyle w:val="Heading5"/>
        <w:spacing w:before="180"/>
        <w:rPr>
          <w:snapToGrid w:val="0"/>
        </w:rPr>
      </w:pPr>
      <w:bookmarkStart w:id="78" w:name="_Toc389746729"/>
      <w:r>
        <w:rPr>
          <w:rStyle w:val="CharSectno"/>
        </w:rPr>
        <w:t>38C</w:t>
      </w:r>
      <w:r>
        <w:rPr>
          <w:snapToGrid w:val="0"/>
        </w:rPr>
        <w:t>.</w:t>
      </w:r>
      <w:r>
        <w:rPr>
          <w:snapToGrid w:val="0"/>
        </w:rPr>
        <w:tab/>
        <w:t>Clomiphene and cyclofenil</w:t>
      </w:r>
      <w:bookmarkEnd w:id="78"/>
      <w:r>
        <w:rPr>
          <w:snapToGrid w:val="0"/>
        </w:rPr>
        <w:t xml:space="preserve"> </w:t>
      </w:r>
    </w:p>
    <w:p>
      <w:pPr>
        <w:pStyle w:val="Subsection"/>
        <w:spacing w:before="120"/>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spacing w:before="180"/>
      </w:pPr>
      <w:r>
        <w:t>[Heading deleted in Gazette 12 Aug 2003 p. 3663.]</w:t>
      </w:r>
    </w:p>
    <w:p>
      <w:pPr>
        <w:pStyle w:val="Heading5"/>
        <w:rPr>
          <w:snapToGrid w:val="0"/>
        </w:rPr>
      </w:pPr>
      <w:bookmarkStart w:id="79" w:name="_Toc389746730"/>
      <w:r>
        <w:rPr>
          <w:rStyle w:val="CharSectno"/>
        </w:rPr>
        <w:t>38D</w:t>
      </w:r>
      <w:r>
        <w:rPr>
          <w:snapToGrid w:val="0"/>
        </w:rPr>
        <w:t>.</w:t>
      </w:r>
      <w:r>
        <w:rPr>
          <w:snapToGrid w:val="0"/>
        </w:rPr>
        <w:tab/>
        <w:t>Etretinate or acitretin</w:t>
      </w:r>
      <w:bookmarkEnd w:id="79"/>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80" w:name="_Toc389746731"/>
      <w:r>
        <w:rPr>
          <w:rStyle w:val="CharSectno"/>
        </w:rPr>
        <w:t>38E</w:t>
      </w:r>
      <w:r>
        <w:rPr>
          <w:snapToGrid w:val="0"/>
        </w:rPr>
        <w:t>.</w:t>
      </w:r>
      <w:r>
        <w:rPr>
          <w:snapToGrid w:val="0"/>
        </w:rPr>
        <w:tab/>
        <w:t>Prostaglandins</w:t>
      </w:r>
      <w:bookmarkEnd w:id="80"/>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81" w:name="_Toc389746732"/>
      <w:r>
        <w:rPr>
          <w:rStyle w:val="CharSectno"/>
        </w:rPr>
        <w:t>38F</w:t>
      </w:r>
      <w:r>
        <w:t>.</w:t>
      </w:r>
      <w:r>
        <w:tab/>
        <w:t>Isotr</w:t>
      </w:r>
      <w:r>
        <w:rPr>
          <w:b w:val="0"/>
          <w:snapToGrid w:val="0"/>
        </w:rPr>
        <w:t>e</w:t>
      </w:r>
      <w:r>
        <w:t>tinoin</w:t>
      </w:r>
      <w:bookmarkEnd w:id="81"/>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82" w:name="_Toc389746733"/>
      <w:r>
        <w:rPr>
          <w:rStyle w:val="CharSectno"/>
        </w:rPr>
        <w:t>38G</w:t>
      </w:r>
      <w:r>
        <w:rPr>
          <w:snapToGrid w:val="0"/>
        </w:rPr>
        <w:t>.</w:t>
      </w:r>
      <w:r>
        <w:rPr>
          <w:snapToGrid w:val="0"/>
        </w:rPr>
        <w:tab/>
        <w:t>Thalidomide for human use</w:t>
      </w:r>
      <w:bookmarkEnd w:id="82"/>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83" w:name="_Toc389746734"/>
      <w:r>
        <w:rPr>
          <w:rStyle w:val="CharSectno"/>
        </w:rPr>
        <w:t>38H</w:t>
      </w:r>
      <w:r>
        <w:rPr>
          <w:snapToGrid w:val="0"/>
        </w:rPr>
        <w:t>.</w:t>
      </w:r>
      <w:r>
        <w:rPr>
          <w:snapToGrid w:val="0"/>
        </w:rPr>
        <w:tab/>
        <w:t>Chloramphenicol</w:t>
      </w:r>
      <w:bookmarkEnd w:id="83"/>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84" w:name="_Toc389746735"/>
      <w:r>
        <w:rPr>
          <w:rStyle w:val="CharSectno"/>
        </w:rPr>
        <w:t>38I</w:t>
      </w:r>
      <w:r>
        <w:rPr>
          <w:snapToGrid w:val="0"/>
        </w:rPr>
        <w:t>.</w:t>
      </w:r>
      <w:r>
        <w:rPr>
          <w:snapToGrid w:val="0"/>
        </w:rPr>
        <w:tab/>
        <w:t>Follicular stimulating hormone and luteinising hormone</w:t>
      </w:r>
      <w:bookmarkEnd w:id="84"/>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85" w:name="_Toc389746736"/>
      <w:r>
        <w:rPr>
          <w:rStyle w:val="CharSectno"/>
        </w:rPr>
        <w:t>38K</w:t>
      </w:r>
      <w:r>
        <w:rPr>
          <w:snapToGrid w:val="0"/>
        </w:rPr>
        <w:t>.</w:t>
      </w:r>
      <w:r>
        <w:rPr>
          <w:snapToGrid w:val="0"/>
        </w:rPr>
        <w:tab/>
        <w:t>Carnidazole</w:t>
      </w:r>
      <w:bookmarkEnd w:id="85"/>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86" w:name="_Toc389746737"/>
      <w:r>
        <w:rPr>
          <w:rStyle w:val="CharSectno"/>
        </w:rPr>
        <w:t>38L</w:t>
      </w:r>
      <w:r>
        <w:rPr>
          <w:snapToGrid w:val="0"/>
        </w:rPr>
        <w:t>.</w:t>
      </w:r>
      <w:r>
        <w:rPr>
          <w:snapToGrid w:val="0"/>
        </w:rPr>
        <w:tab/>
        <w:t>Oxolinic acid</w:t>
      </w:r>
      <w:bookmarkEnd w:id="86"/>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87" w:name="_Toc389746738"/>
      <w:r>
        <w:rPr>
          <w:rStyle w:val="CharSectno"/>
        </w:rPr>
        <w:t>38M</w:t>
      </w:r>
      <w:r>
        <w:rPr>
          <w:snapToGrid w:val="0"/>
        </w:rPr>
        <w:t>.</w:t>
      </w:r>
      <w:r>
        <w:rPr>
          <w:snapToGrid w:val="0"/>
        </w:rPr>
        <w:tab/>
        <w:t>Clozapine</w:t>
      </w:r>
      <w:bookmarkEnd w:id="87"/>
      <w:r>
        <w:rPr>
          <w:snapToGrid w:val="0"/>
        </w:rPr>
        <w:t xml:space="preserve"> </w:t>
      </w:r>
    </w:p>
    <w:p>
      <w:pPr>
        <w:pStyle w:val="Subsection"/>
        <w:spacing w:before="120"/>
        <w:rPr>
          <w:snapToGrid w:val="0"/>
        </w:rPr>
      </w:pPr>
      <w:r>
        <w:rPr>
          <w:snapToGrid w:val="0"/>
        </w:rPr>
        <w:tab/>
      </w:r>
      <w:r>
        <w:rPr>
          <w:snapToGrid w:val="0"/>
        </w:rPr>
        <w:tab/>
        <w:t>Clozapine or a substance containing clozapine shall not be prescribed except — </w:t>
      </w:r>
    </w:p>
    <w:p>
      <w:pPr>
        <w:pStyle w:val="Indenta"/>
        <w:spacing w:before="60"/>
        <w:rPr>
          <w:snapToGrid w:val="0"/>
        </w:rPr>
      </w:pPr>
      <w:r>
        <w:rPr>
          <w:snapToGrid w:val="0"/>
        </w:rPr>
        <w:tab/>
        <w:t>(a)</w:t>
      </w:r>
      <w:r>
        <w:rPr>
          <w:snapToGrid w:val="0"/>
        </w:rPr>
        <w:tab/>
        <w:t>by a psychiatrist; or</w:t>
      </w:r>
    </w:p>
    <w:p>
      <w:pPr>
        <w:pStyle w:val="Indenta"/>
        <w:spacing w:before="60"/>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 xml:space="preserve">[Regulation 38M inserted in Gazette 24 Jun 1994 p. 2868; amended in Gazette 19 Mar 1996 p. 1223; 11 Apr 1997 p. 1831; 27 Nov 1998 p. 6344; 15 Dec 2006 p. 5630-1.] </w:t>
      </w:r>
    </w:p>
    <w:p>
      <w:pPr>
        <w:pStyle w:val="Heading5"/>
        <w:spacing w:before="180"/>
        <w:rPr>
          <w:snapToGrid w:val="0"/>
        </w:rPr>
      </w:pPr>
      <w:bookmarkStart w:id="88" w:name="_Toc389746739"/>
      <w:r>
        <w:rPr>
          <w:rStyle w:val="CharSectno"/>
        </w:rPr>
        <w:t>38N</w:t>
      </w:r>
      <w:r>
        <w:rPr>
          <w:snapToGrid w:val="0"/>
        </w:rPr>
        <w:t>.</w:t>
      </w:r>
      <w:r>
        <w:rPr>
          <w:snapToGrid w:val="0"/>
        </w:rPr>
        <w:tab/>
        <w:t>Nitrofuran derivatives</w:t>
      </w:r>
      <w:bookmarkEnd w:id="88"/>
      <w:r>
        <w:rPr>
          <w:snapToGrid w:val="0"/>
        </w:rPr>
        <w:t xml:space="preserve"> </w:t>
      </w:r>
    </w:p>
    <w:p>
      <w:pPr>
        <w:pStyle w:val="Subsection"/>
        <w:spacing w:before="12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by a medical practitioner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spacing w:before="80"/>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89" w:name="_Toc389746740"/>
      <w:r>
        <w:rPr>
          <w:rStyle w:val="CharSectno"/>
        </w:rPr>
        <w:t>38O</w:t>
      </w:r>
      <w:r>
        <w:t>.</w:t>
      </w:r>
      <w:r>
        <w:tab/>
        <w:t>Bosentan for human use</w:t>
      </w:r>
      <w:bookmarkEnd w:id="89"/>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90" w:name="_Toc389746741"/>
      <w:r>
        <w:rPr>
          <w:rStyle w:val="CharSectno"/>
        </w:rPr>
        <w:t>38P</w:t>
      </w:r>
      <w:r>
        <w:t>.</w:t>
      </w:r>
      <w:r>
        <w:tab/>
        <w:t>Teriparatide for human use</w:t>
      </w:r>
      <w:bookmarkEnd w:id="90"/>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91" w:name="_Toc389746742"/>
      <w:r>
        <w:rPr>
          <w:rStyle w:val="CharSectno"/>
        </w:rPr>
        <w:t>39</w:t>
      </w:r>
      <w:r>
        <w:rPr>
          <w:snapToGrid w:val="0"/>
        </w:rPr>
        <w:t>.</w:t>
      </w:r>
      <w:r>
        <w:rPr>
          <w:snapToGrid w:val="0"/>
        </w:rPr>
        <w:tab/>
        <w:t>Veterinary use of poisons included in Schedule 4</w:t>
      </w:r>
      <w:bookmarkEnd w:id="91"/>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5079-80.]</w:t>
      </w:r>
    </w:p>
    <w:p>
      <w:pPr>
        <w:pStyle w:val="Heading5"/>
        <w:rPr>
          <w:snapToGrid w:val="0"/>
        </w:rPr>
      </w:pPr>
      <w:bookmarkStart w:id="92" w:name="_Toc389746743"/>
      <w:r>
        <w:rPr>
          <w:rStyle w:val="CharSectno"/>
        </w:rPr>
        <w:t>39A</w:t>
      </w:r>
      <w:r>
        <w:rPr>
          <w:snapToGrid w:val="0"/>
        </w:rPr>
        <w:t>.</w:t>
      </w:r>
      <w:r>
        <w:rPr>
          <w:snapToGrid w:val="0"/>
        </w:rPr>
        <w:tab/>
        <w:t>Stockfeed manufacturers may sell poisons included in Schedule 4</w:t>
      </w:r>
      <w:bookmarkEnd w:id="92"/>
      <w:r>
        <w:rPr>
          <w:snapToGrid w:val="0"/>
        </w:rPr>
        <w:t xml:space="preserve"> </w:t>
      </w:r>
    </w:p>
    <w:p>
      <w:pPr>
        <w:pStyle w:val="Subsection"/>
        <w:spacing w:before="14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120"/>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2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5630-1.]</w:t>
      </w:r>
    </w:p>
    <w:p>
      <w:pPr>
        <w:pStyle w:val="Heading5"/>
      </w:pPr>
      <w:bookmarkStart w:id="93" w:name="_Toc389746744"/>
      <w:r>
        <w:rPr>
          <w:rStyle w:val="CharSectno"/>
        </w:rPr>
        <w:t>39BA</w:t>
      </w:r>
      <w:r>
        <w:t>.</w:t>
      </w:r>
      <w:r>
        <w:tab/>
        <w:t>Use of poisons included in Schedule 4 on certificated commercial vessels</w:t>
      </w:r>
      <w:bookmarkEnd w:id="93"/>
    </w:p>
    <w:p>
      <w:pPr>
        <w:pStyle w:val="Subsection"/>
        <w:spacing w:before="12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2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2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94" w:name="_Toc389746745"/>
      <w:r>
        <w:rPr>
          <w:rStyle w:val="CharSectno"/>
        </w:rPr>
        <w:t>39BB</w:t>
      </w:r>
      <w:r>
        <w:t>.</w:t>
      </w:r>
      <w:r>
        <w:tab/>
        <w:t>Use of poisons included in Schedule 4 on racing yachts</w:t>
      </w:r>
      <w:bookmarkEnd w:id="94"/>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95" w:name="_Toc389746746"/>
      <w:r>
        <w:rPr>
          <w:rStyle w:val="CharSectno"/>
        </w:rPr>
        <w:t>39B</w:t>
      </w:r>
      <w:r>
        <w:rPr>
          <w:snapToGrid w:val="0"/>
        </w:rPr>
        <w:t>.</w:t>
      </w:r>
      <w:r>
        <w:rPr>
          <w:snapToGrid w:val="0"/>
        </w:rPr>
        <w:tab/>
        <w:t>Use of poisons included in Schedule 4 on ships and aircraft</w:t>
      </w:r>
      <w:bookmarkEnd w:id="95"/>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96" w:name="_Toc389746747"/>
      <w:r>
        <w:rPr>
          <w:rStyle w:val="CharSectno"/>
        </w:rPr>
        <w:t>39C</w:t>
      </w:r>
      <w:r>
        <w:t>.</w:t>
      </w:r>
      <w:r>
        <w:tab/>
        <w:t>Use of poisons included in Schedule 4 on ships carrying livestock</w:t>
      </w:r>
      <w:bookmarkEnd w:id="96"/>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97" w:name="_Toc389746748"/>
      <w:r>
        <w:rPr>
          <w:rStyle w:val="CharSectno"/>
        </w:rPr>
        <w:t>40</w:t>
      </w:r>
      <w:r>
        <w:rPr>
          <w:snapToGrid w:val="0"/>
        </w:rPr>
        <w:t>.</w:t>
      </w:r>
      <w:r>
        <w:rPr>
          <w:snapToGrid w:val="0"/>
        </w:rPr>
        <w:tab/>
        <w:t>Special authority to purchase poisons included in Schedule 4</w:t>
      </w:r>
      <w:bookmarkEnd w:id="97"/>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1 Oct 2010 p. 5079-80; amended by Act No. 9 of 2003 s. 48.]</w:t>
      </w:r>
    </w:p>
    <w:p>
      <w:pPr>
        <w:pStyle w:val="Ednotedivision"/>
      </w:pPr>
      <w:r>
        <w:t>[Heading deleted in Gazette 12 Aug 2003 p. 3663.]</w:t>
      </w:r>
    </w:p>
    <w:p>
      <w:pPr>
        <w:pStyle w:val="Heading5"/>
        <w:rPr>
          <w:snapToGrid w:val="0"/>
        </w:rPr>
      </w:pPr>
      <w:bookmarkStart w:id="98" w:name="_Toc389746749"/>
      <w:r>
        <w:rPr>
          <w:rStyle w:val="CharSectno"/>
        </w:rPr>
        <w:t>40A</w:t>
      </w:r>
      <w:r>
        <w:rPr>
          <w:snapToGrid w:val="0"/>
        </w:rPr>
        <w:t>.</w:t>
      </w:r>
      <w:r>
        <w:rPr>
          <w:snapToGrid w:val="0"/>
        </w:rPr>
        <w:tab/>
        <w:t>Delivery of a poison included in Schedule 4 on order</w:t>
      </w:r>
      <w:bookmarkEnd w:id="98"/>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99" w:name="_Toc389746750"/>
      <w:r>
        <w:rPr>
          <w:rStyle w:val="CharDivNo"/>
        </w:rPr>
        <w:t>Division 3 </w:t>
      </w:r>
      <w:r>
        <w:t xml:space="preserve">— </w:t>
      </w:r>
      <w:r>
        <w:rPr>
          <w:rStyle w:val="CharDivText"/>
        </w:rPr>
        <w:t>General</w:t>
      </w:r>
      <w:bookmarkEnd w:id="99"/>
    </w:p>
    <w:p>
      <w:pPr>
        <w:pStyle w:val="Footnoteheading"/>
        <w:rPr>
          <w:rStyle w:val="CharSectno"/>
        </w:rPr>
      </w:pPr>
      <w:r>
        <w:tab/>
        <w:t>[Heading inserted in Gazette 12 Aug 2003 p. 3664.]</w:t>
      </w:r>
    </w:p>
    <w:p>
      <w:pPr>
        <w:pStyle w:val="Heading5"/>
        <w:spacing w:before="260"/>
        <w:rPr>
          <w:snapToGrid w:val="0"/>
        </w:rPr>
      </w:pPr>
      <w:bookmarkStart w:id="100" w:name="_Toc389746751"/>
      <w:r>
        <w:rPr>
          <w:rStyle w:val="CharSectno"/>
        </w:rPr>
        <w:t>41</w:t>
      </w:r>
      <w:r>
        <w:rPr>
          <w:snapToGrid w:val="0"/>
        </w:rPr>
        <w:t>.</w:t>
      </w:r>
      <w:r>
        <w:rPr>
          <w:snapToGrid w:val="0"/>
        </w:rPr>
        <w:tab/>
        <w:t>Revocation notice in relation to poisons included in Schedule 6</w:t>
      </w:r>
      <w:bookmarkEnd w:id="10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101" w:name="_Toc389746752"/>
      <w:r>
        <w:rPr>
          <w:rStyle w:val="CharSectno"/>
        </w:rPr>
        <w:t>41A</w:t>
      </w:r>
      <w:r>
        <w:rPr>
          <w:snapToGrid w:val="0"/>
        </w:rPr>
        <w:t>.</w:t>
      </w:r>
      <w:r>
        <w:rPr>
          <w:snapToGrid w:val="0"/>
        </w:rPr>
        <w:tab/>
        <w:t>Sale of poisons included in Schedule 7</w:t>
      </w:r>
      <w:bookmarkEnd w:id="101"/>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02" w:name="_Toc389746753"/>
      <w:r>
        <w:rPr>
          <w:rStyle w:val="CharSectno"/>
        </w:rPr>
        <w:t>41AA</w:t>
      </w:r>
      <w:r>
        <w:rPr>
          <w:snapToGrid w:val="0"/>
        </w:rPr>
        <w:t>.</w:t>
      </w:r>
      <w:r>
        <w:rPr>
          <w:snapToGrid w:val="0"/>
        </w:rPr>
        <w:tab/>
        <w:t>Standard for intramammary antibiotic preparations</w:t>
      </w:r>
      <w:bookmarkEnd w:id="102"/>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03" w:name="_Toc389746754"/>
      <w:r>
        <w:rPr>
          <w:rStyle w:val="CharSectno"/>
        </w:rPr>
        <w:t>41AB</w:t>
      </w:r>
      <w:r>
        <w:rPr>
          <w:snapToGrid w:val="0"/>
        </w:rPr>
        <w:t>.</w:t>
      </w:r>
      <w:r>
        <w:rPr>
          <w:snapToGrid w:val="0"/>
        </w:rPr>
        <w:tab/>
        <w:t>Camphor and naphthalene</w:t>
      </w:r>
      <w:bookmarkEnd w:id="103"/>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04" w:name="_Toc389746755"/>
      <w:r>
        <w:rPr>
          <w:rStyle w:val="CharSectno"/>
        </w:rPr>
        <w:t>41B</w:t>
      </w:r>
      <w:r>
        <w:rPr>
          <w:snapToGrid w:val="0"/>
        </w:rPr>
        <w:t>.</w:t>
      </w:r>
      <w:r>
        <w:rPr>
          <w:snapToGrid w:val="0"/>
        </w:rPr>
        <w:tab/>
        <w:t>Record of poisons included in Schedule 3, 4 or 7</w:t>
      </w:r>
      <w:bookmarkEnd w:id="104"/>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05" w:name="_Toc389746756"/>
      <w:r>
        <w:rPr>
          <w:rStyle w:val="CharSectno"/>
        </w:rPr>
        <w:t>41C</w:t>
      </w:r>
      <w:r>
        <w:rPr>
          <w:snapToGrid w:val="0"/>
        </w:rPr>
        <w:t>.</w:t>
      </w:r>
      <w:r>
        <w:rPr>
          <w:snapToGrid w:val="0"/>
        </w:rPr>
        <w:tab/>
        <w:t>Access to poisons included in Schedule 7</w:t>
      </w:r>
      <w:bookmarkEnd w:id="105"/>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5"/>
      </w:pPr>
      <w:bookmarkStart w:id="106" w:name="_Toc389746757"/>
      <w:r>
        <w:rPr>
          <w:rStyle w:val="CharSectno"/>
        </w:rPr>
        <w:t>41D</w:t>
      </w:r>
      <w:r>
        <w:t>.</w:t>
      </w:r>
      <w:r>
        <w:tab/>
        <w:t>Emergency supply of adrenaline in schools and child care centres</w:t>
      </w:r>
      <w:bookmarkEnd w:id="106"/>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
        </w:rPr>
        <w:t>Child Care Services Act 2007</w:t>
      </w:r>
      <w:r>
        <w:t>;</w:t>
      </w:r>
    </w:p>
    <w:p>
      <w:pPr>
        <w:pStyle w:val="Defstart"/>
        <w:keepNex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(c)</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 amended in Gazette 5 Mar 2010 p. 846.]</w:t>
      </w:r>
    </w:p>
    <w:p>
      <w:pPr>
        <w:pStyle w:val="Ednotedivision"/>
      </w:pPr>
      <w:r>
        <w:t>[Heading deleted in Gazette 12 Aug 2003 p. 3663.]</w:t>
      </w:r>
    </w:p>
    <w:p>
      <w:pPr>
        <w:pStyle w:val="Heading2"/>
      </w:pPr>
      <w:bookmarkStart w:id="107" w:name="_Toc389746758"/>
      <w:r>
        <w:rPr>
          <w:rStyle w:val="CharPartNo"/>
        </w:rPr>
        <w:t>Part 6</w:t>
      </w:r>
      <w:r>
        <w:t xml:space="preserve"> — </w:t>
      </w:r>
      <w:r>
        <w:rPr>
          <w:rStyle w:val="CharPartText"/>
        </w:rPr>
        <w:t>Drugs of addiction</w:t>
      </w:r>
      <w:bookmarkEnd w:id="107"/>
    </w:p>
    <w:p>
      <w:pPr>
        <w:pStyle w:val="Footnoteheading"/>
      </w:pPr>
      <w:r>
        <w:tab/>
        <w:t>[Heading inserted in Gazette 12 Aug 2003 p. 3664.]</w:t>
      </w:r>
    </w:p>
    <w:p>
      <w:pPr>
        <w:pStyle w:val="Heading3"/>
      </w:pPr>
      <w:bookmarkStart w:id="108" w:name="_Toc389746759"/>
      <w:r>
        <w:rPr>
          <w:rStyle w:val="CharDivNo"/>
        </w:rPr>
        <w:t>Division 1</w:t>
      </w:r>
      <w:r>
        <w:t xml:space="preserve"> — </w:t>
      </w:r>
      <w:r>
        <w:rPr>
          <w:rStyle w:val="CharDivText"/>
        </w:rPr>
        <w:t>General</w:t>
      </w:r>
      <w:bookmarkEnd w:id="108"/>
    </w:p>
    <w:p>
      <w:pPr>
        <w:pStyle w:val="Footnoteheading"/>
        <w:rPr>
          <w:i w:val="0"/>
        </w:rPr>
      </w:pPr>
      <w:r>
        <w:tab/>
        <w:t>[Heading inserted in Gazette 12 Aug 2003 p. 3664.]</w:t>
      </w:r>
    </w:p>
    <w:p>
      <w:pPr>
        <w:pStyle w:val="Heading5"/>
      </w:pPr>
      <w:bookmarkStart w:id="109" w:name="_Toc389746760"/>
      <w:r>
        <w:rPr>
          <w:rStyle w:val="CharSectno"/>
        </w:rPr>
        <w:t>42A</w:t>
      </w:r>
      <w:r>
        <w:t>.</w:t>
      </w:r>
      <w:r>
        <w:tab/>
        <w:t>Interpretation</w:t>
      </w:r>
      <w:bookmarkEnd w:id="109"/>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10" w:name="_Toc389746761"/>
      <w:r>
        <w:rPr>
          <w:rStyle w:val="CharSectno"/>
        </w:rPr>
        <w:t>42</w:t>
      </w:r>
      <w:r>
        <w:rPr>
          <w:snapToGrid w:val="0"/>
        </w:rPr>
        <w:t>.</w:t>
      </w:r>
      <w:r>
        <w:rPr>
          <w:snapToGrid w:val="0"/>
        </w:rPr>
        <w:tab/>
        <w:t>Authority for prescribed persons to procure and have poisons included in Schedule 8</w:t>
      </w:r>
      <w:bookmarkEnd w:id="110"/>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milligrams</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milligrams</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milligrams</w:t>
            </w:r>
          </w:p>
        </w:tc>
      </w:tr>
      <w:tr>
        <w:trPr>
          <w:cantSplit/>
        </w:trPr>
        <w:tc>
          <w:tcPr>
            <w:tcW w:w="5894" w:type="dxa"/>
          </w:tcPr>
          <w:p>
            <w:pPr>
              <w:pStyle w:val="TableNAm"/>
              <w:spacing w:before="8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1583-4; 1 Oct 2010 p. 5079-80.]</w:t>
      </w:r>
    </w:p>
    <w:p>
      <w:pPr>
        <w:pStyle w:val="Ednotedivision"/>
      </w:pPr>
      <w:r>
        <w:t>[Heading deleted in Gazette 12 Aug 2003 p. 3663.]</w:t>
      </w:r>
    </w:p>
    <w:p>
      <w:pPr>
        <w:pStyle w:val="Heading5"/>
        <w:rPr>
          <w:snapToGrid w:val="0"/>
        </w:rPr>
      </w:pPr>
      <w:bookmarkStart w:id="111" w:name="_Toc389746762"/>
      <w:r>
        <w:rPr>
          <w:rStyle w:val="CharSectno"/>
        </w:rPr>
        <w:t>43</w:t>
      </w:r>
      <w:r>
        <w:rPr>
          <w:snapToGrid w:val="0"/>
        </w:rPr>
        <w:t>.</w:t>
      </w:r>
      <w:r>
        <w:rPr>
          <w:snapToGrid w:val="0"/>
        </w:rPr>
        <w:tab/>
        <w:t>Authority for pharmacists to retail, compound and dispense poisons included in Schedule 8</w:t>
      </w:r>
      <w:bookmarkEnd w:id="111"/>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5079-80.]</w:t>
      </w:r>
    </w:p>
    <w:p>
      <w:pPr>
        <w:pStyle w:val="Ednotedivision"/>
      </w:pPr>
      <w:r>
        <w:t>[Heading deleted in Gazette 12 Aug 2003 p. 3663.]</w:t>
      </w:r>
    </w:p>
    <w:p>
      <w:pPr>
        <w:pStyle w:val="Heading5"/>
        <w:keepLines w:val="0"/>
        <w:rPr>
          <w:snapToGrid w:val="0"/>
        </w:rPr>
      </w:pPr>
      <w:bookmarkStart w:id="112" w:name="_Toc389746763"/>
      <w:r>
        <w:rPr>
          <w:rStyle w:val="CharSectno"/>
        </w:rPr>
        <w:t>43A</w:t>
      </w:r>
      <w:r>
        <w:rPr>
          <w:snapToGrid w:val="0"/>
        </w:rPr>
        <w:t>.</w:t>
      </w:r>
      <w:r>
        <w:rPr>
          <w:snapToGrid w:val="0"/>
        </w:rPr>
        <w:tab/>
        <w:t>Revocation notice in relation to poisons included in Schedule 8 and specified drugs</w:t>
      </w:r>
      <w:bookmarkEnd w:id="11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13" w:name="_Toc389746764"/>
      <w:r>
        <w:rPr>
          <w:rStyle w:val="CharSectno"/>
        </w:rPr>
        <w:t>43B</w:t>
      </w:r>
      <w:r>
        <w:rPr>
          <w:snapToGrid w:val="0"/>
        </w:rPr>
        <w:t>.</w:t>
      </w:r>
      <w:r>
        <w:rPr>
          <w:snapToGrid w:val="0"/>
        </w:rPr>
        <w:tab/>
        <w:t>Prescribed purposes (section 41(1))</w:t>
      </w:r>
      <w:bookmarkEnd w:id="113"/>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14" w:name="_Toc389746765"/>
      <w:r>
        <w:rPr>
          <w:rStyle w:val="CharSectno"/>
        </w:rPr>
        <w:t>43C</w:t>
      </w:r>
      <w:r>
        <w:rPr>
          <w:snapToGrid w:val="0"/>
        </w:rPr>
        <w:t>.</w:t>
      </w:r>
      <w:r>
        <w:rPr>
          <w:snapToGrid w:val="0"/>
        </w:rPr>
        <w:tab/>
        <w:t>Advertising of substances included in Schedule 8</w:t>
      </w:r>
      <w:bookmarkEnd w:id="114"/>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15" w:name="_Toc389746766"/>
      <w:r>
        <w:rPr>
          <w:rStyle w:val="CharSectno"/>
        </w:rPr>
        <w:t>44</w:t>
      </w:r>
      <w:r>
        <w:t>.</w:t>
      </w:r>
      <w:r>
        <w:tab/>
        <w:t>Register of drugs of addiction</w:t>
      </w:r>
      <w:bookmarkEnd w:id="115"/>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5079-80.]</w:t>
      </w:r>
    </w:p>
    <w:p>
      <w:pPr>
        <w:pStyle w:val="Heading5"/>
        <w:spacing w:before="260"/>
        <w:rPr>
          <w:snapToGrid w:val="0"/>
        </w:rPr>
      </w:pPr>
      <w:bookmarkStart w:id="116" w:name="_Toc389746767"/>
      <w:r>
        <w:rPr>
          <w:rStyle w:val="CharSectno"/>
        </w:rPr>
        <w:t>44A</w:t>
      </w:r>
      <w:r>
        <w:rPr>
          <w:snapToGrid w:val="0"/>
        </w:rPr>
        <w:t>.</w:t>
      </w:r>
      <w:r>
        <w:rPr>
          <w:snapToGrid w:val="0"/>
        </w:rPr>
        <w:tab/>
        <w:t>Destruction of drugs of addiction and poisons included in Schedule 8</w:t>
      </w:r>
      <w:bookmarkEnd w:id="116"/>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w:t>
      </w:r>
    </w:p>
    <w:p>
      <w:pPr>
        <w:pStyle w:val="Heading5"/>
      </w:pPr>
      <w:bookmarkStart w:id="117" w:name="_Toc389746768"/>
      <w:r>
        <w:rPr>
          <w:rStyle w:val="CharSectno"/>
        </w:rPr>
        <w:t>44B</w:t>
      </w:r>
      <w:r>
        <w:t>.</w:t>
      </w:r>
      <w:r>
        <w:tab/>
        <w:t>Form of registers</w:t>
      </w:r>
      <w:bookmarkEnd w:id="117"/>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18" w:name="_Toc389746769"/>
      <w:r>
        <w:rPr>
          <w:rStyle w:val="CharSectno"/>
        </w:rPr>
        <w:t>44C</w:t>
      </w:r>
      <w:r>
        <w:t>.</w:t>
      </w:r>
      <w:r>
        <w:tab/>
        <w:t>Control of access to electronic registers</w:t>
      </w:r>
      <w:bookmarkEnd w:id="118"/>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19" w:name="_Toc389746770"/>
      <w:r>
        <w:rPr>
          <w:rStyle w:val="CharSectno"/>
        </w:rPr>
        <w:t>45</w:t>
      </w:r>
      <w:r>
        <w:rPr>
          <w:snapToGrid w:val="0"/>
        </w:rPr>
        <w:t>.</w:t>
      </w:r>
      <w:r>
        <w:rPr>
          <w:snapToGrid w:val="0"/>
        </w:rPr>
        <w:tab/>
        <w:t>Inventory of drugs of addiction</w:t>
      </w:r>
      <w:bookmarkEnd w:id="119"/>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20" w:name="_Toc389746771"/>
      <w:r>
        <w:rPr>
          <w:rStyle w:val="CharSectno"/>
        </w:rPr>
        <w:t>47</w:t>
      </w:r>
      <w:r>
        <w:rPr>
          <w:snapToGrid w:val="0"/>
        </w:rPr>
        <w:t>.</w:t>
      </w:r>
      <w:r>
        <w:rPr>
          <w:snapToGrid w:val="0"/>
        </w:rPr>
        <w:tab/>
        <w:t>Records to be retained for 7 years and available on demand</w:t>
      </w:r>
      <w:bookmarkEnd w:id="120"/>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121" w:name="_Toc389746772"/>
      <w:r>
        <w:rPr>
          <w:rStyle w:val="CharSectno"/>
        </w:rPr>
        <w:t>48</w:t>
      </w:r>
      <w:r>
        <w:rPr>
          <w:snapToGrid w:val="0"/>
        </w:rPr>
        <w:t>.</w:t>
      </w:r>
      <w:r>
        <w:rPr>
          <w:snapToGrid w:val="0"/>
        </w:rPr>
        <w:tab/>
        <w:t>Returns from manufacturers and wholesalers</w:t>
      </w:r>
      <w:bookmarkEnd w:id="121"/>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22" w:name="_Toc389746773"/>
      <w:r>
        <w:rPr>
          <w:rStyle w:val="CharSectno"/>
        </w:rPr>
        <w:t>49A</w:t>
      </w:r>
      <w:r>
        <w:t>.</w:t>
      </w:r>
      <w:r>
        <w:tab/>
        <w:t>Use of poisons included in Schedule 8 on certificated commercial vessels</w:t>
      </w:r>
      <w:bookmarkEnd w:id="122"/>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23" w:name="_Toc389746774"/>
      <w:r>
        <w:rPr>
          <w:rStyle w:val="CharSectno"/>
        </w:rPr>
        <w:t>49B</w:t>
      </w:r>
      <w:r>
        <w:t>.</w:t>
      </w:r>
      <w:r>
        <w:tab/>
        <w:t>Use of poisons included in Schedule 8 on racing yachts</w:t>
      </w:r>
      <w:bookmarkEnd w:id="123"/>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24" w:name="_Toc389746775"/>
      <w:r>
        <w:rPr>
          <w:rStyle w:val="CharSectno"/>
        </w:rPr>
        <w:t>49</w:t>
      </w:r>
      <w:r>
        <w:rPr>
          <w:snapToGrid w:val="0"/>
        </w:rPr>
        <w:t>.</w:t>
      </w:r>
      <w:r>
        <w:rPr>
          <w:snapToGrid w:val="0"/>
        </w:rPr>
        <w:tab/>
        <w:t>Use of poisons included in Schedule 8 on ships and aircraft</w:t>
      </w:r>
      <w:bookmarkEnd w:id="124"/>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25" w:name="_Toc389746776"/>
      <w:r>
        <w:rPr>
          <w:rStyle w:val="CharSectno"/>
        </w:rPr>
        <w:t>50</w:t>
      </w:r>
      <w:r>
        <w:rPr>
          <w:snapToGrid w:val="0"/>
        </w:rPr>
        <w:t>.</w:t>
      </w:r>
      <w:r>
        <w:rPr>
          <w:snapToGrid w:val="0"/>
        </w:rPr>
        <w:tab/>
        <w:t>Used poisons included in Schedule 8 at hospitals</w:t>
      </w:r>
      <w:bookmarkEnd w:id="125"/>
      <w:r>
        <w:rPr>
          <w:snapToGrid w:val="0"/>
        </w:rPr>
        <w:t xml:space="preserve"> </w:t>
      </w:r>
    </w:p>
    <w:p>
      <w:pPr>
        <w:pStyle w:val="Subsection"/>
        <w:rPr>
          <w:snapToGrid w:val="0"/>
        </w:rPr>
      </w:pPr>
      <w:r>
        <w:rPr>
          <w:snapToGrid w:val="0"/>
        </w:rPr>
        <w:tab/>
        <w:t>(a)</w:t>
      </w:r>
      <w:r>
        <w:rPr>
          <w:snapToGrid w:val="0"/>
        </w:rPr>
        <w:tab/>
        <w:t>Where a p</w:t>
      </w:r>
      <w:r>
        <w:t>harmacist</w:t>
      </w:r>
      <w:r>
        <w:rPr>
          <w:snapToGrid w:val="0"/>
        </w:rPr>
        <w:t xml:space="preserve"> is employed — The </w:t>
      </w:r>
      <w:r>
        <w:t>pharmacist</w:t>
      </w:r>
      <w:r>
        <w:rPr>
          <w:snapToGrid w:val="0"/>
        </w:rPr>
        <w:t xml:space="preserve"> in charge of the pharmacy department of a public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w:t>
      </w:r>
      <w:r>
        <w:t>pharmacist</w:t>
      </w:r>
      <w:r>
        <w:rPr>
          <w:snapToGrid w:val="0"/>
        </w:rPr>
        <w:t xml:space="preserve">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 1 Oct 2010 p. 5079-80.]</w:t>
      </w:r>
    </w:p>
    <w:p>
      <w:pPr>
        <w:pStyle w:val="Ednotedivision"/>
        <w:spacing w:before="180"/>
      </w:pPr>
      <w:r>
        <w:t>[Heading deleted in Gazette 12 Aug 2003 p. 3663.]</w:t>
      </w:r>
    </w:p>
    <w:p>
      <w:pPr>
        <w:pStyle w:val="Heading3"/>
      </w:pPr>
      <w:bookmarkStart w:id="126" w:name="_Toc389746777"/>
      <w:r>
        <w:rPr>
          <w:rStyle w:val="CharDivNo"/>
        </w:rPr>
        <w:t>Division 2</w:t>
      </w:r>
      <w:r>
        <w:t xml:space="preserve"> — </w:t>
      </w:r>
      <w:r>
        <w:rPr>
          <w:rStyle w:val="CharDivText"/>
        </w:rPr>
        <w:t>Supply and prescription</w:t>
      </w:r>
      <w:bookmarkEnd w:id="126"/>
    </w:p>
    <w:p>
      <w:pPr>
        <w:pStyle w:val="Footnoteheading"/>
        <w:keepNext/>
      </w:pPr>
      <w:r>
        <w:tab/>
        <w:t>[Heading inserted in Gazette 12 Aug 2003 p. 3664.]</w:t>
      </w:r>
    </w:p>
    <w:p>
      <w:pPr>
        <w:pStyle w:val="Heading4"/>
      </w:pPr>
      <w:bookmarkStart w:id="127" w:name="_Toc389746778"/>
      <w:r>
        <w:t>Subdivision 1 — Prescriptions generally</w:t>
      </w:r>
      <w:bookmarkEnd w:id="127"/>
    </w:p>
    <w:p>
      <w:pPr>
        <w:pStyle w:val="Footnoteheading"/>
        <w:keepNext/>
        <w:spacing w:before="220"/>
      </w:pPr>
      <w:r>
        <w:tab/>
        <w:t>[Heading inserted in Gazette 12 Aug 2003 p. 3664.]</w:t>
      </w:r>
    </w:p>
    <w:p>
      <w:pPr>
        <w:pStyle w:val="Heading5"/>
        <w:rPr>
          <w:snapToGrid w:val="0"/>
        </w:rPr>
      </w:pPr>
      <w:bookmarkStart w:id="128" w:name="_Toc389746779"/>
      <w:r>
        <w:rPr>
          <w:rStyle w:val="CharSectno"/>
        </w:rPr>
        <w:t>51</w:t>
      </w:r>
      <w:r>
        <w:rPr>
          <w:snapToGrid w:val="0"/>
        </w:rPr>
        <w:t>.</w:t>
      </w:r>
      <w:r>
        <w:rPr>
          <w:snapToGrid w:val="0"/>
        </w:rPr>
        <w:tab/>
        <w:t>Prescriptions</w:t>
      </w:r>
      <w:bookmarkEnd w:id="128"/>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129" w:name="_Toc389746780"/>
      <w:r>
        <w:rPr>
          <w:rStyle w:val="CharSectno"/>
        </w:rPr>
        <w:t>51AAA</w:t>
      </w:r>
      <w:r>
        <w:t>.</w:t>
      </w:r>
      <w:r>
        <w:tab/>
        <w:t>Prescriptions for poisons included in Schedule 8 for patient discharged from public hospital</w:t>
      </w:r>
      <w:bookmarkEnd w:id="129"/>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has completed, in ink in his or her own hand writing, all the details in respect of the Schedule 8 poison required by the NIMC; and</w:t>
      </w:r>
    </w:p>
    <w:p>
      <w:pPr>
        <w:pStyle w:val="Indenta"/>
      </w:pPr>
      <w:r>
        <w:tab/>
        <w:t>(c)</w:t>
      </w:r>
      <w:r>
        <w:tab/>
        <w:t>a medical practitioner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w:t>
      </w:r>
    </w:p>
    <w:p>
      <w:pPr>
        <w:pStyle w:val="Heading4"/>
        <w:keepNext w:val="0"/>
        <w:spacing w:before="260"/>
      </w:pPr>
      <w:bookmarkStart w:id="130" w:name="_Toc389746781"/>
      <w:r>
        <w:t>Subdivision 2 — Supply and prescription to drug addicts</w:t>
      </w:r>
      <w:bookmarkEnd w:id="130"/>
    </w:p>
    <w:p>
      <w:pPr>
        <w:pStyle w:val="Footnoteheading"/>
        <w:keepNext/>
        <w:spacing w:before="100"/>
      </w:pPr>
      <w:r>
        <w:tab/>
        <w:t>[Heading inserted in Gazette 12 Aug 2003 p. 3664.]</w:t>
      </w:r>
    </w:p>
    <w:p>
      <w:pPr>
        <w:pStyle w:val="Heading5"/>
        <w:spacing w:before="200"/>
      </w:pPr>
      <w:bookmarkStart w:id="131" w:name="_Toc389746782"/>
      <w:r>
        <w:rPr>
          <w:rStyle w:val="CharSectno"/>
        </w:rPr>
        <w:t>51A</w:t>
      </w:r>
      <w:r>
        <w:t>.</w:t>
      </w:r>
      <w:r>
        <w:tab/>
        <w:t>Terms used</w:t>
      </w:r>
      <w:bookmarkEnd w:id="131"/>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w:t>
      </w:r>
    </w:p>
    <w:p>
      <w:pPr>
        <w:pStyle w:val="Heading5"/>
      </w:pPr>
      <w:bookmarkStart w:id="132" w:name="_Toc389746783"/>
      <w:r>
        <w:rPr>
          <w:rStyle w:val="CharSectno"/>
        </w:rPr>
        <w:t>51AA</w:t>
      </w:r>
      <w:r>
        <w:t>.</w:t>
      </w:r>
      <w:r>
        <w:tab/>
        <w:t>Disclosure by drug addict to medical practitioner</w:t>
      </w:r>
      <w:bookmarkEnd w:id="132"/>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33" w:name="_Toc389746784"/>
      <w:r>
        <w:rPr>
          <w:rStyle w:val="CharSectno"/>
        </w:rPr>
        <w:t>51B</w:t>
      </w:r>
      <w:r>
        <w:t>.</w:t>
      </w:r>
      <w:r>
        <w:tab/>
        <w:t>Prescription and supply in accordance with this Subdivision — general provision</w:t>
      </w:r>
      <w:bookmarkEnd w:id="133"/>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34" w:name="_Toc389746785"/>
      <w:r>
        <w:rPr>
          <w:rStyle w:val="CharSectno"/>
        </w:rPr>
        <w:t>51BA</w:t>
      </w:r>
      <w:r>
        <w:t>.</w:t>
      </w:r>
      <w:r>
        <w:tab/>
        <w:t>P</w:t>
      </w:r>
      <w:r>
        <w:rPr>
          <w:snapToGrid w:val="0"/>
        </w:rPr>
        <w:t>rescribing drugs of addiction for drug addicts other than for the treatment of drug addiction</w:t>
      </w:r>
      <w:bookmarkEnd w:id="134"/>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35" w:name="_Toc389746786"/>
      <w:r>
        <w:rPr>
          <w:rStyle w:val="CharSectno"/>
        </w:rPr>
        <w:t>51C</w:t>
      </w:r>
      <w:r>
        <w:rPr>
          <w:snapToGrid w:val="0"/>
        </w:rPr>
        <w:t>.</w:t>
      </w:r>
      <w:r>
        <w:rPr>
          <w:snapToGrid w:val="0"/>
        </w:rPr>
        <w:tab/>
        <w:t>Designation of authorised prescribers and specialist prescribers</w:t>
      </w:r>
      <w:bookmarkEnd w:id="135"/>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36" w:name="_Toc389746787"/>
      <w:r>
        <w:rPr>
          <w:rStyle w:val="CharSectno"/>
        </w:rPr>
        <w:t>51CA</w:t>
      </w:r>
      <w:r>
        <w:t>.</w:t>
      </w:r>
      <w:r>
        <w:tab/>
        <w:t>Appointment</w:t>
      </w:r>
      <w:r>
        <w:rPr>
          <w:snapToGrid w:val="0"/>
        </w:rPr>
        <w:t xml:space="preserve"> of medical practitioner as authorised prescriber for a drug addict</w:t>
      </w:r>
      <w:bookmarkEnd w:id="136"/>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37" w:name="_Toc389746788"/>
      <w:r>
        <w:rPr>
          <w:rStyle w:val="CharSectno"/>
        </w:rPr>
        <w:t>51CB</w:t>
      </w:r>
      <w:r>
        <w:t>.</w:t>
      </w:r>
      <w:r>
        <w:tab/>
        <w:t>Appointment of co</w:t>
      </w:r>
      <w:r>
        <w:noBreakHyphen/>
        <w:t xml:space="preserve">prescriber </w:t>
      </w:r>
      <w:r>
        <w:rPr>
          <w:snapToGrid w:val="0"/>
        </w:rPr>
        <w:t>for a drug addict</w:t>
      </w:r>
      <w:bookmarkEnd w:id="137"/>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38" w:name="_Toc389746789"/>
      <w:r>
        <w:rPr>
          <w:rStyle w:val="CharSectno"/>
        </w:rPr>
        <w:t>51CC</w:t>
      </w:r>
      <w:r>
        <w:t>.</w:t>
      </w:r>
      <w:r>
        <w:tab/>
      </w:r>
      <w:r>
        <w:rPr>
          <w:snapToGrid w:val="0"/>
        </w:rPr>
        <w:t>Designations, authorisations and appointments — general rules</w:t>
      </w:r>
      <w:bookmarkEnd w:id="138"/>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39" w:name="_Toc389746790"/>
      <w:r>
        <w:rPr>
          <w:rStyle w:val="CharSectno"/>
        </w:rPr>
        <w:t>51D</w:t>
      </w:r>
      <w:r>
        <w:t>.</w:t>
      </w:r>
      <w:r>
        <w:tab/>
        <w:t>P</w:t>
      </w:r>
      <w:r>
        <w:rPr>
          <w:snapToGrid w:val="0"/>
        </w:rPr>
        <w:t>rescribing pharmacotherapies for the treatment of the drug addiction of a drug addict — general rules</w:t>
      </w:r>
      <w:bookmarkEnd w:id="139"/>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140" w:name="_Toc389746791"/>
      <w:r>
        <w:rPr>
          <w:rStyle w:val="CharSectno"/>
        </w:rPr>
        <w:t>51DA</w:t>
      </w:r>
      <w:r>
        <w:t>.</w:t>
      </w:r>
      <w:r>
        <w:tab/>
        <w:t>P</w:t>
      </w:r>
      <w:r>
        <w:rPr>
          <w:snapToGrid w:val="0"/>
        </w:rPr>
        <w:t>rescribing pharmacotherapies for the treatment of the drug addiction of a drug addict — in a hospital</w:t>
      </w:r>
      <w:bookmarkEnd w:id="140"/>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141" w:name="_Toc389746792"/>
      <w:r>
        <w:rPr>
          <w:rStyle w:val="CharSectno"/>
        </w:rPr>
        <w:t>51DB</w:t>
      </w:r>
      <w:r>
        <w:t>.</w:t>
      </w:r>
      <w:r>
        <w:tab/>
        <w:t>P</w:t>
      </w:r>
      <w:r>
        <w:rPr>
          <w:snapToGrid w:val="0"/>
        </w:rPr>
        <w:t>rescribing pharmacotherapies for the treatment of the drug addiction of a drug addict — in custody</w:t>
      </w:r>
      <w:bookmarkEnd w:id="141"/>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142" w:name="_Toc389746793"/>
      <w:r>
        <w:rPr>
          <w:rStyle w:val="CharSectno"/>
        </w:rPr>
        <w:t>51DC</w:t>
      </w:r>
      <w:r>
        <w:t>.</w:t>
      </w:r>
      <w:r>
        <w:tab/>
        <w:t>P</w:t>
      </w:r>
      <w:r>
        <w:rPr>
          <w:snapToGrid w:val="0"/>
        </w:rPr>
        <w:t>rescribing pharmacotherapies for the treatment of the drug addiction of a drug addict — interim prescriptions</w:t>
      </w:r>
      <w:bookmarkEnd w:id="142"/>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43" w:name="_Toc389746794"/>
      <w:r>
        <w:rPr>
          <w:rStyle w:val="CharSectno"/>
        </w:rPr>
        <w:t>51E</w:t>
      </w:r>
      <w:r>
        <w:t>.</w:t>
      </w:r>
      <w:r>
        <w:tab/>
        <w:t>Dispensing drugs of addiction from a pharmacy</w:t>
      </w:r>
      <w:bookmarkEnd w:id="143"/>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5079-80.]</w:t>
      </w:r>
    </w:p>
    <w:p>
      <w:pPr>
        <w:pStyle w:val="Heading5"/>
      </w:pPr>
      <w:bookmarkStart w:id="144" w:name="_Toc389746795"/>
      <w:r>
        <w:rPr>
          <w:rStyle w:val="CharSectno"/>
        </w:rPr>
        <w:t>51EA</w:t>
      </w:r>
      <w:r>
        <w:t>.</w:t>
      </w:r>
      <w:r>
        <w:tab/>
        <w:t>Dispensing pharmacotherapies from a pharmacy</w:t>
      </w:r>
      <w:bookmarkEnd w:id="144"/>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5079-80.]</w:t>
      </w:r>
    </w:p>
    <w:p>
      <w:pPr>
        <w:pStyle w:val="Heading4"/>
      </w:pPr>
      <w:bookmarkStart w:id="145" w:name="_Toc389746796"/>
      <w:r>
        <w:t>Subdivision 2A — Supply and prescription of Schedule 8 poisons to persons other than drug addicts</w:t>
      </w:r>
      <w:bookmarkEnd w:id="145"/>
    </w:p>
    <w:p>
      <w:pPr>
        <w:pStyle w:val="Footnoteheading"/>
      </w:pPr>
      <w:r>
        <w:tab/>
        <w:t>[Heading inserted in Gazette 21 Apr 2009 p. 1366.]</w:t>
      </w:r>
    </w:p>
    <w:p>
      <w:pPr>
        <w:pStyle w:val="Heading5"/>
        <w:rPr>
          <w:snapToGrid w:val="0"/>
        </w:rPr>
      </w:pPr>
      <w:bookmarkStart w:id="146" w:name="_Toc389746797"/>
      <w:r>
        <w:rPr>
          <w:rStyle w:val="CharSectno"/>
        </w:rPr>
        <w:t>51F</w:t>
      </w:r>
      <w:r>
        <w:rPr>
          <w:snapToGrid w:val="0"/>
        </w:rPr>
        <w:t>.</w:t>
      </w:r>
      <w:r>
        <w:rPr>
          <w:snapToGrid w:val="0"/>
        </w:rPr>
        <w:tab/>
        <w:t xml:space="preserve">Treatment not to exceed 60 days unless authorised by </w:t>
      </w:r>
      <w:r>
        <w:t>CEO</w:t>
      </w:r>
      <w:bookmarkEnd w:id="146"/>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5079-80.]</w:t>
      </w:r>
    </w:p>
    <w:p>
      <w:pPr>
        <w:pStyle w:val="Heading4"/>
      </w:pPr>
      <w:bookmarkStart w:id="147" w:name="_Toc389746798"/>
      <w:r>
        <w:t xml:space="preserve">Subdivision 3 — Supply and prescription of </w:t>
      </w:r>
      <w:r>
        <w:rPr>
          <w:bCs/>
        </w:rPr>
        <w:t>stimulants</w:t>
      </w:r>
      <w:bookmarkEnd w:id="147"/>
    </w:p>
    <w:p>
      <w:pPr>
        <w:pStyle w:val="Footnoteheading"/>
        <w:spacing w:before="80"/>
      </w:pPr>
      <w:r>
        <w:tab/>
        <w:t>[Heading inserted in Gazette 12 Aug 2003 p. 3664; amended in Gazette 15 Sep 2009 p. 3573.]</w:t>
      </w:r>
    </w:p>
    <w:p>
      <w:pPr>
        <w:pStyle w:val="Heading5"/>
      </w:pPr>
      <w:bookmarkStart w:id="148" w:name="_Toc389746799"/>
      <w:r>
        <w:rPr>
          <w:rStyle w:val="CharSectno"/>
        </w:rPr>
        <w:t>51FA</w:t>
      </w:r>
      <w:r>
        <w:t>.</w:t>
      </w:r>
      <w:r>
        <w:tab/>
        <w:t>Terms used</w:t>
      </w:r>
      <w:bookmarkEnd w:id="148"/>
    </w:p>
    <w:p>
      <w:pPr>
        <w:pStyle w:val="Subsection"/>
      </w:pPr>
      <w:r>
        <w:tab/>
      </w:r>
      <w:r>
        <w:tab/>
        <w:t>In this Subdivision —</w:t>
      </w:r>
    </w:p>
    <w:p>
      <w:pPr>
        <w:pStyle w:val="Defstart"/>
        <w:spacing w:before="60"/>
      </w:pPr>
      <w:r>
        <w:rPr>
          <w:b/>
        </w:rPr>
        <w:tab/>
      </w:r>
      <w:r>
        <w:rPr>
          <w:rStyle w:val="CharDefText"/>
        </w:rPr>
        <w:t>approved clinic</w:t>
      </w:r>
      <w:r>
        <w:t xml:space="preserve"> means a clinic approved under regulation 51FJ;</w:t>
      </w:r>
    </w:p>
    <w:p>
      <w:pPr>
        <w:pStyle w:val="Defstart"/>
        <w:spacing w:before="6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who is a co</w:t>
      </w:r>
      <w:r>
        <w:noBreakHyphen/>
        <w:t>prescriber for the patient under regulation 51FH(5);</w:t>
      </w:r>
    </w:p>
    <w:p>
      <w:pPr>
        <w:pStyle w:val="Defstart"/>
        <w:spacing w:before="6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6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60"/>
      </w:pPr>
      <w:r>
        <w:rPr>
          <w:b/>
        </w:rPr>
        <w:tab/>
      </w:r>
      <w:r>
        <w:rPr>
          <w:rStyle w:val="CharDefText"/>
        </w:rPr>
        <w:t>current prescriber</w:t>
      </w:r>
      <w:r>
        <w:t>, in relation to a patient, means the SPN practitioner who is the current prescriber for the patient under regulation 51FF;</w:t>
      </w:r>
    </w:p>
    <w:p>
      <w:pPr>
        <w:pStyle w:val="Defstart"/>
        <w:spacing w:before="6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60"/>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spacing w:before="60"/>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spacing w:before="60"/>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spacing w:before="60"/>
      </w:pPr>
      <w:r>
        <w:rPr>
          <w:b/>
        </w:rPr>
        <w:tab/>
      </w:r>
      <w:r>
        <w:rPr>
          <w:rStyle w:val="CharDefText"/>
        </w:rPr>
        <w:t>Stimulant Prescribing Code</w:t>
      </w:r>
      <w:r>
        <w:t xml:space="preserve"> means the “Clinical criteria for the prescribing of stimulant medicines in Western Australia”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149" w:name="_Toc389746800"/>
      <w:r>
        <w:rPr>
          <w:rStyle w:val="CharSectno"/>
        </w:rPr>
        <w:t>51FB</w:t>
      </w:r>
      <w:r>
        <w:t>.</w:t>
      </w:r>
      <w:r>
        <w:tab/>
        <w:t>Who may supply or prescribe a stimulant</w:t>
      </w:r>
      <w:bookmarkEnd w:id="149"/>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 amended in Gazette 1 Oct 2010 p. 5079-80.]</w:t>
      </w:r>
    </w:p>
    <w:p>
      <w:pPr>
        <w:pStyle w:val="Heading5"/>
      </w:pPr>
      <w:bookmarkStart w:id="150" w:name="_Toc389746801"/>
      <w:r>
        <w:rPr>
          <w:rStyle w:val="CharSectno"/>
        </w:rPr>
        <w:t>51FC</w:t>
      </w:r>
      <w:r>
        <w:t>.</w:t>
      </w:r>
      <w:r>
        <w:tab/>
        <w:t>Stimulant Prescribing Code</w:t>
      </w:r>
      <w:bookmarkEnd w:id="150"/>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151" w:name="_Toc389746802"/>
      <w:r>
        <w:rPr>
          <w:rStyle w:val="CharSectno"/>
        </w:rPr>
        <w:t>51FD</w:t>
      </w:r>
      <w:r>
        <w:t>.</w:t>
      </w:r>
      <w:r>
        <w:tab/>
        <w:t>CEO may order treatment to be terminated or varied</w:t>
      </w:r>
      <w:bookmarkEnd w:id="151"/>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152" w:name="_Toc389746803"/>
      <w:r>
        <w:rPr>
          <w:rStyle w:val="CharSectno"/>
        </w:rPr>
        <w:t>51FE</w:t>
      </w:r>
      <w:r>
        <w:t>.</w:t>
      </w:r>
      <w:r>
        <w:tab/>
        <w:t>CEO to be notified of supply or prescription</w:t>
      </w:r>
      <w:bookmarkEnd w:id="152"/>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153" w:name="_Toc389746804"/>
      <w:r>
        <w:rPr>
          <w:rStyle w:val="CharSectno"/>
        </w:rPr>
        <w:t>51FF</w:t>
      </w:r>
      <w:r>
        <w:t>.</w:t>
      </w:r>
      <w:r>
        <w:tab/>
        <w:t>Current prescriber and current clinic</w:t>
      </w:r>
      <w:bookmarkEnd w:id="153"/>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154" w:name="_Toc389746805"/>
      <w:r>
        <w:rPr>
          <w:rStyle w:val="CharSectno"/>
        </w:rPr>
        <w:t>51FG</w:t>
      </w:r>
      <w:r>
        <w:t>.</w:t>
      </w:r>
      <w:r>
        <w:tab/>
        <w:t>Authorisation of practitioners</w:t>
      </w:r>
      <w:bookmarkEnd w:id="154"/>
    </w:p>
    <w:p>
      <w:pPr>
        <w:pStyle w:val="Subsection"/>
        <w:spacing w:before="156"/>
      </w:pPr>
      <w:r>
        <w:tab/>
        <w:t>(1)</w:t>
      </w:r>
      <w:r>
        <w:tab/>
        <w:t>The CEO may authorise a medical practitioner to supply and prescribe stimulants to or for the practitioner’s patients.</w:t>
      </w:r>
    </w:p>
    <w:p>
      <w:pPr>
        <w:pStyle w:val="Subsection"/>
        <w:spacing w:before="156"/>
      </w:pPr>
      <w:r>
        <w:tab/>
        <w:t>(2)</w:t>
      </w:r>
      <w:r>
        <w:tab/>
        <w:t>Each medical practitioner authorised under subregulation (1) is to be assigned a unique stimulant prescriber number.</w:t>
      </w:r>
    </w:p>
    <w:p>
      <w:pPr>
        <w:pStyle w:val="Subsection"/>
        <w:spacing w:before="156"/>
      </w:pPr>
      <w:r>
        <w:tab/>
        <w:t>(3)</w:t>
      </w:r>
      <w:r>
        <w:tab/>
        <w:t>The CEO may authorise a medical practitioner who is not an SPN practitioner to supply or prescribe a stimulant to or for a particular patient on a particular occasion or during a particular period.</w:t>
      </w:r>
    </w:p>
    <w:p>
      <w:pPr>
        <w:pStyle w:val="Subsection"/>
        <w:spacing w:before="156"/>
      </w:pPr>
      <w:r>
        <w:tab/>
        <w:t>(4)</w:t>
      </w:r>
      <w:r>
        <w:tab/>
        <w:t>An application for an authorisation under subregulation (1) or (3) must be made to the CEO in a form approved by the CEO.</w:t>
      </w:r>
    </w:p>
    <w:p>
      <w:pPr>
        <w:pStyle w:val="Subsection"/>
        <w:spacing w:before="156"/>
      </w:pPr>
      <w:r>
        <w:tab/>
        <w:t>(5)</w:t>
      </w:r>
      <w:r>
        <w:tab/>
        <w:t>The CEO may grant, or refuse to grant, an authorisation under subregulation (1) or (3) as the CEO thinks fit.</w:t>
      </w:r>
    </w:p>
    <w:p>
      <w:pPr>
        <w:pStyle w:val="Subsection"/>
        <w:spacing w:before="156"/>
      </w:pPr>
      <w:r>
        <w:tab/>
        <w:t>(6)</w:t>
      </w:r>
      <w:r>
        <w:tab/>
        <w:t>The CEO may grant an authorisation under subregulation (1) or (3) on any terms and conditions the CEO thinks fit.</w:t>
      </w:r>
    </w:p>
    <w:p>
      <w:pPr>
        <w:pStyle w:val="Subsection"/>
        <w:spacing w:before="156"/>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155" w:name="_Toc389746806"/>
      <w:r>
        <w:rPr>
          <w:rStyle w:val="CharSectno"/>
        </w:rPr>
        <w:t>51FH</w:t>
      </w:r>
      <w:r>
        <w:t>.</w:t>
      </w:r>
      <w:r>
        <w:tab/>
        <w:t>Co</w:t>
      </w:r>
      <w:r>
        <w:noBreakHyphen/>
        <w:t>prescribers</w:t>
      </w:r>
      <w:bookmarkEnd w:id="155"/>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spacing w:before="60"/>
      </w:pPr>
      <w:r>
        <w:tab/>
        <w:t>(a)</w:t>
      </w:r>
      <w:r>
        <w:tab/>
        <w:t>the current prescriber ceases to be the patient’s current prescriber; or</w:t>
      </w:r>
    </w:p>
    <w:p>
      <w:pPr>
        <w:pStyle w:val="Indenta"/>
        <w:spacing w:before="60"/>
      </w:pPr>
      <w:r>
        <w:tab/>
        <w:t>(b)</w:t>
      </w:r>
      <w:r>
        <w:tab/>
        <w:t>the current prescriber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(4)</w:t>
      </w:r>
      <w:r>
        <w:tab/>
        <w:t>A nominated co</w:t>
      </w:r>
      <w:r>
        <w:noBreakHyphen/>
        <w:t>prescriber who was nominated by a current clinic prescriber, ceases to be a nominated co</w:t>
      </w:r>
      <w:r>
        <w:noBreakHyphen/>
        <w:t>prescriber if —</w:t>
      </w:r>
    </w:p>
    <w:p>
      <w:pPr>
        <w:pStyle w:val="Indenta"/>
        <w:spacing w:before="60"/>
      </w:pPr>
      <w:r>
        <w:tab/>
        <w:t>(a)</w:t>
      </w:r>
      <w:r>
        <w:tab/>
        <w:t>the clinic ceases to be the patient’s current clinic; or</w:t>
      </w:r>
    </w:p>
    <w:p>
      <w:pPr>
        <w:pStyle w:val="Indenta"/>
        <w:spacing w:before="60"/>
      </w:pPr>
      <w:r>
        <w:tab/>
        <w:t>(b)</w:t>
      </w:r>
      <w:r>
        <w:tab/>
        <w:t>any of the patient’s current clinic prescribers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spacing w:before="140"/>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spacing w:before="140"/>
      </w:pPr>
      <w:r>
        <w:tab/>
        <w:t>(7)</w:t>
      </w:r>
      <w:r>
        <w:tab/>
        <w:t>The CEO may cancel the nomination of a co</w:t>
      </w:r>
      <w:r>
        <w:noBreakHyphen/>
        <w:t>prescriber by giving written notice to the co</w:t>
      </w:r>
      <w:r>
        <w:noBreakHyphen/>
        <w:t xml:space="preserve">prescriber. </w:t>
      </w:r>
    </w:p>
    <w:p>
      <w:pPr>
        <w:pStyle w:val="Subsection"/>
        <w:spacing w:before="140"/>
      </w:pPr>
      <w:r>
        <w:tab/>
        <w:t>(8)</w:t>
      </w:r>
      <w:r>
        <w:tab/>
        <w:t xml:space="preserve">The CEO must give a copy of a notice given under subregulation (7) to — </w:t>
      </w:r>
    </w:p>
    <w:p>
      <w:pPr>
        <w:pStyle w:val="Indenta"/>
        <w:spacing w:before="60"/>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156" w:name="_Toc389746807"/>
      <w:r>
        <w:rPr>
          <w:rStyle w:val="CharSectno"/>
        </w:rPr>
        <w:t>51FJ</w:t>
      </w:r>
      <w:r>
        <w:t>.</w:t>
      </w:r>
      <w:r>
        <w:tab/>
        <w:t>Approval of public sector clinics</w:t>
      </w:r>
      <w:bookmarkEnd w:id="156"/>
    </w:p>
    <w:p>
      <w:pPr>
        <w:pStyle w:val="Subsection"/>
      </w:pPr>
      <w:r>
        <w:tab/>
        <w:t>(1)</w:t>
      </w:r>
      <w:r>
        <w:tab/>
        <w:t>The CEO may approve a clinic —</w:t>
      </w:r>
    </w:p>
    <w:p>
      <w:pPr>
        <w:pStyle w:val="Indenta"/>
        <w:spacing w:before="70"/>
      </w:pPr>
      <w:r>
        <w:tab/>
        <w:t>(a)</w:t>
      </w:r>
      <w:r>
        <w:tab/>
        <w:t>that is, or is part of, a public hospital; and</w:t>
      </w:r>
    </w:p>
    <w:p>
      <w:pPr>
        <w:pStyle w:val="Indenta"/>
        <w:spacing w:before="70"/>
      </w:pPr>
      <w:r>
        <w:tab/>
        <w:t>(b)</w:t>
      </w:r>
      <w:r>
        <w:tab/>
        <w:t>at which —</w:t>
      </w:r>
    </w:p>
    <w:p>
      <w:pPr>
        <w:pStyle w:val="Indenti"/>
        <w:spacing w:before="70"/>
      </w:pPr>
      <w:r>
        <w:tab/>
        <w:t>(i)</w:t>
      </w:r>
      <w:r>
        <w:tab/>
        <w:t>treatment is provided for patients who may, in accordance with the Stimulant Prescribing Code, be treated with a stimulant; and</w:t>
      </w:r>
    </w:p>
    <w:p>
      <w:pPr>
        <w:pStyle w:val="Indenti"/>
        <w:spacing w:before="70"/>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spacing w:before="70"/>
      </w:pPr>
      <w:r>
        <w:tab/>
        <w:t>(a)</w:t>
      </w:r>
      <w:r>
        <w:tab/>
        <w:t>an SPN practitioner commences to practise at the clinic;</w:t>
      </w:r>
    </w:p>
    <w:p>
      <w:pPr>
        <w:pStyle w:val="Indenta"/>
        <w:spacing w:before="70"/>
      </w:pPr>
      <w:r>
        <w:tab/>
        <w:t>(b)</w:t>
      </w:r>
      <w:r>
        <w:tab/>
        <w:t>an SPN practitioner ceases to practise at the clinic;</w:t>
      </w:r>
    </w:p>
    <w:p>
      <w:pPr>
        <w:pStyle w:val="Indenta"/>
        <w:spacing w:before="70"/>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157" w:name="_Toc389746808"/>
      <w:r>
        <w:rPr>
          <w:rStyle w:val="CharSectno"/>
        </w:rPr>
        <w:t>51FK</w:t>
      </w:r>
      <w:r>
        <w:t>.</w:t>
      </w:r>
      <w:r>
        <w:tab/>
        <w:t>Change of manager</w:t>
      </w:r>
      <w:bookmarkEnd w:id="157"/>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51G-51GAI.</w:t>
      </w:r>
      <w:r>
        <w:tab/>
        <w:t>Deleted in Gazette 15 Sep 2009 p. 3573.]</w:t>
      </w:r>
    </w:p>
    <w:p>
      <w:pPr>
        <w:pStyle w:val="Heading4"/>
      </w:pPr>
      <w:bookmarkStart w:id="158" w:name="_Toc389746809"/>
      <w:r>
        <w:t>Subdivision 4 — Supply and prescription of other poisons</w:t>
      </w:r>
      <w:bookmarkEnd w:id="158"/>
    </w:p>
    <w:p>
      <w:pPr>
        <w:pStyle w:val="Footnoteheading"/>
      </w:pPr>
      <w:r>
        <w:tab/>
        <w:t>[Heading inserted in Gazette 15 Sep 2009 p. 3582.]</w:t>
      </w:r>
    </w:p>
    <w:p>
      <w:pPr>
        <w:pStyle w:val="Heading5"/>
        <w:spacing w:before="180"/>
        <w:rPr>
          <w:snapToGrid w:val="0"/>
        </w:rPr>
      </w:pPr>
      <w:bookmarkStart w:id="159" w:name="_Toc389746810"/>
      <w:r>
        <w:rPr>
          <w:rStyle w:val="CharSectno"/>
        </w:rPr>
        <w:t>51GA</w:t>
      </w:r>
      <w:r>
        <w:rPr>
          <w:snapToGrid w:val="0"/>
        </w:rPr>
        <w:t>.</w:t>
      </w:r>
      <w:r>
        <w:rPr>
          <w:snapToGrid w:val="0"/>
        </w:rPr>
        <w:tab/>
        <w:t>Supply of dronabinol</w:t>
      </w:r>
      <w:bookmarkEnd w:id="159"/>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60" w:name="_Toc389746811"/>
      <w:r>
        <w:rPr>
          <w:rStyle w:val="CharSectno"/>
        </w:rPr>
        <w:t>51GB</w:t>
      </w:r>
      <w:r>
        <w:rPr>
          <w:snapToGrid w:val="0"/>
        </w:rPr>
        <w:t>.</w:t>
      </w:r>
      <w:r>
        <w:rPr>
          <w:snapToGrid w:val="0"/>
        </w:rPr>
        <w:tab/>
        <w:t>Supply of flunitrazepam</w:t>
      </w:r>
      <w:bookmarkEnd w:id="160"/>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5079-80.]</w:t>
      </w:r>
    </w:p>
    <w:p>
      <w:pPr>
        <w:pStyle w:val="Heading5"/>
        <w:rPr>
          <w:snapToGrid w:val="0"/>
        </w:rPr>
      </w:pPr>
      <w:bookmarkStart w:id="161" w:name="_Toc389746812"/>
      <w:r>
        <w:rPr>
          <w:rStyle w:val="CharSectno"/>
        </w:rPr>
        <w:t>51H</w:t>
      </w:r>
      <w:r>
        <w:rPr>
          <w:snapToGrid w:val="0"/>
        </w:rPr>
        <w:t>.</w:t>
      </w:r>
      <w:r>
        <w:rPr>
          <w:snapToGrid w:val="0"/>
        </w:rPr>
        <w:tab/>
        <w:t>Dentists not to prescribe or supply certain drugs of addiction</w:t>
      </w:r>
      <w:bookmarkEnd w:id="161"/>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162" w:name="_Toc389746813"/>
      <w:r>
        <w:rPr>
          <w:rStyle w:val="CharDivNo"/>
        </w:rPr>
        <w:t>Division 3</w:t>
      </w:r>
      <w:r>
        <w:t xml:space="preserve"> — </w:t>
      </w:r>
      <w:r>
        <w:rPr>
          <w:rStyle w:val="CharDivText"/>
        </w:rPr>
        <w:t>Dispensing and delivery</w:t>
      </w:r>
      <w:bookmarkEnd w:id="162"/>
    </w:p>
    <w:p>
      <w:pPr>
        <w:pStyle w:val="Footnoteheading"/>
      </w:pPr>
      <w:r>
        <w:tab/>
        <w:t>[Heading inserted in Gazette 12 Aug 2003 p. 3664.]</w:t>
      </w:r>
    </w:p>
    <w:p>
      <w:pPr>
        <w:pStyle w:val="Heading5"/>
        <w:rPr>
          <w:snapToGrid w:val="0"/>
        </w:rPr>
      </w:pPr>
      <w:bookmarkStart w:id="163" w:name="_Toc389746814"/>
      <w:r>
        <w:rPr>
          <w:rStyle w:val="CharSectno"/>
        </w:rPr>
        <w:t>52</w:t>
      </w:r>
      <w:r>
        <w:rPr>
          <w:snapToGrid w:val="0"/>
        </w:rPr>
        <w:t>.</w:t>
      </w:r>
      <w:r>
        <w:rPr>
          <w:snapToGrid w:val="0"/>
        </w:rPr>
        <w:tab/>
        <w:t>Dispensing drugs of addiction</w:t>
      </w:r>
      <w:bookmarkEnd w:id="163"/>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pharmacist</w:t>
      </w:r>
      <w:r>
        <w:rPr>
          <w:snapToGrid w:val="0"/>
        </w:rPr>
        <w:t xml:space="preserve">, or veterinary surgeon or an assistant under the direct personal supervision of a medical practitioner, </w:t>
      </w:r>
      <w:r>
        <w:t>pharmacist</w:t>
      </w:r>
      <w:r>
        <w:rPr>
          <w:snapToGrid w:val="0"/>
        </w:rPr>
        <w: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spacing w:before="60"/>
      </w:pPr>
      <w:r>
        <w:tab/>
        <w:t>(i)</w:t>
      </w:r>
      <w:r>
        <w:tab/>
        <w:t>the prescription does not clearly indicate the maximum number of occasions on which the drug of addiction is to be dispensed under the prescription;</w:t>
      </w:r>
    </w:p>
    <w:p>
      <w:pPr>
        <w:pStyle w:val="Indenti"/>
        <w:spacing w:before="60"/>
      </w:pPr>
      <w:r>
        <w:tab/>
        <w:t>(ii)</w:t>
      </w:r>
      <w:r>
        <w:tab/>
        <w:t>the prescription does not clearly indicate the intervals at which the drug of addiction is to be dispensed under the prescription; or</w:t>
      </w:r>
    </w:p>
    <w:p>
      <w:pPr>
        <w:pStyle w:val="Indenti"/>
        <w:spacing w:before="60"/>
      </w:pPr>
      <w:r>
        <w:tab/>
        <w:t>(iii)</w:t>
      </w:r>
      <w:r>
        <w:tab/>
        <w:t>the drug of addiction has already been dispensed on the maximum number of occasions on which it can lawfully be dispensed under the prescription;</w:t>
      </w:r>
    </w:p>
    <w:p>
      <w:pPr>
        <w:pStyle w:val="Indenta"/>
        <w:spacing w:before="6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spacing w:before="6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spacing w:before="60"/>
      </w:pPr>
      <w:r>
        <w:tab/>
        <w:t>(h)</w:t>
      </w:r>
      <w:r>
        <w:tab/>
        <w:t xml:space="preserve">before the drug of addiction is handed to the purchaser, the following particulars shall be recorded in accordance with regulation 52B — </w:t>
      </w:r>
    </w:p>
    <w:p>
      <w:pPr>
        <w:pStyle w:val="Indenti"/>
        <w:spacing w:before="60"/>
      </w:pPr>
      <w:r>
        <w:tab/>
        <w:t>(i)</w:t>
      </w:r>
      <w:r>
        <w:tab/>
        <w:t>the prescription number;</w:t>
      </w:r>
    </w:p>
    <w:p>
      <w:pPr>
        <w:pStyle w:val="Indenti"/>
        <w:spacing w:before="6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60"/>
      </w:pPr>
      <w:r>
        <w:tab/>
        <w:t>(iii)</w:t>
      </w:r>
      <w:r>
        <w:tab/>
        <w:t>a description of the drug of addiction;</w:t>
      </w:r>
    </w:p>
    <w:p>
      <w:pPr>
        <w:pStyle w:val="Indenti"/>
        <w:spacing w:before="60"/>
      </w:pPr>
      <w:r>
        <w:tab/>
        <w:t>(iv)</w:t>
      </w:r>
      <w:r>
        <w:tab/>
        <w:t>the quantity of the drug of addiction dispensed;</w:t>
      </w:r>
    </w:p>
    <w:p>
      <w:pPr>
        <w:pStyle w:val="Indenti"/>
        <w:spacing w:before="60"/>
      </w:pPr>
      <w:r>
        <w:tab/>
        <w:t>(v)</w:t>
      </w:r>
      <w:r>
        <w:tab/>
        <w:t>directions for the use of the drug of addiction;</w:t>
      </w:r>
    </w:p>
    <w:p>
      <w:pPr>
        <w:pStyle w:val="Indenti"/>
        <w:spacing w:before="60"/>
      </w:pPr>
      <w:r>
        <w:tab/>
        <w:t>(vi)</w:t>
      </w:r>
      <w:r>
        <w:tab/>
        <w:t>the date of the prescription;</w:t>
      </w:r>
    </w:p>
    <w:p>
      <w:pPr>
        <w:pStyle w:val="Indenti"/>
        <w:spacing w:before="60"/>
      </w:pPr>
      <w:r>
        <w:tab/>
        <w:t>(vii)</w:t>
      </w:r>
      <w:r>
        <w:tab/>
        <w:t>the name and address of the prescriber;</w:t>
      </w:r>
    </w:p>
    <w:p>
      <w:pPr>
        <w:pStyle w:val="Indenti"/>
        <w:spacing w:before="6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spacing w:before="60"/>
        <w:rPr>
          <w:snapToGrid w:val="0"/>
        </w:rPr>
      </w:pPr>
      <w:r>
        <w:rPr>
          <w:snapToGrid w:val="0"/>
        </w:rPr>
        <w:tab/>
        <w:t>[(j)</w:t>
      </w:r>
      <w:r>
        <w:rPr>
          <w:snapToGrid w:val="0"/>
        </w:rPr>
        <w:tab/>
        <w:t xml:space="preserve">deleted] </w:t>
      </w:r>
    </w:p>
    <w:p>
      <w:pPr>
        <w:pStyle w:val="Indenta"/>
        <w:spacing w:before="6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60"/>
        <w:rPr>
          <w:snapToGrid w:val="0"/>
        </w:rPr>
      </w:pPr>
      <w:r>
        <w:rPr>
          <w:snapToGrid w:val="0"/>
        </w:rPr>
        <w:tab/>
        <w:t>[(l)</w:t>
      </w:r>
      <w:r>
        <w:rPr>
          <w:snapToGrid w:val="0"/>
        </w:rPr>
        <w:tab/>
        <w:t xml:space="preserve">deleted] </w:t>
      </w:r>
    </w:p>
    <w:p>
      <w:pPr>
        <w:pStyle w:val="Indenta"/>
        <w:spacing w:before="6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 xml:space="preserve">A </w:t>
      </w:r>
      <w:r>
        <w:t>pharmacist</w:t>
      </w:r>
      <w:r>
        <w:rPr>
          <w:snapToGrid w:val="0"/>
          <w:spacing w:val="-4"/>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5079-80.]</w:t>
      </w:r>
    </w:p>
    <w:p>
      <w:pPr>
        <w:pStyle w:val="Heading5"/>
        <w:rPr>
          <w:snapToGrid w:val="0"/>
        </w:rPr>
      </w:pPr>
      <w:bookmarkStart w:id="164" w:name="_Toc389746815"/>
      <w:r>
        <w:rPr>
          <w:rStyle w:val="CharSectno"/>
        </w:rPr>
        <w:t>52A</w:t>
      </w:r>
      <w:r>
        <w:rPr>
          <w:snapToGrid w:val="0"/>
        </w:rPr>
        <w:t>.</w:t>
      </w:r>
      <w:r>
        <w:rPr>
          <w:snapToGrid w:val="0"/>
        </w:rPr>
        <w:tab/>
        <w:t>Movement of drugs of addiction in other circumstances</w:t>
      </w:r>
      <w:bookmarkEnd w:id="164"/>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65" w:name="_Toc389746816"/>
      <w:r>
        <w:rPr>
          <w:rStyle w:val="CharSectno"/>
        </w:rPr>
        <w:t>52B</w:t>
      </w:r>
      <w:r>
        <w:rPr>
          <w:snapToGrid w:val="0"/>
        </w:rPr>
        <w:t>.</w:t>
      </w:r>
      <w:r>
        <w:rPr>
          <w:snapToGrid w:val="0"/>
        </w:rPr>
        <w:tab/>
        <w:t>Manner of recording details</w:t>
      </w:r>
      <w:bookmarkEnd w:id="165"/>
      <w:r>
        <w:rPr>
          <w:snapToGrid w:val="0"/>
        </w:rPr>
        <w:t xml:space="preserve"> </w:t>
      </w:r>
    </w:p>
    <w:p>
      <w:pPr>
        <w:pStyle w:val="Subsection"/>
        <w:outlineLvl w:val="0"/>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outlineLvl w:val="0"/>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66" w:name="_Toc389746817"/>
      <w:r>
        <w:rPr>
          <w:rStyle w:val="CharSectno"/>
        </w:rPr>
        <w:t>52C</w:t>
      </w:r>
      <w:r>
        <w:rPr>
          <w:snapToGrid w:val="0"/>
        </w:rPr>
        <w:t>.</w:t>
      </w:r>
      <w:r>
        <w:rPr>
          <w:snapToGrid w:val="0"/>
        </w:rPr>
        <w:tab/>
        <w:t>Returns to department</w:t>
      </w:r>
      <w:bookmarkEnd w:id="166"/>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5079-80.]</w:t>
      </w:r>
    </w:p>
    <w:p>
      <w:pPr>
        <w:pStyle w:val="Ednotedivision"/>
      </w:pPr>
      <w:r>
        <w:t>[Heading deleted in Gazette 12 Aug 2003 p. 3663.]</w:t>
      </w:r>
    </w:p>
    <w:p>
      <w:pPr>
        <w:pStyle w:val="Heading5"/>
        <w:rPr>
          <w:snapToGrid w:val="0"/>
        </w:rPr>
      </w:pPr>
      <w:bookmarkStart w:id="167" w:name="_Toc389746818"/>
      <w:r>
        <w:rPr>
          <w:rStyle w:val="CharSectno"/>
        </w:rPr>
        <w:t>53</w:t>
      </w:r>
      <w:r>
        <w:rPr>
          <w:snapToGrid w:val="0"/>
        </w:rPr>
        <w:t>.</w:t>
      </w:r>
      <w:r>
        <w:rPr>
          <w:snapToGrid w:val="0"/>
        </w:rPr>
        <w:tab/>
        <w:t>Dispensing poisons included in Schedule 8 in case of emergency</w:t>
      </w:r>
      <w:bookmarkEnd w:id="167"/>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pPr>
      <w:r>
        <w:t>[Heading deleted in Gazette 12 Aug 2003 p. 3663.]</w:t>
      </w:r>
    </w:p>
    <w:p>
      <w:pPr>
        <w:pStyle w:val="Heading5"/>
        <w:spacing w:before="180"/>
        <w:rPr>
          <w:snapToGrid w:val="0"/>
        </w:rPr>
      </w:pPr>
      <w:bookmarkStart w:id="168" w:name="_Toc389746819"/>
      <w:r>
        <w:rPr>
          <w:rStyle w:val="CharSectno"/>
        </w:rPr>
        <w:t>53A</w:t>
      </w:r>
      <w:r>
        <w:rPr>
          <w:snapToGrid w:val="0"/>
        </w:rPr>
        <w:t>.</w:t>
      </w:r>
      <w:r>
        <w:rPr>
          <w:snapToGrid w:val="0"/>
        </w:rPr>
        <w:tab/>
        <w:t>Dispensing poisons included in Schedule 8</w:t>
      </w:r>
      <w:bookmarkEnd w:id="168"/>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r>
        <w:t>[Heading deleted in Gazette 12 Aug 2003 p. 3663.]</w:t>
      </w:r>
    </w:p>
    <w:p>
      <w:pPr>
        <w:pStyle w:val="Heading5"/>
        <w:rPr>
          <w:snapToGrid w:val="0"/>
        </w:rPr>
      </w:pPr>
      <w:bookmarkStart w:id="169" w:name="_Toc389746820"/>
      <w:r>
        <w:rPr>
          <w:rStyle w:val="CharSectno"/>
        </w:rPr>
        <w:t>54</w:t>
      </w:r>
      <w:r>
        <w:rPr>
          <w:snapToGrid w:val="0"/>
        </w:rPr>
        <w:t>.</w:t>
      </w:r>
      <w:r>
        <w:rPr>
          <w:snapToGrid w:val="0"/>
        </w:rPr>
        <w:tab/>
        <w:t>Delivery of poisons included in Schedule 8 on order</w:t>
      </w:r>
      <w:bookmarkEnd w:id="169"/>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rPr>
          <w:snapToGrid w:val="0"/>
        </w:rPr>
      </w:pPr>
      <w:bookmarkStart w:id="170" w:name="_Toc389746821"/>
      <w:r>
        <w:rPr>
          <w:rStyle w:val="CharSectno"/>
        </w:rPr>
        <w:t>54A</w:t>
      </w:r>
      <w:r>
        <w:rPr>
          <w:snapToGrid w:val="0"/>
        </w:rPr>
        <w:t>.</w:t>
      </w:r>
      <w:r>
        <w:rPr>
          <w:snapToGrid w:val="0"/>
        </w:rPr>
        <w:tab/>
        <w:t>Packaging of drugs of addiction</w:t>
      </w:r>
      <w:bookmarkEnd w:id="170"/>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171" w:name="_Toc389746822"/>
      <w:r>
        <w:rPr>
          <w:rStyle w:val="CharSectno"/>
        </w:rPr>
        <w:t>55</w:t>
      </w:r>
      <w:r>
        <w:rPr>
          <w:snapToGrid w:val="0"/>
        </w:rPr>
        <w:t>.</w:t>
      </w:r>
      <w:r>
        <w:rPr>
          <w:snapToGrid w:val="0"/>
        </w:rPr>
        <w:tab/>
        <w:t>Common carrier protected</w:t>
      </w:r>
      <w:bookmarkEnd w:id="171"/>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80"/>
      </w:pPr>
      <w:r>
        <w:t>[Heading deleted in Gazette 12 Aug 2003 p. 3663.]</w:t>
      </w:r>
    </w:p>
    <w:p>
      <w:pPr>
        <w:pStyle w:val="Heading3"/>
        <w:keepLines/>
      </w:pPr>
      <w:bookmarkStart w:id="172" w:name="_Toc389746823"/>
      <w:r>
        <w:rPr>
          <w:rStyle w:val="CharDivNo"/>
        </w:rPr>
        <w:t>Division 4</w:t>
      </w:r>
      <w:r>
        <w:t xml:space="preserve"> — </w:t>
      </w:r>
      <w:r>
        <w:rPr>
          <w:rStyle w:val="CharDivText"/>
        </w:rPr>
        <w:t>Safe custody</w:t>
      </w:r>
      <w:bookmarkEnd w:id="172"/>
    </w:p>
    <w:p>
      <w:pPr>
        <w:pStyle w:val="Footnoteheading"/>
        <w:keepNext/>
        <w:keepLines/>
        <w:rPr>
          <w:i w:val="0"/>
        </w:rPr>
      </w:pPr>
      <w:r>
        <w:tab/>
        <w:t>[Heading inserted in Gazette 12 Aug 2003 p. 3665.]</w:t>
      </w:r>
    </w:p>
    <w:p>
      <w:pPr>
        <w:pStyle w:val="Heading5"/>
        <w:rPr>
          <w:snapToGrid w:val="0"/>
        </w:rPr>
      </w:pPr>
      <w:bookmarkStart w:id="173" w:name="_Toc389746824"/>
      <w:r>
        <w:rPr>
          <w:rStyle w:val="CharSectno"/>
        </w:rPr>
        <w:t>56</w:t>
      </w:r>
      <w:r>
        <w:rPr>
          <w:snapToGrid w:val="0"/>
        </w:rPr>
        <w:t>.</w:t>
      </w:r>
      <w:r>
        <w:rPr>
          <w:snapToGrid w:val="0"/>
        </w:rPr>
        <w:tab/>
        <w:t>Storing and securing drugs of addiction</w:t>
      </w:r>
      <w:bookmarkEnd w:id="173"/>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spacing w:before="70"/>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spacing w:before="70"/>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spacing w:before="70"/>
        <w:rPr>
          <w:snapToGrid w:val="0"/>
        </w:rPr>
      </w:pPr>
      <w:r>
        <w:rPr>
          <w:snapToGrid w:val="0"/>
        </w:rPr>
        <w:tab/>
        <w:t>(i)</w:t>
      </w:r>
      <w:r>
        <w:rPr>
          <w:snapToGrid w:val="0"/>
        </w:rPr>
        <w:tab/>
        <w:t>transported by a medical practitioner, dentist or veterinary surgeon for the purpose of his or her profession or practice; or</w:t>
      </w:r>
    </w:p>
    <w:p>
      <w:pPr>
        <w:pStyle w:val="Indenti"/>
        <w:spacing w:before="70"/>
        <w:rPr>
          <w:snapToGrid w:val="0"/>
        </w:rPr>
      </w:pPr>
      <w:r>
        <w:rPr>
          <w:snapToGrid w:val="0"/>
        </w:rPr>
        <w:tab/>
        <w:t>(ii)</w:t>
      </w:r>
      <w:r>
        <w:rPr>
          <w:snapToGrid w:val="0"/>
        </w:rPr>
        <w:tab/>
        <w:t>otherwise in the possession of a medical practitioner, dentist or veterinary surgeon,</w:t>
      </w:r>
    </w:p>
    <w:p>
      <w:pPr>
        <w:pStyle w:val="Indenta"/>
        <w:spacing w:before="70"/>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 1 Oct 2010 p. 5079-80.]</w:t>
      </w:r>
    </w:p>
    <w:p>
      <w:pPr>
        <w:pStyle w:val="Heading5"/>
        <w:spacing w:before="260"/>
        <w:rPr>
          <w:snapToGrid w:val="0"/>
        </w:rPr>
      </w:pPr>
      <w:bookmarkStart w:id="174" w:name="_Toc389746825"/>
      <w:r>
        <w:rPr>
          <w:rStyle w:val="CharSectno"/>
        </w:rPr>
        <w:t>56A</w:t>
      </w:r>
      <w:r>
        <w:rPr>
          <w:snapToGrid w:val="0"/>
        </w:rPr>
        <w:t>.</w:t>
      </w:r>
      <w:r>
        <w:rPr>
          <w:snapToGrid w:val="0"/>
        </w:rPr>
        <w:tab/>
        <w:t>Prescribed amount of poisons included in Schedule 8</w:t>
      </w:r>
      <w:bookmarkEnd w:id="174"/>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175" w:name="_Toc389746826"/>
      <w:r>
        <w:rPr>
          <w:rStyle w:val="CharSectno"/>
        </w:rPr>
        <w:t>56B</w:t>
      </w:r>
      <w:r>
        <w:rPr>
          <w:snapToGrid w:val="0"/>
        </w:rPr>
        <w:t>.</w:t>
      </w:r>
      <w:r>
        <w:rPr>
          <w:snapToGrid w:val="0"/>
        </w:rPr>
        <w:tab/>
        <w:t>Location of safe in premises</w:t>
      </w:r>
      <w:bookmarkEnd w:id="17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76" w:name="_Toc389746827"/>
      <w:r>
        <w:rPr>
          <w:rStyle w:val="CharSectno"/>
        </w:rPr>
        <w:t>56C</w:t>
      </w:r>
      <w:r>
        <w:rPr>
          <w:snapToGrid w:val="0"/>
        </w:rPr>
        <w:t>.</w:t>
      </w:r>
      <w:r>
        <w:rPr>
          <w:snapToGrid w:val="0"/>
        </w:rPr>
        <w:tab/>
        <w:t>Authorised persons to keep keys to safes</w:t>
      </w:r>
      <w:bookmarkEnd w:id="17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 xml:space="preserve">[Regulation 56C inserted in Gazette 25 Jun 1993 p. 3082; amended in Gazette 26 May 1994 p. 2201; 15 Dec 2006 p. 5630-1.] </w:t>
      </w:r>
    </w:p>
    <w:p>
      <w:pPr>
        <w:pStyle w:val="Heading5"/>
        <w:spacing w:before="200"/>
        <w:rPr>
          <w:snapToGrid w:val="0"/>
        </w:rPr>
      </w:pPr>
      <w:bookmarkStart w:id="177" w:name="_Toc389746828"/>
      <w:r>
        <w:rPr>
          <w:rStyle w:val="CharSectno"/>
        </w:rPr>
        <w:t>56D</w:t>
      </w:r>
      <w:r>
        <w:rPr>
          <w:snapToGrid w:val="0"/>
        </w:rPr>
        <w:t>.</w:t>
      </w:r>
      <w:r>
        <w:rPr>
          <w:snapToGrid w:val="0"/>
        </w:rPr>
        <w:tab/>
        <w:t>Safes to be kept locked</w:t>
      </w:r>
      <w:bookmarkEnd w:id="177"/>
      <w:r>
        <w:rPr>
          <w:snapToGrid w:val="0"/>
        </w:rPr>
        <w:t xml:space="preserve"> </w:t>
      </w:r>
    </w:p>
    <w:p>
      <w:pPr>
        <w:pStyle w:val="Subsection"/>
        <w:spacing w:before="15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5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60"/>
        <w:rPr>
          <w:snapToGrid w:val="0"/>
        </w:rPr>
      </w:pPr>
      <w:r>
        <w:rPr>
          <w:snapToGrid w:val="0"/>
        </w:rPr>
        <w:tab/>
        <w:t>(a)</w:t>
      </w:r>
      <w:r>
        <w:rPr>
          <w:snapToGrid w:val="0"/>
        </w:rPr>
        <w:tab/>
        <w:t>when items are being placed into, or being removed from, the safe; or</w:t>
      </w:r>
    </w:p>
    <w:p>
      <w:pPr>
        <w:pStyle w:val="Indenta"/>
        <w:spacing w:before="6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spacing w:before="100"/>
        <w:ind w:left="890" w:hanging="890"/>
      </w:pPr>
      <w:r>
        <w:tab/>
        <w:t xml:space="preserve">[Regulation 56D inserted in Gazette 25 Jun 1993 p. 3082.] </w:t>
      </w:r>
    </w:p>
    <w:p>
      <w:pPr>
        <w:pStyle w:val="Heading5"/>
        <w:spacing w:before="200"/>
        <w:rPr>
          <w:snapToGrid w:val="0"/>
        </w:rPr>
      </w:pPr>
      <w:bookmarkStart w:id="178" w:name="_Toc389746829"/>
      <w:r>
        <w:rPr>
          <w:rStyle w:val="CharSectno"/>
        </w:rPr>
        <w:t>56E</w:t>
      </w:r>
      <w:r>
        <w:rPr>
          <w:snapToGrid w:val="0"/>
        </w:rPr>
        <w:t>.</w:t>
      </w:r>
      <w:r>
        <w:rPr>
          <w:snapToGrid w:val="0"/>
        </w:rPr>
        <w:tab/>
        <w:t>Pharmacist present on premises</w:t>
      </w:r>
      <w:bookmarkEnd w:id="178"/>
      <w:r>
        <w:rPr>
          <w:snapToGrid w:val="0"/>
        </w:rPr>
        <w:t xml:space="preserve"> </w:t>
      </w:r>
    </w:p>
    <w:p>
      <w:pPr>
        <w:pStyle w:val="Subsection"/>
        <w:spacing w:before="150"/>
        <w:rPr>
          <w:snapToGrid w:val="0"/>
        </w:rPr>
      </w:pPr>
      <w:r>
        <w:rPr>
          <w:snapToGrid w:val="0"/>
        </w:rPr>
        <w:tab/>
      </w:r>
      <w:r>
        <w:rPr>
          <w:snapToGrid w:val="0"/>
        </w:rPr>
        <w:tab/>
        <w:t xml:space="preserve">A </w:t>
      </w:r>
      <w:r>
        <w:t>pharmacist</w:t>
      </w:r>
      <w:r>
        <w:rPr>
          <w:snapToGrid w:val="0"/>
        </w:rPr>
        <w:t xml:space="preserve"> who is — </w:t>
      </w:r>
    </w:p>
    <w:p>
      <w:pPr>
        <w:pStyle w:val="Indenta"/>
        <w:spacing w:before="60"/>
        <w:rPr>
          <w:snapToGrid w:val="0"/>
        </w:rPr>
      </w:pPr>
      <w:r>
        <w:rPr>
          <w:snapToGrid w:val="0"/>
        </w:rPr>
        <w:tab/>
        <w:t>(a)</w:t>
      </w:r>
      <w:r>
        <w:rPr>
          <w:snapToGrid w:val="0"/>
        </w:rPr>
        <w:tab/>
        <w:t>authorised to be, and is, in possession of a poison included in Schedule 8; and</w:t>
      </w:r>
    </w:p>
    <w:p>
      <w:pPr>
        <w:pStyle w:val="Indenta"/>
        <w:spacing w:before="60"/>
        <w:rPr>
          <w:snapToGrid w:val="0"/>
        </w:rPr>
      </w:pPr>
      <w:r>
        <w:rPr>
          <w:snapToGrid w:val="0"/>
        </w:rPr>
        <w:tab/>
        <w:t>(b)</w:t>
      </w:r>
      <w:r>
        <w:rPr>
          <w:snapToGrid w:val="0"/>
        </w:rPr>
        <w:tab/>
        <w:t xml:space="preserve">present on the pharmacy premises, </w:t>
      </w:r>
    </w:p>
    <w:p>
      <w:pPr>
        <w:pStyle w:val="Subsection"/>
        <w:spacing w:before="12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spacing w:before="100"/>
        <w:ind w:left="890" w:hanging="890"/>
      </w:pPr>
      <w:r>
        <w:tab/>
        <w:t>[Regulation 56E inserted in Gazette 25 Jun 1993 p. 3083; amended in Gazette 19 Mar 1996 p. 1233; 1 Oct 2010 p. 5079</w:t>
      </w:r>
      <w:r>
        <w:noBreakHyphen/>
        <w:t xml:space="preserve">80.] </w:t>
      </w:r>
    </w:p>
    <w:p>
      <w:pPr>
        <w:pStyle w:val="Heading5"/>
        <w:rPr>
          <w:snapToGrid w:val="0"/>
        </w:rPr>
      </w:pPr>
      <w:bookmarkStart w:id="179" w:name="_Toc389746830"/>
      <w:r>
        <w:rPr>
          <w:rStyle w:val="CharSectno"/>
        </w:rPr>
        <w:t>56F</w:t>
      </w:r>
      <w:r>
        <w:rPr>
          <w:snapToGrid w:val="0"/>
        </w:rPr>
        <w:t>.</w:t>
      </w:r>
      <w:r>
        <w:rPr>
          <w:snapToGrid w:val="0"/>
        </w:rPr>
        <w:tab/>
        <w:t>Keys to, and locking of, poisons cupboards and lockable drawers</w:t>
      </w:r>
      <w:bookmarkEnd w:id="179"/>
      <w:r>
        <w:rPr>
          <w:snapToGrid w:val="0"/>
        </w:rPr>
        <w:t xml:space="preserve"> </w:t>
      </w:r>
    </w:p>
    <w:p>
      <w:pPr>
        <w:pStyle w:val="Subsection"/>
        <w:keepNext/>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amended in Gazette 1 Oct 2010 p. 5079-80.] </w:t>
      </w:r>
    </w:p>
    <w:p>
      <w:pPr>
        <w:pStyle w:val="Heading5"/>
        <w:rPr>
          <w:snapToGrid w:val="0"/>
        </w:rPr>
      </w:pPr>
      <w:bookmarkStart w:id="180" w:name="_Toc389746831"/>
      <w:r>
        <w:rPr>
          <w:rStyle w:val="CharSectno"/>
        </w:rPr>
        <w:t>56G</w:t>
      </w:r>
      <w:r>
        <w:rPr>
          <w:snapToGrid w:val="0"/>
        </w:rPr>
        <w:t>.</w:t>
      </w:r>
      <w:r>
        <w:rPr>
          <w:snapToGrid w:val="0"/>
        </w:rPr>
        <w:tab/>
        <w:t>Poisons included in Schedule 8 in hospital ward</w:t>
      </w:r>
      <w:bookmarkEnd w:id="180"/>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81" w:name="_Toc389746832"/>
      <w:r>
        <w:rPr>
          <w:rStyle w:val="CharSectno"/>
        </w:rPr>
        <w:t>56H</w:t>
      </w:r>
      <w:r>
        <w:rPr>
          <w:snapToGrid w:val="0"/>
        </w:rPr>
        <w:t>.</w:t>
      </w:r>
      <w:r>
        <w:rPr>
          <w:snapToGrid w:val="0"/>
        </w:rPr>
        <w:tab/>
        <w:t>Keys to, and locking of, cupboards in hospital wards</w:t>
      </w:r>
      <w:bookmarkEnd w:id="181"/>
      <w:r>
        <w:rPr>
          <w:snapToGrid w:val="0"/>
        </w:rPr>
        <w:t xml:space="preserve"> </w:t>
      </w:r>
    </w:p>
    <w:p>
      <w:pPr>
        <w:pStyle w:val="Subsection"/>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r>
        <w:t>[Heading deleted in Gazette 12 Aug 2003 p. 3663.]</w:t>
      </w:r>
    </w:p>
    <w:p>
      <w:pPr>
        <w:pStyle w:val="Heading3"/>
      </w:pPr>
      <w:bookmarkStart w:id="182" w:name="_Toc389746833"/>
      <w:r>
        <w:rPr>
          <w:rStyle w:val="CharDivNo"/>
        </w:rPr>
        <w:t>Division 5</w:t>
      </w:r>
      <w:r>
        <w:t xml:space="preserve"> — </w:t>
      </w:r>
      <w:r>
        <w:rPr>
          <w:rStyle w:val="CharDivText"/>
        </w:rPr>
        <w:t>Restrictions on supply</w:t>
      </w:r>
      <w:bookmarkEnd w:id="182"/>
    </w:p>
    <w:p>
      <w:pPr>
        <w:pStyle w:val="Footnoteheading"/>
        <w:rPr>
          <w:i w:val="0"/>
        </w:rPr>
      </w:pPr>
      <w:r>
        <w:tab/>
        <w:t>[Heading inserted in Gazette 12 Aug 2003 p. 3665.]</w:t>
      </w:r>
    </w:p>
    <w:p>
      <w:pPr>
        <w:pStyle w:val="Heading5"/>
        <w:rPr>
          <w:snapToGrid w:val="0"/>
        </w:rPr>
      </w:pPr>
      <w:bookmarkStart w:id="183" w:name="_Toc389746834"/>
      <w:r>
        <w:rPr>
          <w:rStyle w:val="CharSectno"/>
        </w:rPr>
        <w:t>57</w:t>
      </w:r>
      <w:r>
        <w:rPr>
          <w:snapToGrid w:val="0"/>
        </w:rPr>
        <w:t>.</w:t>
      </w:r>
      <w:r>
        <w:rPr>
          <w:snapToGrid w:val="0"/>
        </w:rPr>
        <w:tab/>
        <w:t>Labelling</w:t>
      </w:r>
      <w:bookmarkEnd w:id="183"/>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84" w:name="_Toc389746835"/>
      <w:r>
        <w:rPr>
          <w:rStyle w:val="CharSectno"/>
        </w:rPr>
        <w:t>58</w:t>
      </w:r>
      <w:r>
        <w:rPr>
          <w:snapToGrid w:val="0"/>
        </w:rPr>
        <w:t>.</w:t>
      </w:r>
      <w:r>
        <w:rPr>
          <w:snapToGrid w:val="0"/>
        </w:rPr>
        <w:tab/>
        <w:t>Improper prescribing or use of drugs of addiction</w:t>
      </w:r>
      <w:bookmarkEnd w:id="184"/>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85" w:name="_Toc389746836"/>
      <w:r>
        <w:rPr>
          <w:rStyle w:val="CharPartNo"/>
        </w:rPr>
        <w:t>Part 7</w:t>
      </w:r>
      <w:r>
        <w:rPr>
          <w:rStyle w:val="CharDivNo"/>
        </w:rPr>
        <w:t> </w:t>
      </w:r>
      <w:r>
        <w:t>—</w:t>
      </w:r>
      <w:r>
        <w:rPr>
          <w:rStyle w:val="CharDivText"/>
        </w:rPr>
        <w:t> </w:t>
      </w:r>
      <w:r>
        <w:rPr>
          <w:rStyle w:val="CharPartText"/>
        </w:rPr>
        <w:t>Miscellaneous provisions</w:t>
      </w:r>
      <w:bookmarkEnd w:id="185"/>
    </w:p>
    <w:p>
      <w:pPr>
        <w:pStyle w:val="Footnoteheading"/>
      </w:pPr>
      <w:r>
        <w:tab/>
        <w:t>[Heading inserted in Gazette 12 Aug 2003 p. 3665.]</w:t>
      </w:r>
    </w:p>
    <w:p>
      <w:pPr>
        <w:pStyle w:val="Heading5"/>
        <w:rPr>
          <w:snapToGrid w:val="0"/>
        </w:rPr>
      </w:pPr>
      <w:bookmarkStart w:id="186" w:name="_Toc389746837"/>
      <w:r>
        <w:rPr>
          <w:rStyle w:val="CharSectno"/>
        </w:rPr>
        <w:t>59</w:t>
      </w:r>
      <w:r>
        <w:rPr>
          <w:snapToGrid w:val="0"/>
        </w:rPr>
        <w:t>.</w:t>
      </w:r>
      <w:r>
        <w:rPr>
          <w:snapToGrid w:val="0"/>
        </w:rPr>
        <w:tab/>
        <w:t>Names of persons from whom licence or authority withdrawn to be published</w:t>
      </w:r>
      <w:bookmarkEnd w:id="186"/>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187" w:name="_Toc389746838"/>
      <w:r>
        <w:rPr>
          <w:rStyle w:val="CharSectno"/>
        </w:rPr>
        <w:t>64</w:t>
      </w:r>
      <w:r>
        <w:rPr>
          <w:snapToGrid w:val="0"/>
        </w:rPr>
        <w:t>.</w:t>
      </w:r>
      <w:r>
        <w:rPr>
          <w:snapToGrid w:val="0"/>
        </w:rPr>
        <w:tab/>
        <w:t>Substitution of one brand of a drug for another</w:t>
      </w:r>
      <w:bookmarkEnd w:id="18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188" w:name="_Toc389746839"/>
      <w:r>
        <w:rPr>
          <w:rStyle w:val="CharSectno"/>
        </w:rPr>
        <w:t>65</w:t>
      </w:r>
      <w:r>
        <w:rPr>
          <w:snapToGrid w:val="0"/>
        </w:rPr>
        <w:t>.</w:t>
      </w:r>
      <w:r>
        <w:rPr>
          <w:snapToGrid w:val="0"/>
        </w:rPr>
        <w:tab/>
        <w:t>Form of warrant (section 55A)</w:t>
      </w:r>
      <w:bookmarkEnd w:id="188"/>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189" w:name="_Toc389746840"/>
      <w:r>
        <w:rPr>
          <w:rStyle w:val="CharPartNo"/>
        </w:rPr>
        <w:t>Part 8</w:t>
      </w:r>
      <w:r>
        <w:rPr>
          <w:b w:val="0"/>
        </w:rPr>
        <w:t> </w:t>
      </w:r>
      <w:r>
        <w:t>—</w:t>
      </w:r>
      <w:r>
        <w:rPr>
          <w:b w:val="0"/>
        </w:rPr>
        <w:t> </w:t>
      </w:r>
      <w:r>
        <w:rPr>
          <w:rStyle w:val="CharPartText"/>
        </w:rPr>
        <w:t>Transitional provisions</w:t>
      </w:r>
      <w:bookmarkEnd w:id="189"/>
    </w:p>
    <w:p>
      <w:pPr>
        <w:pStyle w:val="Footnoteheading"/>
        <w:spacing w:before="100"/>
      </w:pPr>
      <w:r>
        <w:tab/>
        <w:t>[Heading inserted in Gazette 21 Apr 2009 p. 1366.]</w:t>
      </w:r>
    </w:p>
    <w:p>
      <w:pPr>
        <w:pStyle w:val="Heading3"/>
      </w:pPr>
      <w:bookmarkStart w:id="190" w:name="_Toc389746841"/>
      <w:r>
        <w:rPr>
          <w:rStyle w:val="CharDivNo"/>
        </w:rPr>
        <w:t>Division 1</w:t>
      </w:r>
      <w:r>
        <w:t> — </w:t>
      </w:r>
      <w:r>
        <w:rPr>
          <w:rStyle w:val="CharDivText"/>
        </w:rPr>
        <w:t xml:space="preserve">Transitional provisions relating to the </w:t>
      </w:r>
      <w:r>
        <w:rPr>
          <w:rStyle w:val="CharDivText"/>
          <w:i/>
          <w:iCs/>
        </w:rPr>
        <w:t>Poisons Amendment Regulations (No. 2) 2009</w:t>
      </w:r>
      <w:bookmarkEnd w:id="190"/>
    </w:p>
    <w:p>
      <w:pPr>
        <w:pStyle w:val="Footnoteheading"/>
        <w:spacing w:before="100"/>
      </w:pPr>
      <w:r>
        <w:tab/>
        <w:t>[Heading inserted in Gazette 21 Apr 2009 p. 1366.]</w:t>
      </w:r>
    </w:p>
    <w:p>
      <w:pPr>
        <w:pStyle w:val="Heading5"/>
        <w:spacing w:before="180"/>
      </w:pPr>
      <w:bookmarkStart w:id="191" w:name="_Toc389746842"/>
      <w:r>
        <w:rPr>
          <w:rStyle w:val="CharSectno"/>
        </w:rPr>
        <w:t>66</w:t>
      </w:r>
      <w:r>
        <w:t>.</w:t>
      </w:r>
      <w:r>
        <w:tab/>
        <w:t>Terms used</w:t>
      </w:r>
      <w:bookmarkEnd w:id="191"/>
    </w:p>
    <w:p>
      <w:pPr>
        <w:pStyle w:val="Subsection"/>
        <w:spacing w:before="120"/>
      </w:pPr>
      <w:r>
        <w:tab/>
      </w:r>
      <w:r>
        <w:tab/>
        <w:t xml:space="preserve">In this Division — </w:t>
      </w:r>
    </w:p>
    <w:p>
      <w:pPr>
        <w:pStyle w:val="Defstart"/>
        <w:spacing w:before="70"/>
      </w:pPr>
      <w:r>
        <w:tab/>
      </w:r>
      <w:r>
        <w:rPr>
          <w:rStyle w:val="CharDefText"/>
        </w:rPr>
        <w:t>commencement day</w:t>
      </w:r>
      <w:r>
        <w:t xml:space="preserve"> means the day on which this Division comes into operation;</w:t>
      </w:r>
    </w:p>
    <w:p>
      <w:pPr>
        <w:pStyle w:val="Defstart"/>
        <w:spacing w:before="70"/>
      </w:pPr>
      <w:r>
        <w:tab/>
      </w:r>
      <w:r>
        <w:rPr>
          <w:rStyle w:val="CharDefText"/>
        </w:rPr>
        <w:t>prescription</w:t>
      </w:r>
      <w:r>
        <w:t xml:space="preserve"> means a prescription or document prescribing the use, sale or supply of a drug of addiction.</w:t>
      </w:r>
    </w:p>
    <w:p>
      <w:pPr>
        <w:pStyle w:val="Footnotesection"/>
        <w:spacing w:before="80"/>
        <w:ind w:left="890" w:hanging="890"/>
      </w:pPr>
      <w:r>
        <w:tab/>
        <w:t>[Regulation 66 inserted in Gazette 21 Apr 2009 p. 1366.]</w:t>
      </w:r>
    </w:p>
    <w:p>
      <w:pPr>
        <w:pStyle w:val="Heading5"/>
        <w:spacing w:before="180"/>
      </w:pPr>
      <w:bookmarkStart w:id="192" w:name="_Toc389746843"/>
      <w:r>
        <w:rPr>
          <w:rStyle w:val="CharSectno"/>
        </w:rPr>
        <w:t>67</w:t>
      </w:r>
      <w:r>
        <w:t>.</w:t>
      </w:r>
      <w:r>
        <w:tab/>
        <w:t>Authorisation to prescribe drugs of addiction</w:t>
      </w:r>
      <w:bookmarkEnd w:id="192"/>
    </w:p>
    <w:p>
      <w:pPr>
        <w:pStyle w:val="Subsection"/>
        <w:spacing w:before="120"/>
      </w:pPr>
      <w:r>
        <w:tab/>
        <w:t>(1)</w:t>
      </w:r>
      <w:r>
        <w:tab/>
        <w:t xml:space="preserve">This regulation applies to a person — </w:t>
      </w:r>
    </w:p>
    <w:p>
      <w:pPr>
        <w:pStyle w:val="Indenta"/>
        <w:spacing w:before="60"/>
      </w:pPr>
      <w:r>
        <w:tab/>
        <w:t>(a)</w:t>
      </w:r>
      <w:r>
        <w:tab/>
        <w:t>who was authorised under regulation 51B(1) (as in force before commencement day) in relation to a drug addict; and</w:t>
      </w:r>
    </w:p>
    <w:p>
      <w:pPr>
        <w:pStyle w:val="Indenta"/>
        <w:spacing w:before="60"/>
      </w:pPr>
      <w:r>
        <w:tab/>
        <w:t>(b)</w:t>
      </w:r>
      <w:r>
        <w:tab/>
        <w:t xml:space="preserve">whose authorisation (the </w:t>
      </w:r>
      <w:r>
        <w:rPr>
          <w:rStyle w:val="CharDefText"/>
        </w:rPr>
        <w:t>old authorisation</w:t>
      </w:r>
      <w:r>
        <w:t>) was in force immediately before commencement day.</w:t>
      </w:r>
    </w:p>
    <w:p>
      <w:pPr>
        <w:pStyle w:val="Subsection"/>
        <w:spacing w:before="14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spacing w:before="80"/>
        <w:ind w:left="890" w:hanging="890"/>
      </w:pPr>
      <w:r>
        <w:tab/>
        <w:t>[Regulation 67 inserted in Gazette 21 Apr 2009 p. 1366</w:t>
      </w:r>
      <w:r>
        <w:noBreakHyphen/>
        <w:t>7.]</w:t>
      </w:r>
    </w:p>
    <w:p>
      <w:pPr>
        <w:pStyle w:val="Heading5"/>
        <w:spacing w:before="180"/>
      </w:pPr>
      <w:bookmarkStart w:id="193" w:name="_Toc389746844"/>
      <w:r>
        <w:rPr>
          <w:rStyle w:val="CharSectno"/>
        </w:rPr>
        <w:t>68</w:t>
      </w:r>
      <w:r>
        <w:t>.</w:t>
      </w:r>
      <w:r>
        <w:tab/>
        <w:t>Authorisation to prescribe pharmacotherapies</w:t>
      </w:r>
      <w:bookmarkEnd w:id="193"/>
    </w:p>
    <w:p>
      <w:pPr>
        <w:pStyle w:val="Subsection"/>
        <w:spacing w:before="140"/>
      </w:pPr>
      <w:r>
        <w:tab/>
        <w:t>(1)</w:t>
      </w:r>
      <w:r>
        <w:tab/>
        <w:t xml:space="preserve">This regulation applies to a person — </w:t>
      </w:r>
    </w:p>
    <w:p>
      <w:pPr>
        <w:pStyle w:val="Indenta"/>
        <w:spacing w:before="60"/>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194" w:name="_Toc389746845"/>
      <w:r>
        <w:rPr>
          <w:rStyle w:val="CharSectno"/>
        </w:rPr>
        <w:t>69</w:t>
      </w:r>
      <w:r>
        <w:t>.</w:t>
      </w:r>
      <w:r>
        <w:tab/>
        <w:t>Prescriptions</w:t>
      </w:r>
      <w:bookmarkEnd w:id="194"/>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195" w:name="_Toc389746846"/>
      <w:r>
        <w:rPr>
          <w:rStyle w:val="CharSectno"/>
        </w:rPr>
        <w:t>70</w:t>
      </w:r>
      <w:r>
        <w:t>.</w:t>
      </w:r>
      <w:r>
        <w:tab/>
        <w:t>Dispensing drugs of addiction from a pharmacy</w:t>
      </w:r>
      <w:bookmarkEnd w:id="195"/>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196" w:name="_Toc389746847"/>
      <w:r>
        <w:rPr>
          <w:rStyle w:val="CharSchNo"/>
        </w:rPr>
        <w:t>Appendix A</w:t>
      </w:r>
      <w:bookmarkEnd w:id="196"/>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4"/>
          </w:tcPr>
          <w:p>
            <w:pPr>
              <w:pStyle w:val="yTableNAm"/>
              <w:spacing w:before="60"/>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NAm"/>
              <w:spacing w:before="60"/>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Dated at Perth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Dated at Perth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480"/>
          <w:tab w:val="left" w:pos="960"/>
        </w:tabs>
        <w:spacing w:before="60"/>
        <w:ind w:left="960" w:hanging="960"/>
        <w:rPr>
          <w:snapToGrid w:val="0"/>
        </w:rPr>
      </w:pPr>
      <w:r>
        <w:rPr>
          <w:snapToGrid w:val="0"/>
        </w:rPr>
        <w:tab/>
        <w:t>(i)</w:t>
      </w:r>
      <w:r>
        <w:rPr>
          <w:snapToGrid w:val="0"/>
        </w:rPr>
        <w:tab/>
        <w:t>to stop the vehicle or vessel;</w:t>
      </w:r>
    </w:p>
    <w:p>
      <w:pPr>
        <w:pStyle w:val="yMiscellaneousBody"/>
        <w:tabs>
          <w:tab w:val="left" w:pos="480"/>
          <w:tab w:val="left" w:pos="960"/>
        </w:tabs>
        <w:spacing w:before="60"/>
        <w:ind w:left="960" w:hanging="960"/>
        <w:rPr>
          <w:snapToGrid w:val="0"/>
        </w:rPr>
      </w:pPr>
      <w:r>
        <w:rPr>
          <w:snapToGrid w:val="0"/>
        </w:rPr>
        <w:tab/>
        <w:t>(ii)</w:t>
      </w:r>
      <w:r>
        <w:rPr>
          <w:snapToGrid w:val="0"/>
        </w:rPr>
        <w:tab/>
        <w:t>to move the vehicle or vessel to a place specified by the officer;</w:t>
      </w:r>
    </w:p>
    <w:p>
      <w:pPr>
        <w:pStyle w:val="yMiscellaneousBody"/>
        <w:tabs>
          <w:tab w:val="left" w:pos="480"/>
          <w:tab w:val="left" w:pos="960"/>
        </w:tabs>
        <w:spacing w:before="60"/>
        <w:ind w:left="960" w:hanging="96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ScheduleHeading"/>
      </w:pPr>
      <w:bookmarkStart w:id="197" w:name="_Toc389746848"/>
      <w:r>
        <w:rPr>
          <w:rStyle w:val="CharSchNo"/>
        </w:rPr>
        <w:t>Appendix B</w:t>
      </w:r>
      <w:r>
        <w:t> — </w:t>
      </w:r>
      <w:r>
        <w:rPr>
          <w:rStyle w:val="CharSchText"/>
        </w:rPr>
        <w:t>Vaccines exempt from specified provisions of the Act</w:t>
      </w:r>
      <w:bookmarkEnd w:id="197"/>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198" w:name="_Toc389746849"/>
      <w:r>
        <w:rPr>
          <w:rStyle w:val="CharSchNo"/>
        </w:rPr>
        <w:t>Appendix G</w:t>
      </w:r>
      <w:bookmarkEnd w:id="198"/>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s>
              <w:ind w:left="395" w:hanging="395"/>
              <w:rPr>
                <w:sz w:val="18"/>
              </w:rPr>
            </w:pPr>
            <w:r>
              <w:rPr>
                <w:sz w:val="18"/>
              </w:rPr>
              <w:t>1.</w:t>
            </w:r>
            <w:r>
              <w:rPr>
                <w:sz w:val="18"/>
              </w:rPr>
              <w:tab/>
              <w:t>Wholesaler’s Licence ...................</w:t>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ind w:left="395" w:hanging="395"/>
              <w:rPr>
                <w:sz w:val="18"/>
              </w:rPr>
            </w:pPr>
            <w:r>
              <w:rPr>
                <w:sz w:val="18"/>
              </w:rPr>
              <w:t>3.</w:t>
            </w:r>
            <w:r>
              <w:rPr>
                <w:sz w:val="18"/>
              </w:rPr>
              <w:tab/>
              <w:t>Pharmacist’s licence to sell poisons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s>
              <w:ind w:left="395" w:hanging="395"/>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s>
              <w:ind w:left="395" w:hanging="395"/>
              <w:rPr>
                <w:sz w:val="18"/>
              </w:rPr>
            </w:pPr>
            <w:r>
              <w:rPr>
                <w:sz w:val="18"/>
              </w:rPr>
              <w:t>6B.</w:t>
            </w:r>
            <w:r>
              <w:rPr>
                <w:sz w:val="18"/>
              </w:rPr>
              <w:tab/>
              <w:t>Poisons permit (Distribution of samples)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spacing w:before="80"/>
              <w:ind w:left="720" w:hanging="720"/>
              <w:rPr>
                <w:sz w:val="18"/>
              </w:rPr>
            </w:pPr>
            <w:r>
              <w:rPr>
                <w:sz w:val="18"/>
              </w:rPr>
              <w:tab/>
              <w:t>(a)</w:t>
            </w:r>
            <w:r>
              <w:rPr>
                <w:sz w:val="18"/>
              </w:rPr>
              <w:tab/>
              <w:t>for poisons other than those set out in this item ..............</w:t>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s>
              <w:spacing w:before="80"/>
              <w:ind w:left="720" w:hanging="720"/>
              <w:rPr>
                <w:sz w:val="18"/>
              </w:rPr>
            </w:pPr>
            <w:r>
              <w:rPr>
                <w:sz w:val="18"/>
              </w:rPr>
              <w:tab/>
              <w:t>(b)</w:t>
            </w:r>
            <w:r>
              <w:rPr>
                <w:sz w:val="18"/>
              </w:rPr>
              <w:tab/>
              <w:t>for any one or more of the poisons set out in this item</w:t>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s>
              <w:ind w:left="395" w:hanging="395"/>
              <w:rPr>
                <w:sz w:val="18"/>
              </w:rPr>
            </w:pPr>
            <w:r>
              <w:rPr>
                <w:sz w:val="18"/>
              </w:rPr>
              <w:t>8.</w:t>
            </w:r>
            <w:r>
              <w:rPr>
                <w:sz w:val="18"/>
              </w:rPr>
              <w:tab/>
              <w:t>Poisons permit (Educational, advisory or research)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s>
              <w:spacing w:before="80"/>
              <w:rPr>
                <w:sz w:val="18"/>
              </w:rPr>
            </w:pPr>
            <w:r>
              <w:rPr>
                <w:sz w:val="18"/>
              </w:rPr>
              <w:tab/>
              <w:t>(a)</w:t>
            </w:r>
            <w:r>
              <w:rPr>
                <w:sz w:val="18"/>
              </w:rPr>
              <w:tab/>
              <w:t>Departmental ......................</w:t>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s>
              <w:spacing w:before="80"/>
              <w:rPr>
                <w:sz w:val="18"/>
              </w:rPr>
            </w:pPr>
            <w:r>
              <w:rPr>
                <w:sz w:val="18"/>
              </w:rPr>
              <w:tab/>
              <w:t>(b)</w:t>
            </w:r>
            <w:r>
              <w:rPr>
                <w:sz w:val="18"/>
              </w:rPr>
              <w:tab/>
              <w:t>Hospitals .............................</w:t>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5079-80.]</w:t>
      </w:r>
    </w:p>
    <w:p>
      <w:pPr>
        <w:pStyle w:val="yScheduleHeading"/>
        <w:outlineLvl w:val="0"/>
      </w:pPr>
      <w:bookmarkStart w:id="199" w:name="_Toc389746850"/>
      <w:r>
        <w:rPr>
          <w:rStyle w:val="CharSchNo"/>
        </w:rPr>
        <w:t>Appendix H</w:t>
      </w:r>
      <w:bookmarkEnd w:id="199"/>
    </w:p>
    <w:p>
      <w:pPr>
        <w:pStyle w:val="yHeading2"/>
        <w:outlineLvl w:val="9"/>
      </w:pPr>
      <w:bookmarkStart w:id="200" w:name="_Toc389746851"/>
      <w:r>
        <w:rPr>
          <w:rStyle w:val="CharSchText"/>
        </w:rPr>
        <w:t>Schedule 4 substances referred to in regulation 39(1)</w:t>
      </w:r>
      <w:bookmarkEnd w:id="200"/>
    </w:p>
    <w:p>
      <w:pPr>
        <w:pStyle w:val="yFootnoteheading"/>
      </w:pPr>
      <w:r>
        <w:tab/>
        <w:t>[Heading inserted in Gazette 8 Feb 1985 p. 520; amended in Gazette 19 Mar 1996 p. 1239.]</w:t>
      </w:r>
    </w:p>
    <w:p>
      <w:pPr>
        <w:pStyle w:val="yMiscellaneousBody"/>
        <w:spacing w:before="6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201" w:name="_Toc389746852"/>
      <w:r>
        <w:rPr>
          <w:rStyle w:val="CharSchNo"/>
        </w:rPr>
        <w:t>Appendix J</w:t>
      </w:r>
      <w:bookmarkEnd w:id="201"/>
    </w:p>
    <w:p>
      <w:pPr>
        <w:pStyle w:val="yShoulderClause"/>
        <w:rPr>
          <w:snapToGrid w:val="0"/>
        </w:rPr>
      </w:pPr>
      <w:r>
        <w:rPr>
          <w:snapToGrid w:val="0"/>
        </w:rPr>
        <w:t>(reg. 35A)</w:t>
      </w:r>
    </w:p>
    <w:p>
      <w:pPr>
        <w:pStyle w:val="yHeading2"/>
        <w:outlineLvl w:val="0"/>
      </w:pPr>
      <w:bookmarkStart w:id="202" w:name="_Toc389746853"/>
      <w:r>
        <w:rPr>
          <w:rStyle w:val="CharSchText"/>
        </w:rPr>
        <w:t>Schedule 3 poison sales to be recorded</w:t>
      </w:r>
      <w:bookmarkEnd w:id="202"/>
    </w:p>
    <w:p>
      <w:pPr>
        <w:pStyle w:val="yFootnoteheading"/>
        <w:ind w:left="0" w:firstLine="0"/>
      </w:pPr>
      <w:r>
        <w:tab/>
        <w:t>[Heading inserted in Gazette 20 Sep 1985 p. 3743.]</w:t>
      </w:r>
    </w:p>
    <w:p>
      <w:pPr>
        <w:pStyle w:val="yMiscellaneousBody"/>
        <w:spacing w:before="6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203" w:name="_Toc389746854"/>
      <w:r>
        <w:rPr>
          <w:rStyle w:val="CharSchNo"/>
        </w:rPr>
        <w:t>Appendix K</w:t>
      </w:r>
      <w:bookmarkEnd w:id="203"/>
    </w:p>
    <w:p>
      <w:pPr>
        <w:pStyle w:val="yShoulderClause"/>
      </w:pPr>
      <w:r>
        <w:t>[r. 32B]</w:t>
      </w:r>
    </w:p>
    <w:p>
      <w:pPr>
        <w:pStyle w:val="yHeading2"/>
        <w:outlineLvl w:val="0"/>
      </w:pPr>
      <w:bookmarkStart w:id="204" w:name="_Toc389746855"/>
      <w:r>
        <w:rPr>
          <w:rStyle w:val="CharSchText"/>
        </w:rPr>
        <w:t>Criteria for electronic prescribing systems</w:t>
      </w:r>
      <w:bookmarkEnd w:id="204"/>
    </w:p>
    <w:p>
      <w:pPr>
        <w:pStyle w:val="yFootnoteheading"/>
        <w:ind w:left="0" w:firstLine="0"/>
      </w:pPr>
      <w:r>
        <w:tab/>
        <w:t>[Heading inserted in Gazette 7 Nov 2008 p. 4818.]</w:t>
      </w:r>
    </w:p>
    <w:p>
      <w:pPr>
        <w:pStyle w:val="ySubsection"/>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of access to the system, or entries made in the system, during a certain period;</w:t>
      </w:r>
    </w:p>
    <w:p>
      <w:pPr>
        <w:pStyle w:val="yIndenti0"/>
        <w:rPr>
          <w:snapToGrid w:val="0"/>
        </w:rPr>
      </w:pPr>
      <w:r>
        <w:rPr>
          <w:snapToGrid w:val="0"/>
        </w:rPr>
        <w:tab/>
        <w:t>(iii)</w:t>
      </w:r>
      <w:r>
        <w:rPr>
          <w:snapToGrid w:val="0"/>
        </w:rPr>
        <w:tab/>
        <w:t>of entries made in the system during a certain period, sorted according to drug type, strength or dose or according to patient;</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205" w:name="_Toc389746856"/>
      <w:r>
        <w:rPr>
          <w:rStyle w:val="CharSchNo"/>
        </w:rPr>
        <w:t>Appendix L</w:t>
      </w:r>
      <w:bookmarkEnd w:id="205"/>
    </w:p>
    <w:p>
      <w:pPr>
        <w:pStyle w:val="yShoulderClause"/>
        <w:spacing w:before="0"/>
        <w:rPr>
          <w:snapToGrid w:val="0"/>
        </w:rPr>
      </w:pPr>
      <w:r>
        <w:rPr>
          <w:snapToGrid w:val="0"/>
        </w:rPr>
        <w:t>(Regulations 37 and 51)</w:t>
      </w:r>
    </w:p>
    <w:p>
      <w:pPr>
        <w:pStyle w:val="yHeading2"/>
        <w:outlineLvl w:val="9"/>
      </w:pPr>
      <w:bookmarkStart w:id="206" w:name="_Toc389746857"/>
      <w:r>
        <w:rPr>
          <w:rStyle w:val="CharSchText"/>
        </w:rPr>
        <w:t>Specified criteria for the generation of prescriptions by computer</w:t>
      </w:r>
      <w:bookmarkEnd w:id="206"/>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ageBreakBefore w:val="0"/>
        <w:outlineLvl w:val="0"/>
      </w:pPr>
      <w:bookmarkStart w:id="207" w:name="_Toc389746858"/>
      <w:r>
        <w:rPr>
          <w:rStyle w:val="CharSchNo"/>
        </w:rPr>
        <w:t>Appendix M</w:t>
      </w:r>
      <w:bookmarkEnd w:id="207"/>
    </w:p>
    <w:p>
      <w:pPr>
        <w:pStyle w:val="yShoulderClause"/>
        <w:spacing w:before="60"/>
        <w:rPr>
          <w:snapToGrid w:val="0"/>
        </w:rPr>
      </w:pPr>
      <w:r>
        <w:rPr>
          <w:snapToGrid w:val="0"/>
        </w:rPr>
        <w:t>[Regulations 56(1) and (2)]</w:t>
      </w:r>
    </w:p>
    <w:p>
      <w:pPr>
        <w:pStyle w:val="yHeading2"/>
        <w:spacing w:before="180"/>
        <w:outlineLvl w:val="0"/>
      </w:pPr>
      <w:bookmarkStart w:id="208" w:name="_Toc389746859"/>
      <w:r>
        <w:rPr>
          <w:rStyle w:val="CharSchText"/>
        </w:rPr>
        <w:t>Safes and additional security for storing drugs of addiction</w:t>
      </w:r>
      <w:bookmarkEnd w:id="208"/>
    </w:p>
    <w:p>
      <w:pPr>
        <w:pStyle w:val="yFootnoteheading"/>
        <w:spacing w:before="60"/>
      </w:pPr>
      <w:r>
        <w:tab/>
        <w:t>[Heading inserted in Gazette 25 Jun 1993 p. 3084.]</w:t>
      </w:r>
    </w:p>
    <w:p>
      <w:pPr>
        <w:pStyle w:val="yHeading5"/>
        <w:spacing w:before="180"/>
        <w:outlineLvl w:val="0"/>
        <w:rPr>
          <w:snapToGrid w:val="0"/>
        </w:rPr>
      </w:pPr>
      <w:bookmarkStart w:id="209" w:name="_Toc389746860"/>
      <w:r>
        <w:rPr>
          <w:rStyle w:val="CharSClsNo"/>
        </w:rPr>
        <w:t>1</w:t>
      </w:r>
      <w:r>
        <w:rPr>
          <w:snapToGrid w:val="0"/>
        </w:rPr>
        <w:t>.</w:t>
      </w:r>
      <w:r>
        <w:rPr>
          <w:snapToGrid w:val="0"/>
        </w:rPr>
        <w:tab/>
        <w:t>Safes</w:t>
      </w:r>
      <w:bookmarkEnd w:id="209"/>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210" w:name="_Toc389746861"/>
      <w:r>
        <w:rPr>
          <w:rStyle w:val="CharSClsNo"/>
        </w:rPr>
        <w:t>2</w:t>
      </w:r>
      <w:r>
        <w:rPr>
          <w:snapToGrid w:val="0"/>
        </w:rPr>
        <w:t>.</w:t>
      </w:r>
      <w:r>
        <w:rPr>
          <w:snapToGrid w:val="0"/>
        </w:rPr>
        <w:tab/>
        <w:t>Additional security requirements</w:t>
      </w:r>
      <w:bookmarkEnd w:id="210"/>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211" w:name="_Toc389746862"/>
      <w:r>
        <w:t>Notes</w:t>
      </w:r>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212" w:name="_Toc389746863"/>
      <w:r>
        <w:rPr>
          <w:snapToGrid w:val="0"/>
        </w:rPr>
        <w:t>Compilation table</w:t>
      </w:r>
      <w:bookmarkEnd w:id="2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9</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trPr>
          <w:cantSplit/>
        </w:trPr>
        <w:tc>
          <w:tcPr>
            <w:tcW w:w="3118" w:type="dxa"/>
          </w:tcPr>
          <w:p>
            <w:pPr>
              <w:pStyle w:val="nTable"/>
              <w:spacing w:after="40"/>
              <w:ind w:right="113"/>
              <w:rPr>
                <w:i/>
                <w:sz w:val="19"/>
              </w:rPr>
            </w:pPr>
            <w:r>
              <w:rPr>
                <w:i/>
                <w:sz w:val="19"/>
              </w:rPr>
              <w:t>Poisons Amendment Regulations (No. 3) 2010</w:t>
            </w:r>
          </w:p>
        </w:tc>
        <w:tc>
          <w:tcPr>
            <w:tcW w:w="1276" w:type="dxa"/>
          </w:tcPr>
          <w:p>
            <w:pPr>
              <w:pStyle w:val="nTable"/>
              <w:spacing w:after="40"/>
              <w:rPr>
                <w:sz w:val="19"/>
              </w:rPr>
            </w:pPr>
            <w:r>
              <w:rPr>
                <w:sz w:val="19"/>
              </w:rPr>
              <w:t>26 Mar 2010 p. 1145-8</w:t>
            </w:r>
          </w:p>
        </w:tc>
        <w:tc>
          <w:tcPr>
            <w:tcW w:w="2693" w:type="dxa"/>
          </w:tcPr>
          <w:p>
            <w:pPr>
              <w:pStyle w:val="nTable"/>
              <w:spacing w:after="40"/>
              <w:rPr>
                <w:snapToGrid w:val="0"/>
                <w:spacing w:val="-2"/>
                <w:sz w:val="19"/>
              </w:rPr>
            </w:pPr>
            <w:r>
              <w:rPr>
                <w:snapToGrid w:val="0"/>
                <w:spacing w:val="-2"/>
                <w:sz w:val="19"/>
              </w:rPr>
              <w:t>r. 1 and 2: 26 Mar 2010 (see r. 2(a));</w:t>
            </w:r>
            <w:r>
              <w:rPr>
                <w:snapToGrid w:val="0"/>
                <w:spacing w:val="-2"/>
                <w:sz w:val="19"/>
              </w:rPr>
              <w:br/>
              <w:t>Regulations other than r. 1 and 2: 27 Mar 2010 (see r. 2(b))</w:t>
            </w:r>
          </w:p>
        </w:tc>
      </w:tr>
      <w:tr>
        <w:trPr>
          <w:cantSplit/>
        </w:trPr>
        <w:tc>
          <w:tcPr>
            <w:tcW w:w="3118" w:type="dxa"/>
          </w:tcPr>
          <w:p>
            <w:pPr>
              <w:pStyle w:val="nTable"/>
              <w:spacing w:after="40"/>
              <w:ind w:right="113"/>
              <w:rPr>
                <w:i/>
                <w:sz w:val="19"/>
              </w:rPr>
            </w:pPr>
            <w:r>
              <w:rPr>
                <w:i/>
                <w:sz w:val="19"/>
              </w:rPr>
              <w:t>Poisons Amendment Regulations 2010</w:t>
            </w:r>
          </w:p>
        </w:tc>
        <w:tc>
          <w:tcPr>
            <w:tcW w:w="1276" w:type="dxa"/>
          </w:tcPr>
          <w:p>
            <w:pPr>
              <w:pStyle w:val="nTable"/>
              <w:spacing w:after="40"/>
              <w:rPr>
                <w:sz w:val="19"/>
              </w:rPr>
            </w:pPr>
            <w:r>
              <w:rPr>
                <w:sz w:val="19"/>
              </w:rPr>
              <w:t>27 Apr 2010 p. 1583-4</w:t>
            </w:r>
          </w:p>
        </w:tc>
        <w:tc>
          <w:tcPr>
            <w:tcW w:w="2693" w:type="dxa"/>
          </w:tcPr>
          <w:p>
            <w:pPr>
              <w:pStyle w:val="nTable"/>
              <w:spacing w:after="40"/>
              <w:rPr>
                <w:snapToGrid w:val="0"/>
                <w:spacing w:val="-2"/>
                <w:sz w:val="19"/>
              </w:rPr>
            </w:pPr>
            <w:r>
              <w:rPr>
                <w:snapToGrid w:val="0"/>
                <w:spacing w:val="-2"/>
                <w:sz w:val="19"/>
              </w:rPr>
              <w:t>r. 1 and 2: 27 Apr 2010 (see r. 2(a));</w:t>
            </w:r>
            <w:r>
              <w:rPr>
                <w:snapToGrid w:val="0"/>
                <w:spacing w:val="-2"/>
                <w:sz w:val="19"/>
              </w:rPr>
              <w:br/>
              <w:t>Regulations other than r. 1 and 2: 28 Apr 2010 (see r. 2(b))</w:t>
            </w:r>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(No. 5) 2010</w:t>
            </w:r>
          </w:p>
        </w:tc>
        <w:tc>
          <w:tcPr>
            <w:tcW w:w="1276" w:type="dxa"/>
            <w:tcBorders>
              <w:bottom w:val="single" w:sz="4" w:space="0" w:color="auto"/>
            </w:tcBorders>
          </w:tcPr>
          <w:p>
            <w:pPr>
              <w:pStyle w:val="nTable"/>
              <w:spacing w:after="40"/>
              <w:rPr>
                <w:sz w:val="19"/>
              </w:rPr>
            </w:pPr>
            <w:r>
              <w:rPr>
                <w:sz w:val="19"/>
              </w:rPr>
              <w:t>1 Oct 2010 p. 5078</w:t>
            </w:r>
            <w:r>
              <w:rPr>
                <w:sz w:val="19"/>
              </w:rPr>
              <w:noBreakHyphen/>
              <w:t>80</w:t>
            </w:r>
          </w:p>
        </w:tc>
        <w:tc>
          <w:tcPr>
            <w:tcW w:w="2693" w:type="dxa"/>
            <w:tcBorders>
              <w:bottom w:val="single" w:sz="4" w:space="0" w:color="auto"/>
            </w:tcBorders>
          </w:tcPr>
          <w:p>
            <w:pPr>
              <w:pStyle w:val="nTable"/>
              <w:spacing w:after="40"/>
              <w:rPr>
                <w:snapToGrid w:val="0"/>
                <w:spacing w:val="-2"/>
                <w:sz w:val="19"/>
              </w:rPr>
            </w:pPr>
            <w:r>
              <w:rPr>
                <w:sz w:val="19"/>
              </w:rPr>
              <w:t>r. 1 and 2: 1 Oct 2010 (see r. 2(a);</w:t>
            </w:r>
            <w:r>
              <w:rPr>
                <w:sz w:val="19"/>
              </w:rPr>
              <w:br/>
              <w:t xml:space="preserve">Regulations other than r. 1 and 2: 18 Oct 2010 (see r. 2(b) and </w:t>
            </w:r>
            <w:r>
              <w:rPr>
                <w:i/>
                <w:iCs/>
                <w:sz w:val="19"/>
              </w:rPr>
              <w:t>Gazette</w:t>
            </w:r>
            <w:r>
              <w:rPr>
                <w:sz w:val="19"/>
              </w:rPr>
              <w:t xml:space="preserve"> 1 Oct 2010 p. 5076)</w:t>
            </w:r>
          </w:p>
        </w:tc>
      </w:tr>
    </w:tbl>
    <w:p>
      <w:pPr>
        <w:pStyle w:val="nSubsection"/>
        <w:spacing w:before="10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00"/>
        <w:rPr>
          <w:snapToGrid w:val="0"/>
        </w:rPr>
      </w:pPr>
      <w:r>
        <w:rPr>
          <w:snapToGrid w:val="0"/>
          <w:vertAlign w:val="superscript"/>
        </w:rPr>
        <w:t>3</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spacing w:before="100"/>
        <w:rPr>
          <w:snapToGrid w:val="0"/>
        </w:rPr>
      </w:pPr>
      <w:r>
        <w:rPr>
          <w:snapToGrid w:val="0"/>
          <w:vertAlign w:val="superscript"/>
        </w:rPr>
        <w:t>4</w:t>
      </w:r>
      <w:r>
        <w:rPr>
          <w:snapToGrid w:val="0"/>
        </w:rPr>
        <w:tab/>
        <w:t xml:space="preserve">Repealed by the </w:t>
      </w:r>
      <w:r>
        <w:rPr>
          <w:i/>
          <w:color w:val="000000"/>
        </w:rPr>
        <w:t>Nurses and Midwives Act 2006</w:t>
      </w:r>
      <w:r>
        <w:rPr>
          <w:snapToGrid w:val="0"/>
        </w:rPr>
        <w:t>.</w:t>
      </w:r>
    </w:p>
    <w:p>
      <w:pPr>
        <w:pStyle w:val="nSubsection"/>
        <w:spacing w:before="100"/>
        <w:rPr>
          <w:rFonts w:ascii="Arial" w:hAnsi="Arial"/>
        </w:rPr>
      </w:pPr>
      <w:r>
        <w:rPr>
          <w:snapToGrid w:val="0"/>
          <w:vertAlign w:val="superscript"/>
        </w:rPr>
        <w:t>5</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00"/>
        <w:rPr>
          <w:snapToGrid w:val="0"/>
          <w:spacing w:val="-4"/>
        </w:rPr>
      </w:pPr>
      <w:r>
        <w:rPr>
          <w:snapToGrid w:val="0"/>
          <w:vertAlign w:val="superscript"/>
        </w:rPr>
        <w:t>6</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spacing w:before="100"/>
        <w:rPr>
          <w:rFonts w:ascii="Times" w:hAnsi="Times"/>
          <w:snapToGrid w:val="0"/>
        </w:rPr>
      </w:pPr>
      <w:r>
        <w:rPr>
          <w:snapToGrid w:val="0"/>
          <w:spacing w:val="-4"/>
          <w:vertAlign w:val="superscript"/>
        </w:rPr>
        <w:t>7</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spacing w:before="10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0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reads as follows:</w:t>
      </w:r>
    </w:p>
    <w:p>
      <w:pPr>
        <w:pStyle w:val="BlankOpen"/>
      </w:pP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BlankClose"/>
      </w:pPr>
    </w:p>
    <w:p>
      <w:pPr>
        <w:pStyle w:val="nSubsection"/>
      </w:pPr>
      <w:r>
        <w:rPr>
          <w:vertAlign w:val="superscript"/>
        </w:rPr>
        <w:t>11</w:t>
      </w:r>
      <w:r>
        <w:tab/>
        <w:t xml:space="preserve">The </w:t>
      </w:r>
      <w:r>
        <w:rPr>
          <w:i/>
        </w:rPr>
        <w:t>Nurses Amendment Act 2003</w:t>
      </w:r>
      <w:r>
        <w:t xml:space="preserve"> s. 50 reads as follows:</w:t>
      </w:r>
    </w:p>
    <w:p>
      <w:pPr>
        <w:pStyle w:val="BlankOpen"/>
      </w:pP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BlankClose"/>
      </w:pPr>
    </w:p>
    <w:p>
      <w:pPr>
        <w:pStyle w:val="BlankClose"/>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213" w:name="_Toc389746864"/>
      <w:r>
        <w:rPr>
          <w:sz w:val="28"/>
        </w:rPr>
        <w:t>Defined Terms</w:t>
      </w:r>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4" w:name="DefinedTerms"/>
      <w:bookmarkEnd w:id="214"/>
      <w:r>
        <w:t>access code</w:t>
      </w:r>
      <w:r>
        <w:tab/>
        <w:t>32A(1)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emergency supplies</w:t>
      </w:r>
      <w:r>
        <w:tab/>
        <w:t>36A(4)</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w:t>
      </w:r>
    </w:p>
    <w:p>
      <w:pPr>
        <w:pStyle w:val="DefinedTerms"/>
      </w:pPr>
      <w:r>
        <w:t>gynaecologist</w:t>
      </w:r>
      <w:r>
        <w:tab/>
        <w:t>2(1)</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Medical Board</w:t>
      </w:r>
      <w:r>
        <w:tab/>
        <w:t>2(1)</w:t>
      </w:r>
    </w:p>
    <w:p>
      <w:pPr>
        <w:pStyle w:val="DefinedTerms"/>
      </w:pPr>
      <w:r>
        <w:t>metropolitan region</w:t>
      </w:r>
      <w:r>
        <w:tab/>
        <w:t>36AAB(1)</w:t>
      </w:r>
    </w:p>
    <w:p>
      <w:pPr>
        <w:pStyle w:val="DefinedTerms"/>
      </w:pPr>
      <w:r>
        <w:t>new manager</w:t>
      </w:r>
      <w:r>
        <w:tab/>
        <w:t>51FK</w:t>
      </w:r>
    </w:p>
    <w:p>
      <w:pPr>
        <w:pStyle w:val="DefinedTerms"/>
      </w:pPr>
      <w:r>
        <w:t>new provisions</w:t>
      </w:r>
      <w:r>
        <w:tab/>
        <w:t>69</w:t>
      </w:r>
    </w:p>
    <w:p>
      <w:pPr>
        <w:pStyle w:val="DefinedTerms"/>
      </w:pPr>
      <w:r>
        <w:t>NIMC</w:t>
      </w:r>
      <w:r>
        <w:tab/>
        <w:t>38A, 51AAA</w:t>
      </w:r>
    </w:p>
    <w:p>
      <w:pPr>
        <w:pStyle w:val="DefinedTerms"/>
      </w:pPr>
      <w:r>
        <w:t>nominated co-prescriber</w:t>
      </w:r>
      <w:r>
        <w:tab/>
        <w:t>51FA</w:t>
      </w:r>
    </w:p>
    <w:p>
      <w:pPr>
        <w:pStyle w:val="DefinedTerms"/>
      </w:pPr>
      <w:r>
        <w:t>obstetrician</w:t>
      </w:r>
      <w:r>
        <w:tab/>
        <w:t>2(1)</w:t>
      </w:r>
    </w:p>
    <w:p>
      <w:pPr>
        <w:pStyle w:val="DefinedTerms"/>
      </w:pPr>
      <w:r>
        <w:t>old authorisation</w:t>
      </w:r>
      <w:r>
        <w:tab/>
        <w:t>67(1)(b), 68(1)(b)</w:t>
      </w:r>
    </w:p>
    <w:p>
      <w:pPr>
        <w:pStyle w:val="DefinedTerms"/>
      </w:pPr>
      <w:r>
        <w:t>permit</w:t>
      </w:r>
      <w:r>
        <w:tab/>
        <w:t>2(1)</w:t>
      </w:r>
    </w:p>
    <w:p>
      <w:pPr>
        <w:pStyle w:val="DefinedTerms"/>
      </w:pPr>
      <w:r>
        <w:t>personal supervision</w:t>
      </w:r>
      <w:r>
        <w:tab/>
        <w:t>2(1)</w:t>
      </w:r>
    </w:p>
    <w:p>
      <w:pPr>
        <w:pStyle w:val="DefinedTerms"/>
      </w:pPr>
      <w:r>
        <w:t>pharmacotherapy</w:t>
      </w:r>
      <w:r>
        <w:tab/>
        <w:t>51A(1)</w:t>
      </w:r>
    </w:p>
    <w:p>
      <w:pPr>
        <w:pStyle w:val="DefinedTerms"/>
      </w:pPr>
      <w:r>
        <w:t>pharmacist’s licence</w:t>
      </w:r>
      <w:r>
        <w:tab/>
        <w:t>2(1)</w:t>
      </w:r>
    </w:p>
    <w:p>
      <w:pPr>
        <w:pStyle w:val="DefinedTerms"/>
      </w:pPr>
      <w:r>
        <w:t>pharmacy</w:t>
      </w:r>
      <w:r>
        <w:tab/>
        <w:t>2(1)</w:t>
      </w:r>
    </w:p>
    <w:p>
      <w:pPr>
        <w:pStyle w:val="DefinedTerms"/>
      </w:pPr>
      <w:r>
        <w:t>physician</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SUSDP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the Act</w:t>
      </w:r>
      <w:r>
        <w:tab/>
        <w:t>2(1)</w:t>
      </w:r>
    </w:p>
    <w:p>
      <w:pPr>
        <w:pStyle w:val="DefinedTerms"/>
      </w:pPr>
      <w:r>
        <w:t>the HDWA Authorisation No.</w:t>
      </w:r>
      <w:r>
        <w:tab/>
        <w:t>51GB(2)</w:t>
      </w:r>
    </w:p>
    <w:p>
      <w:pPr>
        <w:pStyle w:val="DefinedTerms"/>
      </w:pPr>
      <w:r>
        <w:t>to sell</w:t>
      </w:r>
      <w:r>
        <w:tab/>
        <w:t>2(1)</w:t>
      </w:r>
    </w:p>
    <w:p>
      <w:pPr>
        <w:pStyle w:val="DefinedTerms"/>
      </w:pPr>
    </w:p>
    <w:p/>
    <w:p/>
    <w:p>
      <w:pPr>
        <w:sectPr>
          <w:headerReference w:type="even" r:id="rId36"/>
          <w:headerReference w:type="defaul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436"/>
    <w:docVar w:name="WAFER_20140605151930" w:val="RemoveTocBookmarks,RemoveUnusedBookmarks,RemoveLanguageTags,UsedStyles,ResetPageSize"/>
    <w:docVar w:name="WAFER_20140605151930_GUID" w:val="d17ca42e-2cd1-493e-83dc-36ecc570a238"/>
    <w:docVar w:name="WAFER_20140605151946" w:val="RemoveTocBookmarks,RunningHeaders"/>
    <w:docVar w:name="WAFER_20140605151946_GUID" w:val="3652c3e2-9aa5-4a05-8b4a-781b8c0b1d96"/>
    <w:docVar w:name="WAFER_20151208162436" w:val="RemoveTrackChanges"/>
    <w:docVar w:name="WAFER_20151208162436_GUID" w:val="5b0a94de-c59c-4f15-aa4a-df15e1e941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194</Pages>
  <Words>45363</Words>
  <Characters>227272</Characters>
  <Application>Microsoft Office Word</Application>
  <DocSecurity>0</DocSecurity>
  <Lines>6493</Lines>
  <Paragraphs>3839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268796</CharactersWithSpaces>
  <SharedDoc>false</SharedDoc>
  <HLinks>
    <vt:vector size="12" baseType="variant">
      <vt:variant>
        <vt:i4>5439608</vt:i4>
      </vt:variant>
      <vt:variant>
        <vt:i4>256956</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1965 - 09-f0-03</dc:title>
  <dc:subject/>
  <dc:creator/>
  <cp:keywords/>
  <dc:description/>
  <cp:lastModifiedBy>svcMRProcess</cp:lastModifiedBy>
  <cp:revision>4</cp:revision>
  <cp:lastPrinted>2009-11-16T06:22:00Z</cp:lastPrinted>
  <dcterms:created xsi:type="dcterms:W3CDTF">2018-09-15T02:43:00Z</dcterms:created>
  <dcterms:modified xsi:type="dcterms:W3CDTF">2018-09-15T02:43:00Z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4701</vt:i4>
  </property>
  <property fmtid="{D5CDD505-2E9C-101B-9397-08002B2CF9AE}" pid="6" name="AsAtDate">
    <vt:lpwstr>18 Oct 2010</vt:lpwstr>
  </property>
  <property fmtid="{D5CDD505-2E9C-101B-9397-08002B2CF9AE}" pid="7" name="Suffix">
    <vt:lpwstr>09-f0-03</vt:lpwstr>
  </property>
  <property fmtid="{D5CDD505-2E9C-101B-9397-08002B2CF9AE}" pid="8" name="ReprintNo">
    <vt:lpwstr>9</vt:lpwstr>
  </property>
</Properties>
</file>