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Racing Penalties (Appeals)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_Toc272480077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_Toc272480078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_Toc272480079 \h </w:instrText>
      </w:r>
      <w:r>
        <w:fldChar w:fldCharType="separate"/>
      </w:r>
      <w:r>
        <w:t>2</w:t>
      </w:r>
      <w:r>
        <w:fldChar w:fldCharType="end"/>
      </w:r>
    </w:p>
    <w:p>
      <w:pPr>
        <w:pStyle w:val="TOC2"/>
        <w:tabs>
          <w:tab w:val="right" w:leader="dot" w:pos="7086"/>
        </w:tabs>
        <w:rPr>
          <w:b w:val="0"/>
          <w:sz w:val="24"/>
          <w:szCs w:val="24"/>
        </w:rPr>
      </w:pPr>
      <w:r>
        <w:rPr>
          <w:szCs w:val="30"/>
        </w:rPr>
        <w:t>Part 2 — The Racing Penalties Appeal Tribunal of Western Australia</w:t>
      </w:r>
    </w:p>
    <w:p>
      <w:pPr>
        <w:pStyle w:val="TOC4"/>
        <w:tabs>
          <w:tab w:val="right" w:leader="dot" w:pos="7086"/>
        </w:tabs>
        <w:rPr>
          <w:b w:val="0"/>
          <w:sz w:val="24"/>
          <w:szCs w:val="24"/>
        </w:rPr>
      </w:pPr>
      <w:r>
        <w:rPr>
          <w:szCs w:val="26"/>
        </w:rPr>
        <w:t>Division 1</w:t>
      </w:r>
      <w:r>
        <w:rPr>
          <w:snapToGrid w:val="0"/>
          <w:szCs w:val="26"/>
        </w:rPr>
        <w:t> — </w:t>
      </w:r>
      <w:r>
        <w:rPr>
          <w:szCs w:val="26"/>
        </w:rPr>
        <w:t>Constitution and administration</w:t>
      </w:r>
    </w:p>
    <w:p>
      <w:pPr>
        <w:pStyle w:val="TOC8"/>
        <w:rPr>
          <w:sz w:val="24"/>
          <w:szCs w:val="24"/>
        </w:rPr>
      </w:pPr>
      <w:r>
        <w:rPr>
          <w:szCs w:val="24"/>
        </w:rPr>
        <w:t>4</w:t>
      </w:r>
      <w:r>
        <w:rPr>
          <w:snapToGrid w:val="0"/>
          <w:szCs w:val="24"/>
        </w:rPr>
        <w:t>.</w:t>
      </w:r>
      <w:r>
        <w:rPr>
          <w:snapToGrid w:val="0"/>
          <w:szCs w:val="24"/>
        </w:rPr>
        <w:tab/>
        <w:t>Racing Penalties Appeal Tribunal of Western Australia</w:t>
      </w:r>
      <w:r>
        <w:tab/>
      </w:r>
      <w:r>
        <w:fldChar w:fldCharType="begin"/>
      </w:r>
      <w:r>
        <w:instrText xml:space="preserve"> PAGEREF _Toc272480082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Chairperson and acting Chairperson</w:t>
      </w:r>
      <w:r>
        <w:tab/>
      </w:r>
      <w:r>
        <w:fldChar w:fldCharType="begin"/>
      </w:r>
      <w:r>
        <w:instrText xml:space="preserve"> PAGEREF _Toc272480083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Panel of members</w:t>
      </w:r>
      <w:r>
        <w:tab/>
      </w:r>
      <w:r>
        <w:fldChar w:fldCharType="begin"/>
      </w:r>
      <w:r>
        <w:instrText xml:space="preserve"> PAGEREF _Toc272480084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Eligibility to sit on particular Tribunal</w:t>
      </w:r>
      <w:r>
        <w:tab/>
      </w:r>
      <w:r>
        <w:fldChar w:fldCharType="begin"/>
      </w:r>
      <w:r>
        <w:instrText xml:space="preserve"> PAGEREF _Toc272480085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Registrar</w:t>
      </w:r>
      <w:r>
        <w:tab/>
      </w:r>
      <w:r>
        <w:fldChar w:fldCharType="begin"/>
      </w:r>
      <w:r>
        <w:instrText xml:space="preserve"> PAGEREF _Toc272480086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Relationship with Minister</w:t>
      </w:r>
      <w:r>
        <w:tab/>
      </w:r>
      <w:r>
        <w:fldChar w:fldCharType="begin"/>
      </w:r>
      <w:r>
        <w:instrText xml:space="preserve"> PAGEREF _Toc272480087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Jurisdiction and functions</w:t>
      </w:r>
    </w:p>
    <w:p>
      <w:pPr>
        <w:pStyle w:val="TOC8"/>
        <w:rPr>
          <w:sz w:val="24"/>
          <w:szCs w:val="24"/>
        </w:rPr>
      </w:pPr>
      <w:r>
        <w:rPr>
          <w:szCs w:val="24"/>
        </w:rPr>
        <w:t>10</w:t>
      </w:r>
      <w:r>
        <w:rPr>
          <w:snapToGrid w:val="0"/>
          <w:szCs w:val="24"/>
        </w:rPr>
        <w:t>.</w:t>
      </w:r>
      <w:r>
        <w:rPr>
          <w:snapToGrid w:val="0"/>
          <w:szCs w:val="24"/>
        </w:rPr>
        <w:tab/>
        <w:t>Jurisdiction, as variously constituted</w:t>
      </w:r>
      <w:r>
        <w:tab/>
      </w:r>
      <w:r>
        <w:fldChar w:fldCharType="begin"/>
      </w:r>
      <w:r>
        <w:instrText xml:space="preserve"> PAGEREF _Toc272480089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Proceedings before Tribunal</w:t>
      </w:r>
      <w:r>
        <w:tab/>
      </w:r>
      <w:r>
        <w:fldChar w:fldCharType="begin"/>
      </w:r>
      <w:r>
        <w:instrText xml:space="preserve"> PAGEREF _Toc272480090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Appeals which are not to be heard by Tribunal</w:t>
      </w:r>
      <w:r>
        <w:tab/>
      </w:r>
      <w:r>
        <w:fldChar w:fldCharType="begin"/>
      </w:r>
      <w:r>
        <w:instrText xml:space="preserve"> PAGEREF _Toc272480091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Appeals which shall be heard by Tribunal</w:t>
      </w:r>
      <w:r>
        <w:tab/>
      </w:r>
      <w:r>
        <w:fldChar w:fldCharType="begin"/>
      </w:r>
      <w:r>
        <w:instrText xml:space="preserve"> PAGEREF _Toc272480092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Determination of an appeal</w:t>
      </w:r>
      <w:r>
        <w:tab/>
      </w:r>
      <w:r>
        <w:fldChar w:fldCharType="begin"/>
      </w:r>
      <w:r>
        <w:instrText xml:space="preserve"> PAGEREF _Toc272480093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Other avenues of appeal may no longer be applicable</w:t>
      </w:r>
      <w:r>
        <w:tab/>
      </w:r>
      <w:r>
        <w:fldChar w:fldCharType="begin"/>
      </w:r>
      <w:r>
        <w:instrText xml:space="preserve"> PAGEREF _Toc272480094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Procedures and powers</w:t>
      </w:r>
    </w:p>
    <w:p>
      <w:pPr>
        <w:pStyle w:val="TOC8"/>
        <w:rPr>
          <w:sz w:val="24"/>
          <w:szCs w:val="24"/>
        </w:rPr>
      </w:pPr>
      <w:r>
        <w:rPr>
          <w:szCs w:val="24"/>
        </w:rPr>
        <w:t>16</w:t>
      </w:r>
      <w:r>
        <w:rPr>
          <w:snapToGrid w:val="0"/>
          <w:szCs w:val="24"/>
        </w:rPr>
        <w:t>.</w:t>
      </w:r>
      <w:r>
        <w:rPr>
          <w:snapToGrid w:val="0"/>
          <w:szCs w:val="24"/>
        </w:rPr>
        <w:tab/>
        <w:t>Procedure on making an appeal</w:t>
      </w:r>
      <w:r>
        <w:tab/>
      </w:r>
      <w:r>
        <w:fldChar w:fldCharType="begin"/>
      </w:r>
      <w:r>
        <w:instrText xml:space="preserve"> PAGEREF _Toc272480096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Hearing powers</w:t>
      </w:r>
      <w:r>
        <w:tab/>
      </w:r>
      <w:r>
        <w:fldChar w:fldCharType="begin"/>
      </w:r>
      <w:r>
        <w:instrText xml:space="preserve"> PAGEREF _Toc272480097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Withdrawal of appeals</w:t>
      </w:r>
      <w:r>
        <w:tab/>
      </w:r>
      <w:r>
        <w:fldChar w:fldCharType="begin"/>
      </w:r>
      <w:r>
        <w:instrText xml:space="preserve"> PAGEREF _Toc272480098 \h </w:instrText>
      </w:r>
      <w:r>
        <w:fldChar w:fldCharType="separate"/>
      </w:r>
      <w:r>
        <w:t>23</w:t>
      </w:r>
      <w:r>
        <w:fldChar w:fldCharType="end"/>
      </w:r>
    </w:p>
    <w:p>
      <w:pPr>
        <w:pStyle w:val="TOC8"/>
        <w:rPr>
          <w:sz w:val="24"/>
          <w:szCs w:val="24"/>
        </w:rPr>
      </w:pPr>
      <w:r>
        <w:rPr>
          <w:szCs w:val="24"/>
        </w:rPr>
        <w:t>19</w:t>
      </w:r>
      <w:r>
        <w:rPr>
          <w:snapToGrid w:val="0"/>
          <w:szCs w:val="24"/>
        </w:rPr>
        <w:t>.</w:t>
      </w:r>
      <w:r>
        <w:rPr>
          <w:snapToGrid w:val="0"/>
          <w:szCs w:val="24"/>
        </w:rPr>
        <w:tab/>
        <w:t>Disobedience to determinations of Tribunal</w:t>
      </w:r>
      <w:r>
        <w:tab/>
      </w:r>
      <w:r>
        <w:fldChar w:fldCharType="begin"/>
      </w:r>
      <w:r>
        <w:instrText xml:space="preserve"> PAGEREF _Toc272480099 \h </w:instrText>
      </w:r>
      <w:r>
        <w:fldChar w:fldCharType="separate"/>
      </w:r>
      <w:r>
        <w:t>23</w:t>
      </w:r>
      <w:r>
        <w:fldChar w:fldCharType="end"/>
      </w:r>
    </w:p>
    <w:p>
      <w:pPr>
        <w:pStyle w:val="TOC2"/>
        <w:tabs>
          <w:tab w:val="right" w:leader="dot" w:pos="7086"/>
        </w:tabs>
        <w:rPr>
          <w:b w:val="0"/>
          <w:sz w:val="24"/>
          <w:szCs w:val="24"/>
        </w:rPr>
      </w:pPr>
      <w:r>
        <w:rPr>
          <w:szCs w:val="30"/>
        </w:rPr>
        <w:t>Part 3 — Miscellaneous</w:t>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_Toc272480101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Reasons for determinations</w:t>
      </w:r>
      <w:r>
        <w:tab/>
      </w:r>
      <w:r>
        <w:fldChar w:fldCharType="begin"/>
      </w:r>
      <w:r>
        <w:instrText xml:space="preserve"> PAGEREF _Toc272480102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Protection</w:t>
      </w:r>
      <w:r>
        <w:tab/>
      </w:r>
      <w:r>
        <w:fldChar w:fldCharType="begin"/>
      </w:r>
      <w:r>
        <w:instrText xml:space="preserve"> PAGEREF _Toc272480103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Evidentiary provisions, and recovery of moneys ordered to be paid</w:t>
      </w:r>
      <w:r>
        <w:tab/>
      </w:r>
      <w:r>
        <w:fldChar w:fldCharType="begin"/>
      </w:r>
      <w:r>
        <w:instrText xml:space="preserve"> PAGEREF _Toc272480104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Finance and audit</w:t>
      </w:r>
      <w:r>
        <w:tab/>
      </w:r>
      <w:r>
        <w:fldChar w:fldCharType="begin"/>
      </w:r>
      <w:r>
        <w:instrText xml:space="preserve"> PAGEREF _Toc272480105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_Toc272480106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Transitional</w:t>
      </w:r>
      <w:r>
        <w:tab/>
      </w:r>
      <w:r>
        <w:fldChar w:fldCharType="begin"/>
      </w:r>
      <w:r>
        <w:instrText xml:space="preserve"> PAGEREF _Toc272480107 \h </w:instrText>
      </w:r>
      <w:r>
        <w:fldChar w:fldCharType="separate"/>
      </w:r>
      <w:r>
        <w:t>30</w:t>
      </w:r>
      <w:r>
        <w:fldChar w:fldCharType="end"/>
      </w:r>
    </w:p>
    <w:p>
      <w:pPr>
        <w:pStyle w:val="TOC2"/>
        <w:tabs>
          <w:tab w:val="right" w:leader="dot" w:pos="7086"/>
        </w:tabs>
        <w:rPr>
          <w:b w:val="0"/>
          <w:sz w:val="24"/>
          <w:szCs w:val="24"/>
        </w:rPr>
      </w:pPr>
      <w:r>
        <w:rPr>
          <w:szCs w:val="28"/>
        </w:rPr>
        <w:t>Schedule — </w:t>
      </w:r>
      <w:r>
        <w:rPr>
          <w:bCs/>
          <w:szCs w:val="28"/>
        </w:rPr>
        <w:t>Provisions with respect to the constitution and membership of the Racing Penalties Appeal Tribunal of Western Australia</w:t>
      </w:r>
    </w:p>
    <w:p>
      <w:pPr>
        <w:pStyle w:val="TOC8"/>
        <w:rPr>
          <w:sz w:val="24"/>
          <w:szCs w:val="24"/>
        </w:rPr>
      </w:pPr>
      <w:r>
        <w:rPr>
          <w:szCs w:val="22"/>
        </w:rPr>
        <w:t>1</w:t>
      </w:r>
      <w:r>
        <w:rPr>
          <w:snapToGrid w:val="0"/>
          <w:szCs w:val="22"/>
        </w:rPr>
        <w:t>.</w:t>
      </w:r>
      <w:r>
        <w:rPr>
          <w:snapToGrid w:val="0"/>
          <w:szCs w:val="22"/>
        </w:rPr>
        <w:tab/>
        <w:t>Public service officer may be member of a Tribunal</w:t>
      </w:r>
      <w:r>
        <w:tab/>
      </w:r>
      <w:r>
        <w:fldChar w:fldCharType="begin"/>
      </w:r>
      <w:r>
        <w:instrText xml:space="preserve"> PAGEREF _Toc272480109 \h </w:instrText>
      </w:r>
      <w:r>
        <w:fldChar w:fldCharType="separate"/>
      </w:r>
      <w:r>
        <w:t>32</w:t>
      </w:r>
      <w:r>
        <w:fldChar w:fldCharType="end"/>
      </w:r>
    </w:p>
    <w:p>
      <w:pPr>
        <w:pStyle w:val="TOC8"/>
        <w:rPr>
          <w:sz w:val="24"/>
          <w:szCs w:val="24"/>
        </w:rPr>
      </w:pPr>
      <w:r>
        <w:rPr>
          <w:snapToGrid w:val="0"/>
          <w:szCs w:val="22"/>
        </w:rPr>
        <w:t>2.</w:t>
      </w:r>
      <w:r>
        <w:rPr>
          <w:snapToGrid w:val="0"/>
          <w:szCs w:val="22"/>
        </w:rPr>
        <w:tab/>
        <w:t>Remuneration</w:t>
      </w:r>
      <w:r>
        <w:tab/>
      </w:r>
      <w:r>
        <w:fldChar w:fldCharType="begin"/>
      </w:r>
      <w:r>
        <w:instrText xml:space="preserve"> PAGEREF _Toc272480110 \h </w:instrText>
      </w:r>
      <w:r>
        <w:fldChar w:fldCharType="separate"/>
      </w:r>
      <w:r>
        <w:t>32</w:t>
      </w:r>
      <w:r>
        <w:fldChar w:fldCharType="end"/>
      </w:r>
    </w:p>
    <w:p>
      <w:pPr>
        <w:pStyle w:val="TOC8"/>
        <w:rPr>
          <w:sz w:val="24"/>
          <w:szCs w:val="24"/>
        </w:rPr>
      </w:pPr>
      <w:r>
        <w:rPr>
          <w:szCs w:val="22"/>
        </w:rPr>
        <w:t>3</w:t>
      </w:r>
      <w:r>
        <w:rPr>
          <w:snapToGrid w:val="0"/>
          <w:szCs w:val="22"/>
        </w:rPr>
        <w:t>.</w:t>
      </w:r>
      <w:r>
        <w:rPr>
          <w:snapToGrid w:val="0"/>
          <w:szCs w:val="22"/>
        </w:rPr>
        <w:tab/>
        <w:t>Eligibility for, and vacation of, office and conditions of appointment</w:t>
      </w:r>
      <w:r>
        <w:tab/>
      </w:r>
      <w:r>
        <w:fldChar w:fldCharType="begin"/>
      </w:r>
      <w:r>
        <w:instrText xml:space="preserve"> PAGEREF _Toc272480111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Removal from office</w:t>
      </w:r>
      <w:r>
        <w:tab/>
      </w:r>
      <w:r>
        <w:fldChar w:fldCharType="begin"/>
      </w:r>
      <w:r>
        <w:instrText xml:space="preserve"> PAGEREF _Toc272480112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Validity of proceedings etc.</w:t>
      </w:r>
      <w:r>
        <w:tab/>
      </w:r>
      <w:r>
        <w:fldChar w:fldCharType="begin"/>
      </w:r>
      <w:r>
        <w:instrText xml:space="preserve"> PAGEREF _Toc272480113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Presumptions</w:t>
      </w:r>
      <w:r>
        <w:tab/>
      </w:r>
      <w:r>
        <w:fldChar w:fldCharType="begin"/>
      </w:r>
      <w:r>
        <w:instrText xml:space="preserve"> PAGEREF _Toc272480114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_Toc272480116 \h </w:instrText>
      </w:r>
      <w:r>
        <w:fldChar w:fldCharType="separate"/>
      </w:r>
      <w:r>
        <w:t>36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080"/>
      </w:pPr>
      <w:r>
        <w:t>Racing Penalties (Appeals) Act 1990</w:t>
      </w:r>
    </w:p>
    <w:p>
      <w:pPr>
        <w:pStyle w:val="LongTitle"/>
        <w:rPr>
          <w:snapToGrid w:val="0"/>
        </w:rPr>
      </w:pPr>
      <w:r>
        <w:rPr>
          <w:snapToGrid w:val="0"/>
        </w:rPr>
        <w:t>An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bookmarkStart w:id="8" w:name="_Toc142276057"/>
      <w:bookmarkStart w:id="9" w:name="_Toc142276969"/>
      <w:bookmarkStart w:id="10" w:name="_Toc143057998"/>
      <w:bookmarkStart w:id="11" w:name="_Toc143058107"/>
      <w:bookmarkStart w:id="12" w:name="_Toc143398763"/>
      <w:bookmarkStart w:id="13" w:name="_Toc146533353"/>
      <w:bookmarkStart w:id="14" w:name="_Toc157328017"/>
      <w:bookmarkStart w:id="15" w:name="_Toc157328082"/>
      <w:bookmarkStart w:id="16" w:name="_Toc158003234"/>
      <w:bookmarkStart w:id="17" w:name="_Toc162949563"/>
      <w:bookmarkStart w:id="18" w:name="_Toc162949605"/>
      <w:bookmarkStart w:id="19" w:name="_Toc162949647"/>
      <w:bookmarkStart w:id="20" w:name="_Toc163010898"/>
      <w:bookmarkStart w:id="21" w:name="_Toc170529715"/>
      <w:bookmarkStart w:id="22" w:name="_Toc199755555"/>
      <w:bookmarkStart w:id="23" w:name="_Toc223932403"/>
      <w:bookmarkStart w:id="24" w:name="_Toc241285607"/>
      <w:bookmarkStart w:id="25" w:name="_Toc241285648"/>
      <w:bookmarkStart w:id="26" w:name="_Toc241285723"/>
      <w:bookmarkStart w:id="27" w:name="_Toc259703958"/>
      <w:bookmarkStart w:id="28" w:name="_Toc261351049"/>
      <w:bookmarkStart w:id="29" w:name="_Toc261848535"/>
      <w:bookmarkStart w:id="30" w:name="_Toc265220396"/>
      <w:bookmarkStart w:id="31" w:name="_Toc265220797"/>
      <w:bookmarkStart w:id="32" w:name="_Toc27248007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87527724"/>
      <w:bookmarkStart w:id="34" w:name="_Toc526931897"/>
      <w:bookmarkStart w:id="35" w:name="_Toc102538126"/>
      <w:bookmarkStart w:id="36" w:name="_Toc146533354"/>
      <w:bookmarkStart w:id="37" w:name="_Toc272480077"/>
      <w:r>
        <w:rPr>
          <w:rStyle w:val="CharSectno"/>
        </w:rPr>
        <w:t>1</w:t>
      </w:r>
      <w:r>
        <w:rPr>
          <w:snapToGrid w:val="0"/>
        </w:rPr>
        <w:t>.</w:t>
      </w:r>
      <w:r>
        <w:rPr>
          <w:snapToGrid w:val="0"/>
        </w:rPr>
        <w:tab/>
        <w:t>Short title</w:t>
      </w:r>
      <w:bookmarkEnd w:id="33"/>
      <w:bookmarkEnd w:id="34"/>
      <w:bookmarkEnd w:id="35"/>
      <w:bookmarkEnd w:id="36"/>
      <w:bookmarkEnd w:id="37"/>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8" w:name="_Toc487527725"/>
      <w:bookmarkStart w:id="39" w:name="_Toc526931898"/>
      <w:bookmarkStart w:id="40" w:name="_Toc102538127"/>
      <w:bookmarkStart w:id="41" w:name="_Toc146533355"/>
      <w:bookmarkStart w:id="42" w:name="_Toc272480078"/>
      <w:r>
        <w:rPr>
          <w:rStyle w:val="CharSectno"/>
        </w:rPr>
        <w:t>2</w:t>
      </w:r>
      <w:r>
        <w:rPr>
          <w:snapToGrid w:val="0"/>
        </w:rPr>
        <w:t>.</w:t>
      </w:r>
      <w:r>
        <w:rPr>
          <w:snapToGrid w:val="0"/>
        </w:rPr>
        <w:tab/>
        <w:t>Commencement</w:t>
      </w:r>
      <w:bookmarkEnd w:id="38"/>
      <w:bookmarkEnd w:id="39"/>
      <w:bookmarkEnd w:id="40"/>
      <w:bookmarkEnd w:id="41"/>
      <w:bookmarkEnd w:id="42"/>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43" w:name="_Toc487527726"/>
      <w:bookmarkStart w:id="44" w:name="_Toc526931899"/>
      <w:bookmarkStart w:id="45" w:name="_Toc102538128"/>
      <w:bookmarkStart w:id="46" w:name="_Toc146533356"/>
      <w:bookmarkStart w:id="47" w:name="_Toc272480079"/>
      <w:r>
        <w:rPr>
          <w:rStyle w:val="CharSectno"/>
        </w:rPr>
        <w:t>3</w:t>
      </w:r>
      <w:r>
        <w:rPr>
          <w:snapToGrid w:val="0"/>
        </w:rPr>
        <w:t>.</w:t>
      </w:r>
      <w:r>
        <w:rPr>
          <w:snapToGrid w:val="0"/>
        </w:rPr>
        <w:tab/>
      </w:r>
      <w:bookmarkEnd w:id="43"/>
      <w:bookmarkEnd w:id="44"/>
      <w:bookmarkEnd w:id="45"/>
      <w:bookmarkEnd w:id="46"/>
      <w:r>
        <w:rPr>
          <w:snapToGrid w:val="0"/>
        </w:rPr>
        <w:t>Terms used</w:t>
      </w:r>
      <w:bookmarkEnd w:id="4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by No. 11 of 1992 s. 70; No. 23 of 1998 s. 20; No. 35 of 2003 s. 180.]</w:t>
      </w:r>
    </w:p>
    <w:p>
      <w:pPr>
        <w:pStyle w:val="Heading2"/>
      </w:pPr>
      <w:bookmarkStart w:id="48" w:name="_Toc89505462"/>
      <w:bookmarkStart w:id="49" w:name="_Toc89505504"/>
      <w:bookmarkStart w:id="50" w:name="_Toc89585117"/>
      <w:bookmarkStart w:id="51" w:name="_Toc102465869"/>
      <w:bookmarkStart w:id="52" w:name="_Toc102538129"/>
      <w:bookmarkStart w:id="53" w:name="_Toc139346299"/>
      <w:bookmarkStart w:id="54" w:name="_Toc139700509"/>
      <w:bookmarkStart w:id="55" w:name="_Toc142276061"/>
      <w:bookmarkStart w:id="56" w:name="_Toc142276973"/>
      <w:bookmarkStart w:id="57" w:name="_Toc143058002"/>
      <w:bookmarkStart w:id="58" w:name="_Toc143058111"/>
      <w:bookmarkStart w:id="59" w:name="_Toc143398767"/>
      <w:bookmarkStart w:id="60" w:name="_Toc146533357"/>
      <w:bookmarkStart w:id="61" w:name="_Toc157328021"/>
      <w:bookmarkStart w:id="62" w:name="_Toc157328086"/>
      <w:bookmarkStart w:id="63" w:name="_Toc158003238"/>
      <w:bookmarkStart w:id="64" w:name="_Toc162949567"/>
      <w:bookmarkStart w:id="65" w:name="_Toc162949609"/>
      <w:bookmarkStart w:id="66" w:name="_Toc162949651"/>
      <w:bookmarkStart w:id="67" w:name="_Toc163010902"/>
      <w:bookmarkStart w:id="68" w:name="_Toc170529719"/>
      <w:bookmarkStart w:id="69" w:name="_Toc199755559"/>
      <w:bookmarkStart w:id="70" w:name="_Toc223932407"/>
      <w:bookmarkStart w:id="71" w:name="_Toc241285611"/>
      <w:bookmarkStart w:id="72" w:name="_Toc241285652"/>
      <w:bookmarkStart w:id="73" w:name="_Toc241285727"/>
      <w:bookmarkStart w:id="74" w:name="_Toc259703962"/>
      <w:bookmarkStart w:id="75" w:name="_Toc261351053"/>
      <w:bookmarkStart w:id="76" w:name="_Toc261848539"/>
      <w:bookmarkStart w:id="77" w:name="_Toc265220400"/>
      <w:bookmarkStart w:id="78" w:name="_Toc265220801"/>
      <w:bookmarkStart w:id="79" w:name="_Toc272480080"/>
      <w:r>
        <w:rPr>
          <w:rStyle w:val="CharPartNo"/>
        </w:rPr>
        <w:t>Part 2</w:t>
      </w:r>
      <w:r>
        <w:t> — </w:t>
      </w:r>
      <w:r>
        <w:rPr>
          <w:rStyle w:val="CharPartText"/>
        </w:rPr>
        <w:t>The Racing Penalties Appeal Tribunal of Western Australia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3"/>
      </w:pPr>
      <w:bookmarkStart w:id="80" w:name="_Toc89505463"/>
      <w:bookmarkStart w:id="81" w:name="_Toc89505505"/>
      <w:bookmarkStart w:id="82" w:name="_Toc89585118"/>
      <w:bookmarkStart w:id="83" w:name="_Toc102465870"/>
      <w:bookmarkStart w:id="84" w:name="_Toc102538130"/>
      <w:bookmarkStart w:id="85" w:name="_Toc139346300"/>
      <w:bookmarkStart w:id="86" w:name="_Toc139700510"/>
      <w:bookmarkStart w:id="87" w:name="_Toc142276062"/>
      <w:bookmarkStart w:id="88" w:name="_Toc142276974"/>
      <w:bookmarkStart w:id="89" w:name="_Toc143058003"/>
      <w:bookmarkStart w:id="90" w:name="_Toc143058112"/>
      <w:bookmarkStart w:id="91" w:name="_Toc143398768"/>
      <w:bookmarkStart w:id="92" w:name="_Toc146533358"/>
      <w:bookmarkStart w:id="93" w:name="_Toc157328022"/>
      <w:bookmarkStart w:id="94" w:name="_Toc157328087"/>
      <w:bookmarkStart w:id="95" w:name="_Toc158003239"/>
      <w:bookmarkStart w:id="96" w:name="_Toc162949568"/>
      <w:bookmarkStart w:id="97" w:name="_Toc162949610"/>
      <w:bookmarkStart w:id="98" w:name="_Toc162949652"/>
      <w:bookmarkStart w:id="99" w:name="_Toc163010903"/>
      <w:bookmarkStart w:id="100" w:name="_Toc170529720"/>
      <w:bookmarkStart w:id="101" w:name="_Toc199755560"/>
      <w:bookmarkStart w:id="102" w:name="_Toc223932408"/>
      <w:bookmarkStart w:id="103" w:name="_Toc241285612"/>
      <w:bookmarkStart w:id="104" w:name="_Toc241285653"/>
      <w:bookmarkStart w:id="105" w:name="_Toc241285728"/>
      <w:bookmarkStart w:id="106" w:name="_Toc259703963"/>
      <w:bookmarkStart w:id="107" w:name="_Toc261351054"/>
      <w:bookmarkStart w:id="108" w:name="_Toc261848540"/>
      <w:bookmarkStart w:id="109" w:name="_Toc265220401"/>
      <w:bookmarkStart w:id="110" w:name="_Toc265220802"/>
      <w:bookmarkStart w:id="111" w:name="_Toc272480081"/>
      <w:r>
        <w:rPr>
          <w:rStyle w:val="CharDivNo"/>
        </w:rPr>
        <w:t>Division 1</w:t>
      </w:r>
      <w:r>
        <w:rPr>
          <w:snapToGrid w:val="0"/>
        </w:rPr>
        <w:t> — </w:t>
      </w:r>
      <w:r>
        <w:rPr>
          <w:rStyle w:val="CharDivText"/>
        </w:rPr>
        <w:t>Constitution and 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487527727"/>
      <w:bookmarkStart w:id="113" w:name="_Toc526931900"/>
      <w:bookmarkStart w:id="114" w:name="_Toc102538131"/>
      <w:bookmarkStart w:id="115" w:name="_Toc146533359"/>
      <w:bookmarkStart w:id="116" w:name="_Toc272480082"/>
      <w:r>
        <w:rPr>
          <w:rStyle w:val="CharSectno"/>
        </w:rPr>
        <w:t>4</w:t>
      </w:r>
      <w:r>
        <w:rPr>
          <w:snapToGrid w:val="0"/>
        </w:rPr>
        <w:t>.</w:t>
      </w:r>
      <w:r>
        <w:rPr>
          <w:snapToGrid w:val="0"/>
        </w:rPr>
        <w:tab/>
        <w:t>Racing Penalties Appeal Tribunal of Western Australia</w:t>
      </w:r>
      <w:bookmarkEnd w:id="112"/>
      <w:bookmarkEnd w:id="113"/>
      <w:bookmarkEnd w:id="114"/>
      <w:bookmarkEnd w:id="115"/>
      <w:bookmarkEnd w:id="116"/>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by No. 32 of 1994 s. 19.]</w:t>
      </w:r>
    </w:p>
    <w:p>
      <w:pPr>
        <w:pStyle w:val="Heading5"/>
        <w:rPr>
          <w:snapToGrid w:val="0"/>
        </w:rPr>
      </w:pPr>
      <w:bookmarkStart w:id="117" w:name="_Toc487527728"/>
      <w:bookmarkStart w:id="118" w:name="_Toc526931901"/>
      <w:bookmarkStart w:id="119" w:name="_Toc102538132"/>
      <w:bookmarkStart w:id="120" w:name="_Toc146533360"/>
      <w:bookmarkStart w:id="121" w:name="_Toc272480083"/>
      <w:r>
        <w:rPr>
          <w:rStyle w:val="CharSectno"/>
        </w:rPr>
        <w:t>5</w:t>
      </w:r>
      <w:r>
        <w:rPr>
          <w:snapToGrid w:val="0"/>
        </w:rPr>
        <w:t>.</w:t>
      </w:r>
      <w:r>
        <w:rPr>
          <w:snapToGrid w:val="0"/>
        </w:rPr>
        <w:tab/>
        <w:t>Chairperson and acting Chairperson</w:t>
      </w:r>
      <w:bookmarkEnd w:id="117"/>
      <w:bookmarkEnd w:id="118"/>
      <w:bookmarkEnd w:id="119"/>
      <w:bookmarkEnd w:id="120"/>
      <w:bookmarkEnd w:id="121"/>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by No. 65 of 2003 s. 116; No. 21 of 2008 s. 695(2).]</w:t>
      </w:r>
    </w:p>
    <w:p>
      <w:pPr>
        <w:pStyle w:val="Heading5"/>
        <w:spacing w:before="180"/>
        <w:rPr>
          <w:snapToGrid w:val="0"/>
        </w:rPr>
      </w:pPr>
      <w:bookmarkStart w:id="122" w:name="_Toc487527729"/>
      <w:bookmarkStart w:id="123" w:name="_Toc526931902"/>
      <w:bookmarkStart w:id="124" w:name="_Toc102538133"/>
      <w:bookmarkStart w:id="125" w:name="_Toc146533361"/>
      <w:bookmarkStart w:id="126" w:name="_Toc272480084"/>
      <w:r>
        <w:rPr>
          <w:rStyle w:val="CharSectno"/>
        </w:rPr>
        <w:t>6</w:t>
      </w:r>
      <w:r>
        <w:rPr>
          <w:snapToGrid w:val="0"/>
        </w:rPr>
        <w:t>.</w:t>
      </w:r>
      <w:r>
        <w:rPr>
          <w:snapToGrid w:val="0"/>
        </w:rPr>
        <w:tab/>
        <w:t>Panel of members</w:t>
      </w:r>
      <w:bookmarkEnd w:id="122"/>
      <w:bookmarkEnd w:id="123"/>
      <w:bookmarkEnd w:id="124"/>
      <w:bookmarkEnd w:id="125"/>
      <w:bookmarkEnd w:id="126"/>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by No. 24 of 2000 s. 37.]</w:t>
      </w:r>
    </w:p>
    <w:p>
      <w:pPr>
        <w:pStyle w:val="Heading5"/>
        <w:rPr>
          <w:snapToGrid w:val="0"/>
        </w:rPr>
      </w:pPr>
      <w:bookmarkStart w:id="127" w:name="_Toc487527730"/>
      <w:bookmarkStart w:id="128" w:name="_Toc526931903"/>
      <w:bookmarkStart w:id="129" w:name="_Toc102538134"/>
      <w:bookmarkStart w:id="130" w:name="_Toc146533362"/>
      <w:bookmarkStart w:id="131" w:name="_Toc272480085"/>
      <w:r>
        <w:rPr>
          <w:rStyle w:val="CharSectno"/>
        </w:rPr>
        <w:t>7</w:t>
      </w:r>
      <w:r>
        <w:rPr>
          <w:snapToGrid w:val="0"/>
        </w:rPr>
        <w:t>.</w:t>
      </w:r>
      <w:r>
        <w:rPr>
          <w:snapToGrid w:val="0"/>
        </w:rPr>
        <w:tab/>
        <w:t>Eligibility to sit on particular Tribunal</w:t>
      </w:r>
      <w:bookmarkEnd w:id="127"/>
      <w:bookmarkEnd w:id="128"/>
      <w:bookmarkEnd w:id="129"/>
      <w:bookmarkEnd w:id="130"/>
      <w:bookmarkEnd w:id="131"/>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132" w:name="_Toc487527731"/>
      <w:bookmarkStart w:id="133" w:name="_Toc526931904"/>
      <w:bookmarkStart w:id="134" w:name="_Toc102538135"/>
      <w:bookmarkStart w:id="135" w:name="_Toc146533363"/>
      <w:bookmarkStart w:id="136" w:name="_Toc272480086"/>
      <w:r>
        <w:rPr>
          <w:rStyle w:val="CharSectno"/>
        </w:rPr>
        <w:t>8</w:t>
      </w:r>
      <w:r>
        <w:rPr>
          <w:snapToGrid w:val="0"/>
        </w:rPr>
        <w:t>.</w:t>
      </w:r>
      <w:r>
        <w:rPr>
          <w:snapToGrid w:val="0"/>
        </w:rPr>
        <w:tab/>
        <w:t>Registrar</w:t>
      </w:r>
      <w:bookmarkEnd w:id="132"/>
      <w:bookmarkEnd w:id="133"/>
      <w:bookmarkEnd w:id="134"/>
      <w:bookmarkEnd w:id="135"/>
      <w:bookmarkEnd w:id="136"/>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by No. 32 of 1994 s. 19.]</w:t>
      </w:r>
    </w:p>
    <w:p>
      <w:pPr>
        <w:pStyle w:val="Heading5"/>
        <w:rPr>
          <w:snapToGrid w:val="0"/>
        </w:rPr>
      </w:pPr>
      <w:bookmarkStart w:id="137" w:name="_Toc487527732"/>
      <w:bookmarkStart w:id="138" w:name="_Toc526931905"/>
      <w:bookmarkStart w:id="139" w:name="_Toc102538136"/>
      <w:bookmarkStart w:id="140" w:name="_Toc146533364"/>
      <w:bookmarkStart w:id="141" w:name="_Toc272480087"/>
      <w:r>
        <w:rPr>
          <w:rStyle w:val="CharSectno"/>
        </w:rPr>
        <w:t>9</w:t>
      </w:r>
      <w:r>
        <w:rPr>
          <w:snapToGrid w:val="0"/>
        </w:rPr>
        <w:t>.</w:t>
      </w:r>
      <w:r>
        <w:rPr>
          <w:snapToGrid w:val="0"/>
        </w:rPr>
        <w:tab/>
        <w:t>Relationship with Minister</w:t>
      </w:r>
      <w:bookmarkEnd w:id="137"/>
      <w:bookmarkEnd w:id="138"/>
      <w:bookmarkEnd w:id="139"/>
      <w:bookmarkEnd w:id="140"/>
      <w:bookmarkEnd w:id="141"/>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by No. 77 of 2006 Sch. 1 cl. 143(1).]</w:t>
      </w:r>
    </w:p>
    <w:p>
      <w:pPr>
        <w:pStyle w:val="Heading3"/>
      </w:pPr>
      <w:bookmarkStart w:id="142" w:name="_Toc89505470"/>
      <w:bookmarkStart w:id="143" w:name="_Toc89505512"/>
      <w:bookmarkStart w:id="144" w:name="_Toc89585125"/>
      <w:bookmarkStart w:id="145" w:name="_Toc102465877"/>
      <w:bookmarkStart w:id="146" w:name="_Toc102538137"/>
      <w:bookmarkStart w:id="147" w:name="_Toc139346307"/>
      <w:bookmarkStart w:id="148" w:name="_Toc139700517"/>
      <w:bookmarkStart w:id="149" w:name="_Toc142276069"/>
      <w:bookmarkStart w:id="150" w:name="_Toc142276981"/>
      <w:bookmarkStart w:id="151" w:name="_Toc143058010"/>
      <w:bookmarkStart w:id="152" w:name="_Toc143058119"/>
      <w:bookmarkStart w:id="153" w:name="_Toc143398775"/>
      <w:bookmarkStart w:id="154" w:name="_Toc146533365"/>
      <w:bookmarkStart w:id="155" w:name="_Toc157328029"/>
      <w:bookmarkStart w:id="156" w:name="_Toc157328094"/>
      <w:bookmarkStart w:id="157" w:name="_Toc158003246"/>
      <w:bookmarkStart w:id="158" w:name="_Toc162949575"/>
      <w:bookmarkStart w:id="159" w:name="_Toc162949617"/>
      <w:bookmarkStart w:id="160" w:name="_Toc162949659"/>
      <w:bookmarkStart w:id="161" w:name="_Toc163010910"/>
      <w:bookmarkStart w:id="162" w:name="_Toc170529727"/>
      <w:bookmarkStart w:id="163" w:name="_Toc199755567"/>
      <w:bookmarkStart w:id="164" w:name="_Toc223932415"/>
      <w:bookmarkStart w:id="165" w:name="_Toc241285619"/>
      <w:bookmarkStart w:id="166" w:name="_Toc241285660"/>
      <w:bookmarkStart w:id="167" w:name="_Toc241285735"/>
      <w:bookmarkStart w:id="168" w:name="_Toc259703970"/>
      <w:bookmarkStart w:id="169" w:name="_Toc261351061"/>
      <w:bookmarkStart w:id="170" w:name="_Toc261848547"/>
      <w:bookmarkStart w:id="171" w:name="_Toc265220408"/>
      <w:bookmarkStart w:id="172" w:name="_Toc265220809"/>
      <w:bookmarkStart w:id="173" w:name="_Toc272480088"/>
      <w:r>
        <w:rPr>
          <w:rStyle w:val="CharDivNo"/>
        </w:rPr>
        <w:t>Division 2</w:t>
      </w:r>
      <w:r>
        <w:rPr>
          <w:snapToGrid w:val="0"/>
        </w:rPr>
        <w:t> — </w:t>
      </w:r>
      <w:r>
        <w:rPr>
          <w:rStyle w:val="CharDivText"/>
        </w:rPr>
        <w:t>Jurisdiction and functions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87527733"/>
      <w:bookmarkStart w:id="175" w:name="_Toc526931906"/>
      <w:bookmarkStart w:id="176" w:name="_Toc102538138"/>
      <w:bookmarkStart w:id="177" w:name="_Toc146533366"/>
      <w:bookmarkStart w:id="178" w:name="_Toc272480089"/>
      <w:r>
        <w:rPr>
          <w:rStyle w:val="CharSectno"/>
        </w:rPr>
        <w:t>10</w:t>
      </w:r>
      <w:r>
        <w:rPr>
          <w:snapToGrid w:val="0"/>
        </w:rPr>
        <w:t>.</w:t>
      </w:r>
      <w:r>
        <w:rPr>
          <w:snapToGrid w:val="0"/>
        </w:rPr>
        <w:tab/>
        <w:t>Jurisdiction, as variously constituted</w:t>
      </w:r>
      <w:bookmarkEnd w:id="174"/>
      <w:bookmarkEnd w:id="175"/>
      <w:bookmarkEnd w:id="176"/>
      <w:bookmarkEnd w:id="177"/>
      <w:bookmarkEnd w:id="178"/>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79" w:name="_Toc487527734"/>
      <w:bookmarkStart w:id="180" w:name="_Toc526931907"/>
      <w:bookmarkStart w:id="181" w:name="_Toc102538139"/>
      <w:bookmarkStart w:id="182" w:name="_Toc146533367"/>
      <w:bookmarkStart w:id="183" w:name="_Toc272480090"/>
      <w:r>
        <w:rPr>
          <w:rStyle w:val="CharSectno"/>
        </w:rPr>
        <w:t>11</w:t>
      </w:r>
      <w:r>
        <w:rPr>
          <w:snapToGrid w:val="0"/>
        </w:rPr>
        <w:t>.</w:t>
      </w:r>
      <w:r>
        <w:rPr>
          <w:snapToGrid w:val="0"/>
        </w:rPr>
        <w:tab/>
        <w:t>Proceedings before Tribunal</w:t>
      </w:r>
      <w:bookmarkEnd w:id="179"/>
      <w:bookmarkEnd w:id="180"/>
      <w:bookmarkEnd w:id="181"/>
      <w:bookmarkEnd w:id="182"/>
      <w:bookmarkEnd w:id="183"/>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84" w:name="_Toc487527735"/>
      <w:bookmarkStart w:id="185" w:name="_Toc526931908"/>
      <w:bookmarkStart w:id="186" w:name="_Toc102538140"/>
      <w:bookmarkStart w:id="187" w:name="_Toc146533368"/>
      <w:bookmarkStart w:id="188" w:name="_Toc272480091"/>
      <w:r>
        <w:rPr>
          <w:rStyle w:val="CharSectno"/>
        </w:rPr>
        <w:t>12</w:t>
      </w:r>
      <w:r>
        <w:rPr>
          <w:snapToGrid w:val="0"/>
        </w:rPr>
        <w:t>.</w:t>
      </w:r>
      <w:r>
        <w:rPr>
          <w:snapToGrid w:val="0"/>
        </w:rPr>
        <w:tab/>
        <w:t>Appeals which are not to be heard by Tribunal</w:t>
      </w:r>
      <w:bookmarkEnd w:id="184"/>
      <w:bookmarkEnd w:id="185"/>
      <w:bookmarkEnd w:id="186"/>
      <w:bookmarkEnd w:id="187"/>
      <w:bookmarkEnd w:id="188"/>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89" w:name="_Toc487527736"/>
      <w:bookmarkStart w:id="190" w:name="_Toc526931909"/>
      <w:r>
        <w:tab/>
        <w:t>[Section 12 amended by No. 35 of 2003 s. 182.]</w:t>
      </w:r>
    </w:p>
    <w:p>
      <w:pPr>
        <w:pStyle w:val="Heading5"/>
        <w:rPr>
          <w:snapToGrid w:val="0"/>
        </w:rPr>
      </w:pPr>
      <w:bookmarkStart w:id="191" w:name="_Toc102538141"/>
      <w:bookmarkStart w:id="192" w:name="_Toc146533369"/>
      <w:bookmarkStart w:id="193" w:name="_Toc272480092"/>
      <w:r>
        <w:rPr>
          <w:rStyle w:val="CharSectno"/>
        </w:rPr>
        <w:t>13</w:t>
      </w:r>
      <w:r>
        <w:rPr>
          <w:snapToGrid w:val="0"/>
        </w:rPr>
        <w:t>.</w:t>
      </w:r>
      <w:r>
        <w:rPr>
          <w:snapToGrid w:val="0"/>
        </w:rPr>
        <w:tab/>
        <w:t>Appeals which shall be heard by Tribunal</w:t>
      </w:r>
      <w:bookmarkEnd w:id="189"/>
      <w:bookmarkEnd w:id="190"/>
      <w:bookmarkEnd w:id="191"/>
      <w:bookmarkEnd w:id="192"/>
      <w:bookmarkEnd w:id="193"/>
    </w:p>
    <w:p>
      <w:pPr>
        <w:pStyle w:val="Subsection"/>
        <w:rPr>
          <w:snapToGrid w:val="0"/>
        </w:rPr>
      </w:pPr>
      <w:r>
        <w:rPr>
          <w:snapToGrid w:val="0"/>
        </w:rPr>
        <w:tab/>
        <w:t>(1)</w:t>
      </w:r>
      <w:r>
        <w:rPr>
          <w:snapToGrid w:val="0"/>
        </w:rPr>
        <w:tab/>
        <w:t xml:space="preserve">A person (in this Part referred to as </w:t>
      </w:r>
      <w:r>
        <w:t>the</w:t>
      </w:r>
      <w:r>
        <w:rPr>
          <w:rStyle w:val="CharDefText"/>
        </w:rPr>
        <w:t xml:space="preserve"> 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94" w:name="_Toc487527737"/>
      <w:bookmarkStart w:id="195" w:name="_Toc526931910"/>
      <w:r>
        <w:tab/>
        <w:t>[Section 13 amended by No. 35 of 2003 s. 183.]</w:t>
      </w:r>
    </w:p>
    <w:p>
      <w:pPr>
        <w:pStyle w:val="Heading5"/>
        <w:rPr>
          <w:snapToGrid w:val="0"/>
        </w:rPr>
      </w:pPr>
      <w:bookmarkStart w:id="196" w:name="_Toc102538142"/>
      <w:bookmarkStart w:id="197" w:name="_Toc146533370"/>
      <w:bookmarkStart w:id="198" w:name="_Toc272480093"/>
      <w:r>
        <w:rPr>
          <w:rStyle w:val="CharSectno"/>
        </w:rPr>
        <w:t>14</w:t>
      </w:r>
      <w:r>
        <w:rPr>
          <w:snapToGrid w:val="0"/>
        </w:rPr>
        <w:t>.</w:t>
      </w:r>
      <w:r>
        <w:rPr>
          <w:snapToGrid w:val="0"/>
        </w:rPr>
        <w:tab/>
        <w:t>Determination of an appeal</w:t>
      </w:r>
      <w:bookmarkEnd w:id="194"/>
      <w:bookmarkEnd w:id="195"/>
      <w:bookmarkEnd w:id="196"/>
      <w:bookmarkEnd w:id="197"/>
      <w:bookmarkEnd w:id="198"/>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99" w:name="_Toc487527738"/>
      <w:bookmarkStart w:id="200" w:name="_Toc526931911"/>
      <w:r>
        <w:tab/>
        <w:t>[Section 14 amended by No. 35 of 2003 s. 184.]</w:t>
      </w:r>
    </w:p>
    <w:p>
      <w:pPr>
        <w:pStyle w:val="Heading5"/>
        <w:rPr>
          <w:snapToGrid w:val="0"/>
        </w:rPr>
      </w:pPr>
      <w:bookmarkStart w:id="201" w:name="_Toc102538143"/>
      <w:bookmarkStart w:id="202" w:name="_Toc146533371"/>
      <w:bookmarkStart w:id="203" w:name="_Toc272480094"/>
      <w:r>
        <w:rPr>
          <w:rStyle w:val="CharSectno"/>
        </w:rPr>
        <w:t>15</w:t>
      </w:r>
      <w:r>
        <w:rPr>
          <w:snapToGrid w:val="0"/>
        </w:rPr>
        <w:t>.</w:t>
      </w:r>
      <w:r>
        <w:rPr>
          <w:snapToGrid w:val="0"/>
        </w:rPr>
        <w:tab/>
        <w:t>Other avenues of appeal may no longer be applicable</w:t>
      </w:r>
      <w:bookmarkEnd w:id="199"/>
      <w:bookmarkEnd w:id="200"/>
      <w:bookmarkEnd w:id="201"/>
      <w:bookmarkEnd w:id="202"/>
      <w:bookmarkEnd w:id="203"/>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pPr>
      <w:bookmarkStart w:id="204" w:name="_Toc89505477"/>
      <w:bookmarkStart w:id="205" w:name="_Toc89505519"/>
      <w:bookmarkStart w:id="206" w:name="_Toc89585132"/>
      <w:bookmarkStart w:id="207" w:name="_Toc102465884"/>
      <w:bookmarkStart w:id="208" w:name="_Toc102538144"/>
      <w:bookmarkStart w:id="209" w:name="_Toc139346314"/>
      <w:bookmarkStart w:id="210" w:name="_Toc139700524"/>
      <w:bookmarkStart w:id="211" w:name="_Toc142276076"/>
      <w:bookmarkStart w:id="212" w:name="_Toc142276988"/>
      <w:bookmarkStart w:id="213" w:name="_Toc143058017"/>
      <w:bookmarkStart w:id="214" w:name="_Toc143058126"/>
      <w:bookmarkStart w:id="215" w:name="_Toc143398782"/>
      <w:bookmarkStart w:id="216" w:name="_Toc146533372"/>
      <w:bookmarkStart w:id="217" w:name="_Toc157328036"/>
      <w:bookmarkStart w:id="218" w:name="_Toc157328101"/>
      <w:bookmarkStart w:id="219" w:name="_Toc158003253"/>
      <w:bookmarkStart w:id="220" w:name="_Toc162949582"/>
      <w:bookmarkStart w:id="221" w:name="_Toc162949624"/>
      <w:bookmarkStart w:id="222" w:name="_Toc162949666"/>
      <w:bookmarkStart w:id="223" w:name="_Toc163010917"/>
      <w:bookmarkStart w:id="224" w:name="_Toc170529734"/>
      <w:bookmarkStart w:id="225" w:name="_Toc199755574"/>
      <w:bookmarkStart w:id="226" w:name="_Toc223932422"/>
      <w:bookmarkStart w:id="227" w:name="_Toc241285626"/>
      <w:bookmarkStart w:id="228" w:name="_Toc241285667"/>
      <w:bookmarkStart w:id="229" w:name="_Toc241285742"/>
      <w:bookmarkStart w:id="230" w:name="_Toc259703977"/>
      <w:bookmarkStart w:id="231" w:name="_Toc261351068"/>
      <w:bookmarkStart w:id="232" w:name="_Toc261848554"/>
      <w:bookmarkStart w:id="233" w:name="_Toc265220415"/>
      <w:bookmarkStart w:id="234" w:name="_Toc265220816"/>
      <w:bookmarkStart w:id="235" w:name="_Toc272480095"/>
      <w:r>
        <w:rPr>
          <w:rStyle w:val="CharDivNo"/>
        </w:rPr>
        <w:t>Division 3</w:t>
      </w:r>
      <w:r>
        <w:rPr>
          <w:snapToGrid w:val="0"/>
        </w:rPr>
        <w:t> — </w:t>
      </w:r>
      <w:r>
        <w:rPr>
          <w:rStyle w:val="CharDivText"/>
        </w:rPr>
        <w:t>Procedures and powers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487527739"/>
      <w:bookmarkStart w:id="237" w:name="_Toc526931912"/>
      <w:bookmarkStart w:id="238" w:name="_Toc102538145"/>
      <w:bookmarkStart w:id="239" w:name="_Toc146533373"/>
      <w:bookmarkStart w:id="240" w:name="_Toc272480096"/>
      <w:r>
        <w:rPr>
          <w:rStyle w:val="CharSectno"/>
        </w:rPr>
        <w:t>16</w:t>
      </w:r>
      <w:r>
        <w:rPr>
          <w:snapToGrid w:val="0"/>
        </w:rPr>
        <w:t>.</w:t>
      </w:r>
      <w:r>
        <w:rPr>
          <w:snapToGrid w:val="0"/>
        </w:rPr>
        <w:tab/>
        <w:t>Procedure on making an appeal</w:t>
      </w:r>
      <w:bookmarkEnd w:id="236"/>
      <w:bookmarkEnd w:id="237"/>
      <w:bookmarkEnd w:id="238"/>
      <w:bookmarkEnd w:id="239"/>
      <w:bookmarkEnd w:id="240"/>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241" w:name="_Toc487527740"/>
      <w:bookmarkStart w:id="242" w:name="_Toc526931913"/>
      <w:r>
        <w:tab/>
        <w:t>[Section 16 amended by No. 35 of 2003 s. 186; No. 65 of 2003 s. 58(2); No. 21 of 2008 s. 695(3).]</w:t>
      </w:r>
    </w:p>
    <w:p>
      <w:pPr>
        <w:pStyle w:val="Heading5"/>
        <w:rPr>
          <w:snapToGrid w:val="0"/>
        </w:rPr>
      </w:pPr>
      <w:bookmarkStart w:id="243" w:name="_Toc102538146"/>
      <w:bookmarkStart w:id="244" w:name="_Toc146533374"/>
      <w:bookmarkStart w:id="245" w:name="_Toc272480097"/>
      <w:r>
        <w:rPr>
          <w:rStyle w:val="CharSectno"/>
        </w:rPr>
        <w:t>17</w:t>
      </w:r>
      <w:r>
        <w:rPr>
          <w:snapToGrid w:val="0"/>
        </w:rPr>
        <w:t>.</w:t>
      </w:r>
      <w:r>
        <w:rPr>
          <w:snapToGrid w:val="0"/>
        </w:rPr>
        <w:tab/>
        <w:t>Hearing powers</w:t>
      </w:r>
      <w:bookmarkEnd w:id="241"/>
      <w:bookmarkEnd w:id="242"/>
      <w:bookmarkEnd w:id="243"/>
      <w:bookmarkEnd w:id="244"/>
      <w:bookmarkEnd w:id="245"/>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bookmarkStart w:id="246" w:name="_Toc487527741"/>
      <w:bookmarkStart w:id="247" w:name="_Toc526931914"/>
      <w:r>
        <w:tab/>
        <w:t>[Section 17 amended by No. 35 of 2003 s. 187.]</w:t>
      </w:r>
    </w:p>
    <w:p>
      <w:pPr>
        <w:pStyle w:val="Heading5"/>
        <w:rPr>
          <w:snapToGrid w:val="0"/>
        </w:rPr>
      </w:pPr>
      <w:bookmarkStart w:id="248" w:name="_Toc102538147"/>
      <w:bookmarkStart w:id="249" w:name="_Toc146533375"/>
      <w:bookmarkStart w:id="250" w:name="_Toc272480098"/>
      <w:r>
        <w:rPr>
          <w:rStyle w:val="CharSectno"/>
        </w:rPr>
        <w:t>18</w:t>
      </w:r>
      <w:r>
        <w:rPr>
          <w:snapToGrid w:val="0"/>
        </w:rPr>
        <w:t>.</w:t>
      </w:r>
      <w:r>
        <w:rPr>
          <w:snapToGrid w:val="0"/>
        </w:rPr>
        <w:tab/>
        <w:t>Withdrawal of appeals</w:t>
      </w:r>
      <w:bookmarkEnd w:id="246"/>
      <w:bookmarkEnd w:id="247"/>
      <w:bookmarkEnd w:id="248"/>
      <w:bookmarkEnd w:id="249"/>
      <w:bookmarkEnd w:id="250"/>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251" w:name="_Toc487527742"/>
      <w:bookmarkStart w:id="252" w:name="_Toc526931915"/>
      <w:bookmarkStart w:id="253" w:name="_Toc102538148"/>
      <w:bookmarkStart w:id="254" w:name="_Toc146533376"/>
      <w:bookmarkStart w:id="255" w:name="_Toc272480099"/>
      <w:r>
        <w:rPr>
          <w:rStyle w:val="CharSectno"/>
        </w:rPr>
        <w:t>19</w:t>
      </w:r>
      <w:r>
        <w:rPr>
          <w:snapToGrid w:val="0"/>
        </w:rPr>
        <w:t>.</w:t>
      </w:r>
      <w:r>
        <w:rPr>
          <w:snapToGrid w:val="0"/>
        </w:rPr>
        <w:tab/>
        <w:t>Disobedience to determinations of Tribunal</w:t>
      </w:r>
      <w:bookmarkEnd w:id="251"/>
      <w:bookmarkEnd w:id="252"/>
      <w:bookmarkEnd w:id="253"/>
      <w:bookmarkEnd w:id="254"/>
      <w:bookmarkEnd w:id="255"/>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256" w:name="_Toc89505482"/>
      <w:bookmarkStart w:id="257" w:name="_Toc89505524"/>
      <w:bookmarkStart w:id="258" w:name="_Toc89585137"/>
      <w:bookmarkStart w:id="259" w:name="_Toc102465889"/>
      <w:bookmarkStart w:id="260" w:name="_Toc102538149"/>
      <w:bookmarkStart w:id="261" w:name="_Toc139346319"/>
      <w:bookmarkStart w:id="262" w:name="_Toc139700529"/>
      <w:bookmarkStart w:id="263" w:name="_Toc142276081"/>
      <w:bookmarkStart w:id="264" w:name="_Toc142276993"/>
      <w:bookmarkStart w:id="265" w:name="_Toc143058022"/>
      <w:bookmarkStart w:id="266" w:name="_Toc143058131"/>
      <w:bookmarkStart w:id="267" w:name="_Toc143398787"/>
      <w:bookmarkStart w:id="268" w:name="_Toc146533377"/>
      <w:bookmarkStart w:id="269" w:name="_Toc157328041"/>
      <w:bookmarkStart w:id="270" w:name="_Toc157328106"/>
      <w:bookmarkStart w:id="271" w:name="_Toc158003258"/>
      <w:bookmarkStart w:id="272" w:name="_Toc162949587"/>
      <w:bookmarkStart w:id="273" w:name="_Toc162949629"/>
      <w:bookmarkStart w:id="274" w:name="_Toc162949671"/>
      <w:bookmarkStart w:id="275" w:name="_Toc163010922"/>
      <w:bookmarkStart w:id="276" w:name="_Toc170529739"/>
      <w:bookmarkStart w:id="277" w:name="_Toc199755579"/>
      <w:bookmarkStart w:id="278" w:name="_Toc223932427"/>
      <w:bookmarkStart w:id="279" w:name="_Toc241285631"/>
      <w:bookmarkStart w:id="280" w:name="_Toc241285672"/>
      <w:bookmarkStart w:id="281" w:name="_Toc241285747"/>
      <w:bookmarkStart w:id="282" w:name="_Toc259703982"/>
      <w:bookmarkStart w:id="283" w:name="_Toc261351073"/>
      <w:bookmarkStart w:id="284" w:name="_Toc261848559"/>
      <w:bookmarkStart w:id="285" w:name="_Toc265220420"/>
      <w:bookmarkStart w:id="286" w:name="_Toc265220821"/>
      <w:bookmarkStart w:id="287" w:name="_Toc272480100"/>
      <w:r>
        <w:rPr>
          <w:rStyle w:val="CharPartNo"/>
        </w:rPr>
        <w:t>Part 3</w:t>
      </w:r>
      <w:r>
        <w:rPr>
          <w:rStyle w:val="CharDivNo"/>
        </w:rPr>
        <w:t> </w:t>
      </w:r>
      <w:r>
        <w:t>—</w:t>
      </w:r>
      <w:r>
        <w:rPr>
          <w:rStyle w:val="CharDivText"/>
        </w:rPr>
        <w:t> </w:t>
      </w:r>
      <w:r>
        <w:rPr>
          <w:rStyle w:val="CharPartText"/>
        </w:rPr>
        <w:t>Miscellaneous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487527743"/>
      <w:bookmarkStart w:id="289" w:name="_Toc526931916"/>
      <w:bookmarkStart w:id="290" w:name="_Toc102538150"/>
      <w:bookmarkStart w:id="291" w:name="_Toc146533378"/>
      <w:bookmarkStart w:id="292" w:name="_Toc272480101"/>
      <w:r>
        <w:rPr>
          <w:rStyle w:val="CharSectno"/>
        </w:rPr>
        <w:t>20</w:t>
      </w:r>
      <w:r>
        <w:rPr>
          <w:snapToGrid w:val="0"/>
        </w:rPr>
        <w:t>.</w:t>
      </w:r>
      <w:r>
        <w:rPr>
          <w:snapToGrid w:val="0"/>
        </w:rPr>
        <w:tab/>
        <w:t>Offences</w:t>
      </w:r>
      <w:bookmarkEnd w:id="288"/>
      <w:bookmarkEnd w:id="289"/>
      <w:bookmarkEnd w:id="290"/>
      <w:bookmarkEnd w:id="291"/>
      <w:bookmarkEnd w:id="292"/>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93" w:name="_Toc487527744"/>
      <w:bookmarkStart w:id="294" w:name="_Toc526931917"/>
      <w:bookmarkStart w:id="295" w:name="_Toc102538151"/>
      <w:bookmarkStart w:id="296" w:name="_Toc146533379"/>
      <w:bookmarkStart w:id="297" w:name="_Toc272480102"/>
      <w:r>
        <w:rPr>
          <w:rStyle w:val="CharSectno"/>
        </w:rPr>
        <w:t>21</w:t>
      </w:r>
      <w:r>
        <w:rPr>
          <w:snapToGrid w:val="0"/>
        </w:rPr>
        <w:t>.</w:t>
      </w:r>
      <w:r>
        <w:rPr>
          <w:snapToGrid w:val="0"/>
        </w:rPr>
        <w:tab/>
        <w:t>Reasons for determinations</w:t>
      </w:r>
      <w:bookmarkEnd w:id="293"/>
      <w:bookmarkEnd w:id="294"/>
      <w:bookmarkEnd w:id="295"/>
      <w:bookmarkEnd w:id="296"/>
      <w:bookmarkEnd w:id="297"/>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98" w:name="_Toc487527745"/>
      <w:bookmarkStart w:id="299" w:name="_Toc526931918"/>
      <w:bookmarkStart w:id="300" w:name="_Toc102538152"/>
      <w:bookmarkStart w:id="301" w:name="_Toc146533380"/>
      <w:bookmarkStart w:id="302" w:name="_Toc272480103"/>
      <w:r>
        <w:rPr>
          <w:rStyle w:val="CharSectno"/>
        </w:rPr>
        <w:t>22</w:t>
      </w:r>
      <w:r>
        <w:rPr>
          <w:snapToGrid w:val="0"/>
        </w:rPr>
        <w:t>.</w:t>
      </w:r>
      <w:r>
        <w:rPr>
          <w:snapToGrid w:val="0"/>
        </w:rPr>
        <w:tab/>
        <w:t>Protection</w:t>
      </w:r>
      <w:bookmarkEnd w:id="298"/>
      <w:bookmarkEnd w:id="299"/>
      <w:bookmarkEnd w:id="300"/>
      <w:bookmarkEnd w:id="301"/>
      <w:bookmarkEnd w:id="302"/>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303" w:name="_Toc487527746"/>
      <w:bookmarkStart w:id="304" w:name="_Toc526931919"/>
      <w:bookmarkStart w:id="305" w:name="_Toc102538153"/>
      <w:bookmarkStart w:id="306" w:name="_Toc146533381"/>
      <w:bookmarkStart w:id="307" w:name="_Toc272480104"/>
      <w:r>
        <w:rPr>
          <w:rStyle w:val="CharSectno"/>
        </w:rPr>
        <w:t>23</w:t>
      </w:r>
      <w:r>
        <w:rPr>
          <w:snapToGrid w:val="0"/>
        </w:rPr>
        <w:t>.</w:t>
      </w:r>
      <w:r>
        <w:rPr>
          <w:snapToGrid w:val="0"/>
        </w:rPr>
        <w:tab/>
        <w:t>Evidentiary provisions, and recovery of moneys ordered to be paid</w:t>
      </w:r>
      <w:bookmarkEnd w:id="303"/>
      <w:bookmarkEnd w:id="304"/>
      <w:bookmarkEnd w:id="305"/>
      <w:bookmarkEnd w:id="306"/>
      <w:bookmarkEnd w:id="307"/>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by No. 59 of 2004 s. 142.]</w:t>
      </w:r>
    </w:p>
    <w:p>
      <w:pPr>
        <w:pStyle w:val="Heading5"/>
        <w:spacing w:before="240"/>
        <w:rPr>
          <w:snapToGrid w:val="0"/>
        </w:rPr>
      </w:pPr>
      <w:bookmarkStart w:id="308" w:name="_Toc487527747"/>
      <w:bookmarkStart w:id="309" w:name="_Toc526931920"/>
      <w:bookmarkStart w:id="310" w:name="_Toc102538154"/>
      <w:bookmarkStart w:id="311" w:name="_Toc146533382"/>
      <w:bookmarkStart w:id="312" w:name="_Toc272480105"/>
      <w:r>
        <w:rPr>
          <w:rStyle w:val="CharSectno"/>
        </w:rPr>
        <w:t>24</w:t>
      </w:r>
      <w:r>
        <w:rPr>
          <w:snapToGrid w:val="0"/>
        </w:rPr>
        <w:t>.</w:t>
      </w:r>
      <w:r>
        <w:rPr>
          <w:snapToGrid w:val="0"/>
        </w:rPr>
        <w:tab/>
        <w:t>Finance and audit</w:t>
      </w:r>
      <w:bookmarkEnd w:id="308"/>
      <w:bookmarkEnd w:id="309"/>
      <w:bookmarkEnd w:id="310"/>
      <w:bookmarkEnd w:id="311"/>
      <w:bookmarkEnd w:id="312"/>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by No. 11 of 1992 s. 71; No. 49 of 1996 s. 59; No. 35 of 2003 s. 189; No. 28 of 2006 s. 407; No. 77 of 2006 Sch. 1 cl. 143(2)</w:t>
      </w:r>
      <w:r>
        <w:noBreakHyphen/>
        <w:t>(4); No. 2 of 2007 s. 7.]</w:t>
      </w:r>
    </w:p>
    <w:p>
      <w:pPr>
        <w:pStyle w:val="Heading5"/>
        <w:rPr>
          <w:snapToGrid w:val="0"/>
        </w:rPr>
      </w:pPr>
      <w:bookmarkStart w:id="313" w:name="_Toc487527748"/>
      <w:bookmarkStart w:id="314" w:name="_Toc526931921"/>
      <w:bookmarkStart w:id="315" w:name="_Toc102538155"/>
      <w:bookmarkStart w:id="316" w:name="_Toc146533383"/>
      <w:bookmarkStart w:id="317" w:name="_Toc272480106"/>
      <w:r>
        <w:rPr>
          <w:rStyle w:val="CharSectno"/>
        </w:rPr>
        <w:t>25</w:t>
      </w:r>
      <w:r>
        <w:rPr>
          <w:snapToGrid w:val="0"/>
        </w:rPr>
        <w:t>.</w:t>
      </w:r>
      <w:r>
        <w:rPr>
          <w:snapToGrid w:val="0"/>
        </w:rPr>
        <w:tab/>
        <w:t>Regulations</w:t>
      </w:r>
      <w:bookmarkEnd w:id="313"/>
      <w:bookmarkEnd w:id="314"/>
      <w:bookmarkEnd w:id="315"/>
      <w:bookmarkEnd w:id="316"/>
      <w:bookmarkEnd w:id="31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318" w:name="_Toc487527749"/>
      <w:bookmarkStart w:id="319" w:name="_Toc526931922"/>
      <w:r>
        <w:tab/>
        <w:t>[Section 25 amended by No. 35 of 2003 s. 190; No. 65 of 2003 s. 58(3); No. 21 of 2008 s. 695(4).]</w:t>
      </w:r>
    </w:p>
    <w:p>
      <w:pPr>
        <w:pStyle w:val="Heading5"/>
        <w:rPr>
          <w:snapToGrid w:val="0"/>
        </w:rPr>
      </w:pPr>
      <w:bookmarkStart w:id="320" w:name="_Toc102538156"/>
      <w:bookmarkStart w:id="321" w:name="_Toc146533384"/>
      <w:bookmarkStart w:id="322" w:name="_Toc272480107"/>
      <w:r>
        <w:rPr>
          <w:rStyle w:val="CharSectno"/>
        </w:rPr>
        <w:t>26</w:t>
      </w:r>
      <w:r>
        <w:rPr>
          <w:snapToGrid w:val="0"/>
        </w:rPr>
        <w:t>.</w:t>
      </w:r>
      <w:r>
        <w:rPr>
          <w:snapToGrid w:val="0"/>
        </w:rPr>
        <w:tab/>
        <w:t>Transitional</w:t>
      </w:r>
      <w:bookmarkEnd w:id="318"/>
      <w:bookmarkEnd w:id="319"/>
      <w:bookmarkEnd w:id="320"/>
      <w:bookmarkEnd w:id="321"/>
      <w:bookmarkEnd w:id="322"/>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by No. 35 of 2003 s. 191.]</w:t>
      </w:r>
    </w:p>
    <w:p>
      <w:pPr>
        <w:pStyle w:val="Ednotesection"/>
        <w:ind w:left="0" w:firstLine="0"/>
      </w:pPr>
      <w:r>
        <w:t>[</w:t>
      </w:r>
      <w:r>
        <w:rPr>
          <w:b/>
        </w:rPr>
        <w:t>28, 29.</w:t>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23" w:name="_Toc102538157"/>
      <w:bookmarkStart w:id="324" w:name="_Toc139346327"/>
      <w:bookmarkStart w:id="325" w:name="_Toc139700537"/>
      <w:bookmarkStart w:id="326" w:name="_Toc142276089"/>
      <w:bookmarkStart w:id="327" w:name="_Toc142277001"/>
      <w:bookmarkStart w:id="328" w:name="_Toc143058030"/>
      <w:bookmarkStart w:id="329" w:name="_Toc143058139"/>
      <w:bookmarkStart w:id="330" w:name="_Toc143398795"/>
      <w:bookmarkStart w:id="331" w:name="_Toc146533385"/>
      <w:bookmarkStart w:id="332" w:name="_Toc157328049"/>
      <w:bookmarkStart w:id="333" w:name="_Toc157328114"/>
      <w:bookmarkStart w:id="334" w:name="_Toc158003266"/>
      <w:bookmarkStart w:id="335" w:name="_Toc162949595"/>
      <w:bookmarkStart w:id="336" w:name="_Toc162949637"/>
      <w:bookmarkStart w:id="337" w:name="_Toc162949679"/>
      <w:bookmarkStart w:id="338" w:name="_Toc163010930"/>
      <w:bookmarkStart w:id="339" w:name="_Toc170529747"/>
      <w:bookmarkStart w:id="340" w:name="_Toc199755587"/>
      <w:bookmarkStart w:id="341" w:name="_Toc223932435"/>
      <w:bookmarkStart w:id="342" w:name="_Toc241285639"/>
      <w:bookmarkStart w:id="343" w:name="_Toc241285680"/>
      <w:bookmarkStart w:id="344" w:name="_Toc241285755"/>
      <w:bookmarkStart w:id="345" w:name="_Toc268249117"/>
      <w:bookmarkStart w:id="346" w:name="_Toc272312359"/>
      <w:bookmarkStart w:id="347" w:name="_Toc272480108"/>
      <w:bookmarkStart w:id="348" w:name="_Toc526931926"/>
      <w:bookmarkStart w:id="349" w:name="_Toc102538158"/>
      <w:bookmarkStart w:id="350" w:name="_Toc146533386"/>
      <w:r>
        <w:rPr>
          <w:rStyle w:val="CharSchNo"/>
        </w:rPr>
        <w:t>Schedule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t> — </w:t>
      </w:r>
      <w:r>
        <w:rPr>
          <w:rStyle w:val="CharSchText"/>
          <w:bCs/>
        </w:rPr>
        <w:t>Provisions with respect to the constitution and membership of the Racing Penalties Appeal Tribunal of Western Australia</w:t>
      </w:r>
      <w:bookmarkEnd w:id="345"/>
      <w:bookmarkEnd w:id="346"/>
      <w:bookmarkEnd w:id="347"/>
    </w:p>
    <w:p>
      <w:pPr>
        <w:pStyle w:val="yShoulderClause"/>
        <w:spacing w:before="100"/>
        <w:rPr>
          <w:snapToGrid w:val="0"/>
        </w:rPr>
      </w:pPr>
      <w:r>
        <w:rPr>
          <w:snapToGrid w:val="0"/>
        </w:rPr>
        <w:t>[s. 4(4)]</w:t>
      </w:r>
    </w:p>
    <w:p>
      <w:pPr>
        <w:pStyle w:val="yFootnoteheading"/>
      </w:pPr>
      <w:r>
        <w:tab/>
        <w:t>[Heading amended by No. 19 of 2010 s. 4.]</w:t>
      </w:r>
    </w:p>
    <w:p>
      <w:pPr>
        <w:pStyle w:val="yHeading5"/>
        <w:spacing w:before="240"/>
        <w:outlineLvl w:val="9"/>
        <w:rPr>
          <w:snapToGrid w:val="0"/>
        </w:rPr>
      </w:pPr>
      <w:bookmarkStart w:id="351" w:name="_Toc272480109"/>
      <w:r>
        <w:rPr>
          <w:rStyle w:val="CharSClsNo"/>
        </w:rPr>
        <w:t>1</w:t>
      </w:r>
      <w:r>
        <w:rPr>
          <w:snapToGrid w:val="0"/>
        </w:rPr>
        <w:t>.</w:t>
      </w:r>
      <w:r>
        <w:rPr>
          <w:snapToGrid w:val="0"/>
        </w:rPr>
        <w:tab/>
        <w:t>Public service officer may be member of a Tribunal</w:t>
      </w:r>
      <w:bookmarkEnd w:id="348"/>
      <w:bookmarkEnd w:id="349"/>
      <w:bookmarkEnd w:id="350"/>
      <w:bookmarkEnd w:id="351"/>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352" w:name="_Toc526931927"/>
      <w:bookmarkStart w:id="353" w:name="_Toc102538159"/>
      <w:r>
        <w:tab/>
        <w:t>[Clause 1 amended by No. 32 of 1994 s. 19.]</w:t>
      </w:r>
    </w:p>
    <w:p>
      <w:pPr>
        <w:pStyle w:val="yHeading5"/>
        <w:spacing w:before="240"/>
        <w:outlineLvl w:val="9"/>
        <w:rPr>
          <w:snapToGrid w:val="0"/>
        </w:rPr>
      </w:pPr>
      <w:bookmarkStart w:id="354" w:name="_Toc146533387"/>
      <w:bookmarkStart w:id="355" w:name="_Toc272480110"/>
      <w:r>
        <w:rPr>
          <w:snapToGrid w:val="0"/>
        </w:rPr>
        <w:t>2.</w:t>
      </w:r>
      <w:r>
        <w:rPr>
          <w:snapToGrid w:val="0"/>
        </w:rPr>
        <w:tab/>
        <w:t>Remuneration</w:t>
      </w:r>
      <w:bookmarkEnd w:id="352"/>
      <w:bookmarkEnd w:id="353"/>
      <w:bookmarkEnd w:id="354"/>
      <w:bookmarkEnd w:id="355"/>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356" w:name="_Toc526931928"/>
      <w:bookmarkStart w:id="357" w:name="_Toc102538160"/>
      <w:bookmarkStart w:id="358" w:name="_Toc146533388"/>
      <w:bookmarkStart w:id="359" w:name="_Toc272480111"/>
      <w:r>
        <w:rPr>
          <w:rStyle w:val="CharSClsNo"/>
        </w:rPr>
        <w:t>3</w:t>
      </w:r>
      <w:r>
        <w:rPr>
          <w:snapToGrid w:val="0"/>
        </w:rPr>
        <w:t>.</w:t>
      </w:r>
      <w:r>
        <w:rPr>
          <w:snapToGrid w:val="0"/>
        </w:rPr>
        <w:tab/>
        <w:t>Eligibility for, and vacation of, office and conditions of appointment</w:t>
      </w:r>
      <w:bookmarkEnd w:id="356"/>
      <w:bookmarkEnd w:id="357"/>
      <w:bookmarkEnd w:id="358"/>
      <w:bookmarkEnd w:id="359"/>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360" w:name="_Toc526931929"/>
      <w:bookmarkStart w:id="361" w:name="_Toc102538161"/>
      <w:bookmarkStart w:id="362" w:name="_Toc146533389"/>
      <w:bookmarkStart w:id="363" w:name="_Toc272480112"/>
      <w:r>
        <w:rPr>
          <w:rStyle w:val="CharSClsNo"/>
        </w:rPr>
        <w:t>4</w:t>
      </w:r>
      <w:r>
        <w:rPr>
          <w:snapToGrid w:val="0"/>
        </w:rPr>
        <w:t>.</w:t>
      </w:r>
      <w:r>
        <w:rPr>
          <w:snapToGrid w:val="0"/>
        </w:rPr>
        <w:tab/>
        <w:t>Removal from office</w:t>
      </w:r>
      <w:bookmarkEnd w:id="360"/>
      <w:bookmarkEnd w:id="361"/>
      <w:bookmarkEnd w:id="362"/>
      <w:bookmarkEnd w:id="363"/>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by No. 18 of 2009 s. 72.]</w:t>
      </w:r>
    </w:p>
    <w:p>
      <w:pPr>
        <w:pStyle w:val="yHeading5"/>
        <w:spacing w:before="240"/>
        <w:outlineLvl w:val="9"/>
        <w:rPr>
          <w:snapToGrid w:val="0"/>
        </w:rPr>
      </w:pPr>
      <w:bookmarkStart w:id="364" w:name="_Toc526931930"/>
      <w:bookmarkStart w:id="365" w:name="_Toc102538162"/>
      <w:bookmarkStart w:id="366" w:name="_Toc146533390"/>
      <w:bookmarkStart w:id="367" w:name="_Toc272480113"/>
      <w:r>
        <w:rPr>
          <w:rStyle w:val="CharSClsNo"/>
        </w:rPr>
        <w:t>5</w:t>
      </w:r>
      <w:r>
        <w:rPr>
          <w:snapToGrid w:val="0"/>
        </w:rPr>
        <w:t>.</w:t>
      </w:r>
      <w:r>
        <w:rPr>
          <w:snapToGrid w:val="0"/>
        </w:rPr>
        <w:tab/>
        <w:t>Validity of proceedings etc.</w:t>
      </w:r>
      <w:bookmarkEnd w:id="364"/>
      <w:bookmarkEnd w:id="365"/>
      <w:bookmarkEnd w:id="366"/>
      <w:bookmarkEnd w:id="367"/>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68" w:name="_Toc526931931"/>
      <w:bookmarkStart w:id="369" w:name="_Toc102538163"/>
      <w:bookmarkStart w:id="370" w:name="_Toc146533391"/>
      <w:bookmarkStart w:id="371" w:name="_Toc272480114"/>
      <w:r>
        <w:rPr>
          <w:rStyle w:val="CharSClsNo"/>
        </w:rPr>
        <w:t>6</w:t>
      </w:r>
      <w:r>
        <w:rPr>
          <w:snapToGrid w:val="0"/>
        </w:rPr>
        <w:t>.</w:t>
      </w:r>
      <w:r>
        <w:rPr>
          <w:snapToGrid w:val="0"/>
        </w:rPr>
        <w:tab/>
        <w:t>Presumptions</w:t>
      </w:r>
      <w:bookmarkEnd w:id="368"/>
      <w:bookmarkEnd w:id="369"/>
      <w:bookmarkEnd w:id="370"/>
      <w:bookmarkEnd w:id="371"/>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bookmarkStart w:id="372" w:name="UpToHere"/>
      <w:bookmarkEnd w:id="372"/>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73" w:name="_Toc89505497"/>
      <w:bookmarkStart w:id="374" w:name="_Toc89505539"/>
      <w:bookmarkStart w:id="375" w:name="_Toc89585152"/>
      <w:bookmarkStart w:id="376" w:name="_Toc102465904"/>
      <w:bookmarkStart w:id="377" w:name="_Toc102538164"/>
      <w:bookmarkStart w:id="378" w:name="_Toc139346334"/>
      <w:bookmarkStart w:id="379" w:name="_Toc139700544"/>
      <w:bookmarkStart w:id="380" w:name="_Toc142276096"/>
      <w:bookmarkStart w:id="381" w:name="_Toc142277008"/>
      <w:bookmarkStart w:id="382" w:name="_Toc143058037"/>
      <w:bookmarkStart w:id="383" w:name="_Toc143058146"/>
      <w:bookmarkStart w:id="384" w:name="_Toc143398802"/>
      <w:bookmarkStart w:id="385" w:name="_Toc146533392"/>
      <w:bookmarkStart w:id="386" w:name="_Toc157328056"/>
      <w:bookmarkStart w:id="387" w:name="_Toc157328121"/>
      <w:bookmarkStart w:id="388" w:name="_Toc158003273"/>
      <w:bookmarkStart w:id="389" w:name="_Toc162949602"/>
      <w:bookmarkStart w:id="390" w:name="_Toc162949644"/>
      <w:bookmarkStart w:id="391" w:name="_Toc162949686"/>
      <w:bookmarkStart w:id="392" w:name="_Toc163010937"/>
      <w:bookmarkStart w:id="393" w:name="_Toc170529754"/>
      <w:bookmarkStart w:id="394" w:name="_Toc199755594"/>
      <w:bookmarkStart w:id="395" w:name="_Toc223932442"/>
      <w:bookmarkStart w:id="396" w:name="_Toc241285646"/>
      <w:bookmarkStart w:id="397" w:name="_Toc241285687"/>
      <w:bookmarkStart w:id="398" w:name="_Toc241285762"/>
      <w:bookmarkStart w:id="399" w:name="_Toc259703997"/>
      <w:bookmarkStart w:id="400" w:name="_Toc261351088"/>
      <w:bookmarkStart w:id="401" w:name="_Toc261848574"/>
      <w:bookmarkStart w:id="402" w:name="_Toc265220435"/>
      <w:bookmarkStart w:id="403" w:name="_Toc265220836"/>
      <w:bookmarkStart w:id="404" w:name="_Toc272480115"/>
      <w:r>
        <w:t>Notes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rPr>
          <w:snapToGrid w:val="0"/>
        </w:rPr>
      </w:pPr>
      <w:bookmarkStart w:id="405" w:name="_Toc272480116"/>
      <w:r>
        <w:rPr>
          <w:snapToGrid w:val="0"/>
        </w:rPr>
        <w:t>Compilation table</w:t>
      </w:r>
      <w:bookmarkEnd w:id="4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Racing Penalties (Appeals) Act 1990</w:t>
            </w:r>
          </w:p>
        </w:tc>
        <w:tc>
          <w:tcPr>
            <w:tcW w:w="1134" w:type="dxa"/>
            <w:tcBorders>
              <w:top w:val="single" w:sz="8" w:space="0" w:color="auto"/>
            </w:tcBorders>
          </w:tcPr>
          <w:p>
            <w:pPr>
              <w:pStyle w:val="nTable"/>
              <w:spacing w:before="60" w:after="60"/>
              <w:rPr>
                <w:sz w:val="19"/>
              </w:rPr>
            </w:pPr>
            <w:r>
              <w:rPr>
                <w:sz w:val="19"/>
              </w:rPr>
              <w:t>46 of 1990</w:t>
            </w:r>
          </w:p>
        </w:tc>
        <w:tc>
          <w:tcPr>
            <w:tcW w:w="1134" w:type="dxa"/>
            <w:tcBorders>
              <w:top w:val="single" w:sz="8" w:space="0" w:color="auto"/>
            </w:tcBorders>
          </w:tcPr>
          <w:p>
            <w:pPr>
              <w:pStyle w:val="nTable"/>
              <w:spacing w:before="60" w:after="60"/>
              <w:rPr>
                <w:sz w:val="19"/>
              </w:rPr>
            </w:pPr>
            <w:r>
              <w:rPr>
                <w:sz w:val="19"/>
              </w:rPr>
              <w:t>26 Nov 1990</w:t>
            </w:r>
          </w:p>
        </w:tc>
        <w:tc>
          <w:tcPr>
            <w:tcW w:w="2552" w:type="dxa"/>
            <w:tcBorders>
              <w:top w:val="single" w:sz="8" w:space="0" w:color="auto"/>
            </w:tcBorders>
          </w:tcPr>
          <w:p>
            <w:pPr>
              <w:pStyle w:val="nTable"/>
              <w:spacing w:before="60" w:after="60"/>
              <w:rPr>
                <w:sz w:val="19"/>
              </w:rPr>
            </w:pPr>
            <w:r>
              <w:rPr>
                <w:sz w:val="19"/>
              </w:rPr>
              <w:t>s. 1 and 2: 26 Nov 1990;</w:t>
            </w:r>
            <w:r>
              <w:rPr>
                <w:sz w:val="19"/>
              </w:rPr>
              <w:br/>
              <w:t xml:space="preserve">Act other than s. 1 and 2: 15 Apr 1991 (see s. 2 and </w:t>
            </w:r>
            <w:r>
              <w:rPr>
                <w:i/>
                <w:sz w:val="19"/>
              </w:rPr>
              <w:t>Gazette</w:t>
            </w:r>
            <w:r>
              <w:rPr>
                <w:sz w:val="19"/>
              </w:rPr>
              <w:t xml:space="preserve"> 12 Apr 1991 p. 1597)</w:t>
            </w:r>
          </w:p>
        </w:tc>
      </w:tr>
      <w:tr>
        <w:trPr>
          <w:cantSplit/>
        </w:trPr>
        <w:tc>
          <w:tcPr>
            <w:tcW w:w="2269" w:type="dxa"/>
          </w:tcPr>
          <w:p>
            <w:pPr>
              <w:pStyle w:val="nTable"/>
              <w:spacing w:before="60" w:after="60"/>
              <w:ind w:right="113"/>
              <w:rPr>
                <w:sz w:val="19"/>
              </w:rPr>
            </w:pPr>
            <w:r>
              <w:rPr>
                <w:i/>
                <w:sz w:val="19"/>
              </w:rPr>
              <w:t>Acts Amendment and Repeal (Betting) Act 1992</w:t>
            </w:r>
            <w:r>
              <w:rPr>
                <w:sz w:val="19"/>
              </w:rPr>
              <w:t xml:space="preserve"> Pt. 6</w:t>
            </w:r>
          </w:p>
        </w:tc>
        <w:tc>
          <w:tcPr>
            <w:tcW w:w="1134" w:type="dxa"/>
          </w:tcPr>
          <w:p>
            <w:pPr>
              <w:pStyle w:val="nTable"/>
              <w:spacing w:before="60" w:after="60"/>
              <w:rPr>
                <w:sz w:val="19"/>
              </w:rPr>
            </w:pPr>
            <w:r>
              <w:rPr>
                <w:sz w:val="19"/>
              </w:rPr>
              <w:t>11 of 1992</w:t>
            </w:r>
          </w:p>
        </w:tc>
        <w:tc>
          <w:tcPr>
            <w:tcW w:w="1134" w:type="dxa"/>
          </w:tcPr>
          <w:p>
            <w:pPr>
              <w:pStyle w:val="nTable"/>
              <w:spacing w:before="60" w:after="60"/>
              <w:rPr>
                <w:sz w:val="19"/>
              </w:rPr>
            </w:pPr>
            <w:r>
              <w:rPr>
                <w:sz w:val="19"/>
              </w:rPr>
              <w:t>16 Jun 1992</w:t>
            </w:r>
          </w:p>
        </w:tc>
        <w:tc>
          <w:tcPr>
            <w:tcW w:w="2552" w:type="dxa"/>
          </w:tcPr>
          <w:p>
            <w:pPr>
              <w:pStyle w:val="nTable"/>
              <w:spacing w:before="60" w:after="60"/>
              <w:rPr>
                <w:sz w:val="19"/>
              </w:rPr>
            </w:pPr>
            <w:r>
              <w:rPr>
                <w:sz w:val="19"/>
              </w:rPr>
              <w:t xml:space="preserve">31 Jul 1992 (see s. 2(1) and </w:t>
            </w:r>
            <w:r>
              <w:rPr>
                <w:i/>
                <w:sz w:val="19"/>
              </w:rPr>
              <w:t>Gazette</w:t>
            </w:r>
            <w:r>
              <w:rPr>
                <w:sz w:val="19"/>
              </w:rPr>
              <w:t xml:space="preserve"> 31 Jul 1992 p. 3735)</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2"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2" w:type="dxa"/>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Financial Legislation Amendment Act 1996</w:t>
            </w:r>
            <w:r>
              <w:rPr>
                <w:sz w:val="19"/>
              </w:rPr>
              <w:t xml:space="preserve"> s. 59</w:t>
            </w:r>
          </w:p>
        </w:tc>
        <w:tc>
          <w:tcPr>
            <w:tcW w:w="1134" w:type="dxa"/>
          </w:tcPr>
          <w:p>
            <w:pPr>
              <w:pStyle w:val="nTable"/>
              <w:spacing w:before="60" w:after="60"/>
              <w:rPr>
                <w:sz w:val="19"/>
              </w:rPr>
            </w:pPr>
            <w:r>
              <w:rPr>
                <w:sz w:val="19"/>
              </w:rPr>
              <w:t>49 of 1996</w:t>
            </w:r>
          </w:p>
        </w:tc>
        <w:tc>
          <w:tcPr>
            <w:tcW w:w="1134" w:type="dxa"/>
          </w:tcPr>
          <w:p>
            <w:pPr>
              <w:pStyle w:val="nTable"/>
              <w:spacing w:before="60" w:after="60"/>
              <w:rPr>
                <w:sz w:val="19"/>
              </w:rPr>
            </w:pPr>
            <w:r>
              <w:rPr>
                <w:sz w:val="19"/>
              </w:rPr>
              <w:t>25 Oct 1996</w:t>
            </w:r>
          </w:p>
        </w:tc>
        <w:tc>
          <w:tcPr>
            <w:tcW w:w="2552" w:type="dxa"/>
          </w:tcPr>
          <w:p>
            <w:pPr>
              <w:pStyle w:val="nTable"/>
              <w:spacing w:before="60" w:after="60"/>
              <w:rPr>
                <w:sz w:val="19"/>
              </w:rPr>
            </w:pPr>
            <w:r>
              <w:rPr>
                <w:sz w:val="19"/>
              </w:rPr>
              <w:t>25 Oct 1996 (see s. 2(1))</w:t>
            </w:r>
          </w:p>
        </w:tc>
      </w:tr>
      <w:tr>
        <w:trPr>
          <w:cantSplit/>
        </w:trPr>
        <w:tc>
          <w:tcPr>
            <w:tcW w:w="2269" w:type="dxa"/>
          </w:tcPr>
          <w:p>
            <w:pPr>
              <w:pStyle w:val="nTable"/>
              <w:spacing w:before="60" w:after="60"/>
              <w:ind w:right="113"/>
              <w:rPr>
                <w:sz w:val="19"/>
              </w:rPr>
            </w:pPr>
            <w:r>
              <w:rPr>
                <w:i/>
                <w:sz w:val="19"/>
              </w:rPr>
              <w:t>Equal Opportunity Amendment Act (No. 3) 1997</w:t>
            </w:r>
            <w:r>
              <w:rPr>
                <w:sz w:val="19"/>
              </w:rPr>
              <w:t xml:space="preserve"> s. 8</w:t>
            </w:r>
          </w:p>
        </w:tc>
        <w:tc>
          <w:tcPr>
            <w:tcW w:w="1134" w:type="dxa"/>
          </w:tcPr>
          <w:p>
            <w:pPr>
              <w:pStyle w:val="nTable"/>
              <w:spacing w:before="60" w:after="60"/>
              <w:rPr>
                <w:sz w:val="19"/>
              </w:rPr>
            </w:pPr>
            <w:r>
              <w:rPr>
                <w:sz w:val="19"/>
              </w:rPr>
              <w:t>42 of 1997</w:t>
            </w:r>
          </w:p>
        </w:tc>
        <w:tc>
          <w:tcPr>
            <w:tcW w:w="1134" w:type="dxa"/>
          </w:tcPr>
          <w:p>
            <w:pPr>
              <w:pStyle w:val="nTable"/>
              <w:spacing w:before="60" w:after="60"/>
              <w:rPr>
                <w:sz w:val="19"/>
              </w:rPr>
            </w:pPr>
            <w:r>
              <w:rPr>
                <w:sz w:val="19"/>
              </w:rPr>
              <w:t>9 Dec 1997</w:t>
            </w:r>
          </w:p>
        </w:tc>
        <w:tc>
          <w:tcPr>
            <w:tcW w:w="2552" w:type="dxa"/>
          </w:tcPr>
          <w:p>
            <w:pPr>
              <w:pStyle w:val="nTable"/>
              <w:spacing w:before="60" w:after="60"/>
              <w:rPr>
                <w:sz w:val="19"/>
              </w:rPr>
            </w:pPr>
            <w:r>
              <w:rPr>
                <w:sz w:val="19"/>
              </w:rPr>
              <w:t>6 Jan 1998 (see s. 2(1))</w:t>
            </w:r>
          </w:p>
        </w:tc>
      </w:tr>
      <w:tr>
        <w:trPr>
          <w:cantSplit/>
        </w:trPr>
        <w:tc>
          <w:tcPr>
            <w:tcW w:w="2269" w:type="dxa"/>
          </w:tcPr>
          <w:p>
            <w:pPr>
              <w:pStyle w:val="nTable"/>
              <w:spacing w:before="60" w:after="60"/>
              <w:ind w:right="113"/>
              <w:rPr>
                <w:sz w:val="19"/>
              </w:rPr>
            </w:pPr>
            <w:r>
              <w:rPr>
                <w:i/>
                <w:sz w:val="19"/>
              </w:rPr>
              <w:t>Western Australian Greyhound Racing Association Amendment Act 1998</w:t>
            </w:r>
            <w:r>
              <w:rPr>
                <w:sz w:val="19"/>
              </w:rPr>
              <w:t xml:space="preserve"> s. 20</w:t>
            </w:r>
          </w:p>
        </w:tc>
        <w:tc>
          <w:tcPr>
            <w:tcW w:w="1134" w:type="dxa"/>
          </w:tcPr>
          <w:p>
            <w:pPr>
              <w:pStyle w:val="nTable"/>
              <w:spacing w:before="60" w:after="60"/>
              <w:rPr>
                <w:sz w:val="19"/>
              </w:rPr>
            </w:pPr>
            <w:r>
              <w:rPr>
                <w:sz w:val="19"/>
              </w:rPr>
              <w:t>23 of 1998</w:t>
            </w:r>
          </w:p>
        </w:tc>
        <w:tc>
          <w:tcPr>
            <w:tcW w:w="1134" w:type="dxa"/>
          </w:tcPr>
          <w:p>
            <w:pPr>
              <w:pStyle w:val="nTable"/>
              <w:spacing w:before="60" w:after="60"/>
              <w:rPr>
                <w:sz w:val="19"/>
              </w:rPr>
            </w:pPr>
            <w:r>
              <w:rPr>
                <w:sz w:val="19"/>
              </w:rPr>
              <w:t>30 Jun 1998</w:t>
            </w:r>
          </w:p>
        </w:tc>
        <w:tc>
          <w:tcPr>
            <w:tcW w:w="2552" w:type="dxa"/>
          </w:tcPr>
          <w:p>
            <w:pPr>
              <w:pStyle w:val="nTable"/>
              <w:spacing w:before="60" w:after="6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before="60" w:after="60"/>
              <w:ind w:right="113"/>
              <w:rPr>
                <w:i/>
                <w:sz w:val="19"/>
              </w:rPr>
            </w:pPr>
            <w:r>
              <w:rPr>
                <w:i/>
                <w:sz w:val="19"/>
              </w:rPr>
              <w:t>Statutes (Repeals and Minor Amendments) Act 2000</w:t>
            </w:r>
            <w:r>
              <w:rPr>
                <w:sz w:val="19"/>
              </w:rPr>
              <w:t xml:space="preserve"> s. 37</w:t>
            </w:r>
          </w:p>
        </w:tc>
        <w:tc>
          <w:tcPr>
            <w:tcW w:w="1134" w:type="dxa"/>
          </w:tcPr>
          <w:p>
            <w:pPr>
              <w:pStyle w:val="nTable"/>
              <w:spacing w:before="60" w:after="60"/>
              <w:rPr>
                <w:sz w:val="19"/>
              </w:rPr>
            </w:pPr>
            <w:r>
              <w:rPr>
                <w:sz w:val="19"/>
              </w:rPr>
              <w:t>24 of 2000</w:t>
            </w:r>
          </w:p>
        </w:tc>
        <w:tc>
          <w:tcPr>
            <w:tcW w:w="1134" w:type="dxa"/>
          </w:tcPr>
          <w:p>
            <w:pPr>
              <w:pStyle w:val="nTable"/>
              <w:spacing w:before="60" w:after="60"/>
              <w:rPr>
                <w:sz w:val="19"/>
              </w:rPr>
            </w:pPr>
            <w:r>
              <w:rPr>
                <w:sz w:val="19"/>
              </w:rPr>
              <w:t>4 Jul 2000</w:t>
            </w:r>
          </w:p>
        </w:tc>
        <w:tc>
          <w:tcPr>
            <w:tcW w:w="2552" w:type="dxa"/>
          </w:tcPr>
          <w:p>
            <w:pPr>
              <w:pStyle w:val="nTable"/>
              <w:spacing w:before="60" w:after="60"/>
              <w:rPr>
                <w:sz w:val="19"/>
              </w:rPr>
            </w:pPr>
            <w:r>
              <w:rPr>
                <w:sz w:val="19"/>
              </w:rPr>
              <w:t>4 Jul 2000 (see s. 2)</w:t>
            </w:r>
          </w:p>
        </w:tc>
      </w:tr>
      <w:tr>
        <w:trPr>
          <w:cantSplit/>
        </w:trPr>
        <w:tc>
          <w:tcPr>
            <w:tcW w:w="7089" w:type="dxa"/>
            <w:gridSpan w:val="4"/>
          </w:tcPr>
          <w:p>
            <w:pPr>
              <w:pStyle w:val="nTable"/>
              <w:spacing w:before="60" w:after="6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9" w:type="dxa"/>
          </w:tcPr>
          <w:p>
            <w:pPr>
              <w:pStyle w:val="nTable"/>
              <w:spacing w:after="36"/>
              <w:ind w:right="113"/>
              <w:rPr>
                <w:sz w:val="19"/>
              </w:rPr>
            </w:pPr>
            <w:r>
              <w:rPr>
                <w:i/>
                <w:sz w:val="19"/>
              </w:rPr>
              <w:t>Racing and Gambling Legislation Amendment and Repeal Act 2003</w:t>
            </w:r>
            <w:r>
              <w:rPr>
                <w:sz w:val="19"/>
              </w:rPr>
              <w:t xml:space="preserve"> Pt. 11</w:t>
            </w:r>
            <w:r>
              <w:rPr>
                <w:sz w:val="19"/>
                <w:vertAlign w:val="superscript"/>
              </w:rPr>
              <w:t> 3, 4</w:t>
            </w:r>
          </w:p>
        </w:tc>
        <w:tc>
          <w:tcPr>
            <w:tcW w:w="1134" w:type="dxa"/>
          </w:tcPr>
          <w:p>
            <w:pPr>
              <w:pStyle w:val="nTable"/>
              <w:spacing w:after="36"/>
              <w:rPr>
                <w:sz w:val="19"/>
              </w:rPr>
            </w:pPr>
            <w:r>
              <w:rPr>
                <w:sz w:val="19"/>
              </w:rPr>
              <w:t>35 of 2003</w:t>
            </w:r>
          </w:p>
        </w:tc>
        <w:tc>
          <w:tcPr>
            <w:tcW w:w="1134" w:type="dxa"/>
          </w:tcPr>
          <w:p>
            <w:pPr>
              <w:pStyle w:val="nTable"/>
              <w:spacing w:after="36"/>
              <w:rPr>
                <w:sz w:val="19"/>
              </w:rPr>
            </w:pPr>
            <w:r>
              <w:rPr>
                <w:sz w:val="19"/>
              </w:rPr>
              <w:t>26 Jun 2003</w:t>
            </w:r>
          </w:p>
        </w:tc>
        <w:tc>
          <w:tcPr>
            <w:tcW w:w="2552" w:type="dxa"/>
          </w:tcPr>
          <w:p>
            <w:pPr>
              <w:pStyle w:val="nTable"/>
              <w:spacing w:after="36"/>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9" w:type="dxa"/>
          </w:tcPr>
          <w:p>
            <w:pPr>
              <w:pStyle w:val="nTable"/>
              <w:spacing w:after="36"/>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36"/>
              <w:rPr>
                <w:sz w:val="19"/>
              </w:rPr>
            </w:pPr>
            <w:r>
              <w:rPr>
                <w:sz w:val="19"/>
              </w:rPr>
              <w:t>65 of 2003</w:t>
            </w:r>
          </w:p>
        </w:tc>
        <w:tc>
          <w:tcPr>
            <w:tcW w:w="1134" w:type="dxa"/>
          </w:tcPr>
          <w:p>
            <w:pPr>
              <w:pStyle w:val="nTable"/>
              <w:spacing w:after="36"/>
              <w:rPr>
                <w:sz w:val="19"/>
              </w:rPr>
            </w:pPr>
            <w:r>
              <w:rPr>
                <w:sz w:val="19"/>
              </w:rPr>
              <w:t>4 Dec 2003</w:t>
            </w:r>
          </w:p>
        </w:tc>
        <w:tc>
          <w:tcPr>
            <w:tcW w:w="2552" w:type="dxa"/>
          </w:tcPr>
          <w:p>
            <w:pPr>
              <w:pStyle w:val="nTable"/>
              <w:spacing w:after="36"/>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36"/>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36"/>
              <w:rPr>
                <w:sz w:val="19"/>
              </w:rPr>
            </w:pPr>
            <w:r>
              <w:rPr>
                <w:snapToGrid w:val="0"/>
                <w:sz w:val="19"/>
                <w:lang w:val="en-US"/>
              </w:rPr>
              <w:t>59 of 2004</w:t>
            </w:r>
          </w:p>
        </w:tc>
        <w:tc>
          <w:tcPr>
            <w:tcW w:w="1134" w:type="dxa"/>
          </w:tcPr>
          <w:p>
            <w:pPr>
              <w:pStyle w:val="nTable"/>
              <w:spacing w:after="36"/>
              <w:rPr>
                <w:sz w:val="19"/>
              </w:rPr>
            </w:pPr>
            <w:r>
              <w:rPr>
                <w:sz w:val="19"/>
              </w:rPr>
              <w:t>23 Nov 2004</w:t>
            </w:r>
          </w:p>
        </w:tc>
        <w:tc>
          <w:tcPr>
            <w:tcW w:w="2552" w:type="dxa"/>
          </w:tcPr>
          <w:p>
            <w:pPr>
              <w:pStyle w:val="nTable"/>
              <w:spacing w:after="36"/>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36"/>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36"/>
              <w:rPr>
                <w:snapToGrid w:val="0"/>
                <w:sz w:val="19"/>
                <w:lang w:val="en-US"/>
              </w:rPr>
            </w:pPr>
            <w:r>
              <w:rPr>
                <w:snapToGrid w:val="0"/>
                <w:sz w:val="19"/>
                <w:lang w:val="en-US"/>
              </w:rPr>
              <w:t>28 of 2006</w:t>
            </w:r>
          </w:p>
        </w:tc>
        <w:tc>
          <w:tcPr>
            <w:tcW w:w="1134" w:type="dxa"/>
          </w:tcPr>
          <w:p>
            <w:pPr>
              <w:pStyle w:val="nTable"/>
              <w:spacing w:after="36"/>
              <w:rPr>
                <w:sz w:val="19"/>
              </w:rPr>
            </w:pPr>
            <w:r>
              <w:rPr>
                <w:sz w:val="19"/>
              </w:rPr>
              <w:t>26 Jun 2006</w:t>
            </w:r>
          </w:p>
        </w:tc>
        <w:tc>
          <w:tcPr>
            <w:tcW w:w="2552" w:type="dxa"/>
          </w:tcPr>
          <w:p>
            <w:pPr>
              <w:pStyle w:val="nTable"/>
              <w:spacing w:after="36"/>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9" w:type="dxa"/>
            <w:gridSpan w:val="4"/>
          </w:tcPr>
          <w:p>
            <w:pPr>
              <w:pStyle w:val="nTable"/>
              <w:spacing w:after="36"/>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trPr>
        <w:tc>
          <w:tcPr>
            <w:tcW w:w="2269" w:type="dxa"/>
          </w:tcPr>
          <w:p>
            <w:pPr>
              <w:pStyle w:val="nTable"/>
              <w:spacing w:after="36"/>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143</w:t>
            </w:r>
          </w:p>
        </w:tc>
        <w:tc>
          <w:tcPr>
            <w:tcW w:w="1134" w:type="dxa"/>
          </w:tcPr>
          <w:p>
            <w:pPr>
              <w:pStyle w:val="nTable"/>
              <w:spacing w:after="36"/>
              <w:rPr>
                <w:snapToGrid w:val="0"/>
                <w:sz w:val="19"/>
                <w:lang w:val="en-US"/>
              </w:rPr>
            </w:pPr>
            <w:r>
              <w:rPr>
                <w:snapToGrid w:val="0"/>
                <w:sz w:val="19"/>
                <w:lang w:val="en-US"/>
              </w:rPr>
              <w:t>77 of 2006</w:t>
            </w:r>
          </w:p>
        </w:tc>
        <w:tc>
          <w:tcPr>
            <w:tcW w:w="1134" w:type="dxa"/>
          </w:tcPr>
          <w:p>
            <w:pPr>
              <w:pStyle w:val="nTable"/>
              <w:spacing w:after="36"/>
              <w:rPr>
                <w:sz w:val="19"/>
              </w:rPr>
            </w:pPr>
            <w:r>
              <w:rPr>
                <w:snapToGrid w:val="0"/>
                <w:sz w:val="19"/>
                <w:lang w:val="en-US"/>
              </w:rPr>
              <w:t>21 Dec 2006</w:t>
            </w:r>
          </w:p>
        </w:tc>
        <w:tc>
          <w:tcPr>
            <w:tcW w:w="2552" w:type="dxa"/>
          </w:tcPr>
          <w:p>
            <w:pPr>
              <w:pStyle w:val="nTable"/>
              <w:spacing w:after="36"/>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36"/>
              <w:ind w:right="113"/>
              <w:rPr>
                <w:i/>
                <w:snapToGrid w:val="0"/>
                <w:sz w:val="19"/>
                <w:lang w:val="en-US"/>
              </w:rPr>
            </w:pPr>
            <w:r>
              <w:rPr>
                <w:i/>
                <w:snapToGrid w:val="0"/>
                <w:sz w:val="19"/>
              </w:rPr>
              <w:t>Racing and Wagering Legislation Amendment Act 2007</w:t>
            </w:r>
            <w:r>
              <w:rPr>
                <w:iCs/>
                <w:snapToGrid w:val="0"/>
                <w:sz w:val="19"/>
              </w:rPr>
              <w:t xml:space="preserve"> Pt. 3</w:t>
            </w:r>
          </w:p>
        </w:tc>
        <w:tc>
          <w:tcPr>
            <w:tcW w:w="1134" w:type="dxa"/>
          </w:tcPr>
          <w:p>
            <w:pPr>
              <w:pStyle w:val="nTable"/>
              <w:spacing w:after="36"/>
              <w:rPr>
                <w:snapToGrid w:val="0"/>
                <w:sz w:val="19"/>
                <w:lang w:val="en-US"/>
              </w:rPr>
            </w:pPr>
            <w:r>
              <w:rPr>
                <w:sz w:val="19"/>
              </w:rPr>
              <w:t>2 of 2007</w:t>
            </w:r>
          </w:p>
        </w:tc>
        <w:tc>
          <w:tcPr>
            <w:tcW w:w="1134" w:type="dxa"/>
          </w:tcPr>
          <w:p>
            <w:pPr>
              <w:pStyle w:val="nTable"/>
              <w:spacing w:after="36"/>
              <w:rPr>
                <w:snapToGrid w:val="0"/>
                <w:sz w:val="19"/>
                <w:lang w:val="en-US"/>
              </w:rPr>
            </w:pPr>
            <w:r>
              <w:rPr>
                <w:sz w:val="19"/>
              </w:rPr>
              <w:t>28 Mar 2007</w:t>
            </w:r>
          </w:p>
        </w:tc>
        <w:tc>
          <w:tcPr>
            <w:tcW w:w="2552" w:type="dxa"/>
          </w:tcPr>
          <w:p>
            <w:pPr>
              <w:pStyle w:val="nTable"/>
              <w:spacing w:after="36"/>
              <w:rPr>
                <w:snapToGrid w:val="0"/>
                <w:sz w:val="19"/>
                <w:lang w:val="en-US"/>
              </w:rPr>
            </w:pPr>
            <w:r>
              <w:rPr>
                <w:snapToGrid w:val="0"/>
                <w:sz w:val="19"/>
                <w:lang w:val="en-US"/>
              </w:rPr>
              <w:t>1 Jul 2007 (see s. 2)</w:t>
            </w:r>
          </w:p>
        </w:tc>
      </w:tr>
      <w:tr>
        <w:trPr>
          <w:cantSplit/>
        </w:trPr>
        <w:tc>
          <w:tcPr>
            <w:tcW w:w="2269" w:type="dxa"/>
          </w:tcPr>
          <w:p>
            <w:pPr>
              <w:pStyle w:val="nTable"/>
              <w:spacing w:after="36"/>
              <w:ind w:right="113"/>
              <w:rPr>
                <w:i/>
                <w:snapToGrid w:val="0"/>
                <w:sz w:val="19"/>
              </w:rPr>
            </w:pPr>
            <w:r>
              <w:rPr>
                <w:i/>
                <w:iCs/>
                <w:snapToGrid w:val="0"/>
                <w:sz w:val="19"/>
                <w:lang w:val="en-US"/>
              </w:rPr>
              <w:t>Legal Profession Act 2008</w:t>
            </w:r>
            <w:r>
              <w:rPr>
                <w:snapToGrid w:val="0"/>
                <w:sz w:val="19"/>
                <w:lang w:val="en-US"/>
              </w:rPr>
              <w:t xml:space="preserve"> s. 695</w:t>
            </w:r>
          </w:p>
        </w:tc>
        <w:tc>
          <w:tcPr>
            <w:tcW w:w="1134" w:type="dxa"/>
          </w:tcPr>
          <w:p>
            <w:pPr>
              <w:pStyle w:val="nTable"/>
              <w:spacing w:after="36"/>
              <w:rPr>
                <w:sz w:val="19"/>
              </w:rPr>
            </w:pPr>
            <w:r>
              <w:rPr>
                <w:sz w:val="19"/>
              </w:rPr>
              <w:t>21 of 2008</w:t>
            </w:r>
          </w:p>
        </w:tc>
        <w:tc>
          <w:tcPr>
            <w:tcW w:w="1134" w:type="dxa"/>
          </w:tcPr>
          <w:p>
            <w:pPr>
              <w:pStyle w:val="nTable"/>
              <w:spacing w:after="36"/>
              <w:rPr>
                <w:sz w:val="19"/>
              </w:rPr>
            </w:pPr>
            <w:r>
              <w:rPr>
                <w:sz w:val="19"/>
              </w:rPr>
              <w:t>27 May 2008</w:t>
            </w:r>
          </w:p>
        </w:tc>
        <w:tc>
          <w:tcPr>
            <w:tcW w:w="2552" w:type="dxa"/>
          </w:tcPr>
          <w:p>
            <w:pPr>
              <w:pStyle w:val="nTable"/>
              <w:spacing w:after="36"/>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36"/>
              <w:rPr>
                <w:iCs/>
                <w:snapToGrid w:val="0"/>
                <w:sz w:val="19"/>
              </w:rPr>
            </w:pPr>
            <w:r>
              <w:rPr>
                <w:i/>
                <w:snapToGrid w:val="0"/>
                <w:sz w:val="19"/>
              </w:rPr>
              <w:t>Acts Amendment (Bankruptcy) Act 2009</w:t>
            </w:r>
            <w:r>
              <w:rPr>
                <w:iCs/>
                <w:snapToGrid w:val="0"/>
                <w:sz w:val="19"/>
              </w:rPr>
              <w:t xml:space="preserve"> s. 72</w:t>
            </w:r>
          </w:p>
        </w:tc>
        <w:tc>
          <w:tcPr>
            <w:tcW w:w="1134" w:type="dxa"/>
          </w:tcPr>
          <w:p>
            <w:pPr>
              <w:pStyle w:val="nTable"/>
              <w:spacing w:after="36"/>
              <w:rPr>
                <w:sz w:val="19"/>
              </w:rPr>
            </w:pPr>
            <w:r>
              <w:rPr>
                <w:sz w:val="19"/>
              </w:rPr>
              <w:t>18 of 2009</w:t>
            </w:r>
          </w:p>
        </w:tc>
        <w:tc>
          <w:tcPr>
            <w:tcW w:w="1134" w:type="dxa"/>
          </w:tcPr>
          <w:p>
            <w:pPr>
              <w:pStyle w:val="nTable"/>
              <w:spacing w:after="36"/>
              <w:rPr>
                <w:sz w:val="19"/>
              </w:rPr>
            </w:pPr>
            <w:r>
              <w:rPr>
                <w:sz w:val="19"/>
              </w:rPr>
              <w:t>16 Sep 2009</w:t>
            </w:r>
          </w:p>
        </w:tc>
        <w:tc>
          <w:tcPr>
            <w:tcW w:w="2552" w:type="dxa"/>
          </w:tcPr>
          <w:p>
            <w:pPr>
              <w:pStyle w:val="nTable"/>
              <w:spacing w:after="36"/>
              <w:rPr>
                <w:sz w:val="19"/>
              </w:rPr>
            </w:pPr>
            <w:r>
              <w:rPr>
                <w:sz w:val="19"/>
              </w:rPr>
              <w:t>17 Sep 2009 (see s. 2(b))</w:t>
            </w:r>
          </w:p>
        </w:tc>
      </w:tr>
      <w:tr>
        <w:trPr>
          <w:cantSplit/>
        </w:trPr>
        <w:tc>
          <w:tcPr>
            <w:tcW w:w="2269" w:type="dxa"/>
          </w:tcPr>
          <w:p>
            <w:pPr>
              <w:pStyle w:val="nTable"/>
              <w:spacing w:after="36"/>
              <w:rPr>
                <w:i/>
                <w:snapToGrid w:val="0"/>
                <w:sz w:val="19"/>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36"/>
              <w:rPr>
                <w:sz w:val="19"/>
              </w:rPr>
            </w:pPr>
            <w:r>
              <w:rPr>
                <w:snapToGrid w:val="0"/>
                <w:sz w:val="19"/>
                <w:lang w:val="en-US"/>
              </w:rPr>
              <w:t>19 of 2010</w:t>
            </w:r>
          </w:p>
        </w:tc>
        <w:tc>
          <w:tcPr>
            <w:tcW w:w="1134" w:type="dxa"/>
          </w:tcPr>
          <w:p>
            <w:pPr>
              <w:pStyle w:val="nTable"/>
              <w:spacing w:after="36"/>
              <w:rPr>
                <w:sz w:val="19"/>
              </w:rPr>
            </w:pPr>
            <w:r>
              <w:rPr>
                <w:snapToGrid w:val="0"/>
                <w:sz w:val="19"/>
                <w:lang w:val="en-US"/>
              </w:rPr>
              <w:t>28 Jun 2010</w:t>
            </w:r>
          </w:p>
        </w:tc>
        <w:tc>
          <w:tcPr>
            <w:tcW w:w="2552" w:type="dxa"/>
          </w:tcPr>
          <w:p>
            <w:pPr>
              <w:pStyle w:val="nTable"/>
              <w:spacing w:after="36"/>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9" w:type="dxa"/>
            <w:gridSpan w:val="4"/>
            <w:tcBorders>
              <w:bottom w:val="single" w:sz="4" w:space="0" w:color="auto"/>
            </w:tcBorders>
          </w:tcPr>
          <w:p>
            <w:pPr>
              <w:pStyle w:val="nTable"/>
              <w:spacing w:after="36"/>
              <w:rPr>
                <w:sz w:val="19"/>
              </w:rPr>
            </w:pPr>
            <w:r>
              <w:rPr>
                <w:b/>
                <w:sz w:val="19"/>
              </w:rPr>
              <w:t xml:space="preserve">Reprint 3:  The </w:t>
            </w:r>
            <w:r>
              <w:rPr>
                <w:b/>
                <w:i/>
                <w:sz w:val="19"/>
              </w:rPr>
              <w:t>Racing Penalties (Appeals) Act 1990</w:t>
            </w:r>
            <w:r>
              <w:rPr>
                <w:b/>
                <w:sz w:val="19"/>
              </w:rPr>
              <w:t xml:space="preserve"> as at 24 Sep 2010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6" w:name="_Toc7405065"/>
      <w:bookmarkStart w:id="407" w:name="_Toc274298836"/>
      <w:r>
        <w:t>Provisions that have not come into operation</w:t>
      </w:r>
      <w:bookmarkEnd w:id="406"/>
      <w:bookmarkEnd w:id="4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4" w:space="0" w:color="auto"/>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single" w:sz="4" w:space="0" w:color="auto"/>
              <w:bottom w:val="single" w:sz="4" w:space="0" w:color="auto"/>
            </w:tcBorders>
          </w:tcPr>
          <w:p>
            <w:pPr>
              <w:pStyle w:val="nTable"/>
              <w:spacing w:after="40"/>
              <w:rPr>
                <w:snapToGrid w:val="0"/>
                <w:sz w:val="19"/>
                <w:lang w:val="en-US"/>
              </w:rPr>
            </w:pPr>
            <w:r>
              <w:rPr>
                <w:sz w:val="19"/>
              </w:rPr>
              <w:t>1 Oct 2010</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00"/>
        <w:rPr>
          <w:snapToGrid w:val="0"/>
          <w:vertAlign w:val="superscript"/>
        </w:rPr>
      </w:pPr>
    </w:p>
    <w:p>
      <w:pPr>
        <w:pStyle w:val="nSubsection"/>
        <w:spacing w:before="10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i/>
          <w:iCs/>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pPr>
      <w:bookmarkStart w:id="408" w:name="_Toc20219085"/>
      <w:bookmarkStart w:id="409" w:name="_Toc20710666"/>
      <w:bookmarkStart w:id="410" w:name="_Toc22632825"/>
      <w:bookmarkStart w:id="411" w:name="_Toc44146574"/>
      <w:r>
        <w:rPr>
          <w:rStyle w:val="CharSectno"/>
        </w:rPr>
        <w:t>19</w:t>
      </w:r>
      <w:r>
        <w:t>.</w:t>
      </w:r>
      <w:r>
        <w:tab/>
        <w:t>Power to amend regulations</w:t>
      </w:r>
      <w:bookmarkEnd w:id="408"/>
      <w:bookmarkEnd w:id="409"/>
      <w:bookmarkEnd w:id="410"/>
      <w:bookmarkEnd w:id="411"/>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spacing w:before="160"/>
      </w:pPr>
      <w:r>
        <w:rPr>
          <w:vertAlign w:val="superscript"/>
        </w:rPr>
        <w:t>4</w:t>
      </w:r>
      <w:r>
        <w:tab/>
        <w:t xml:space="preserve">The </w:t>
      </w:r>
      <w:r>
        <w:rPr>
          <w:i/>
        </w:rPr>
        <w:t>Racing and Gambling Legislation Amendment and Repeal Act 2003</w:t>
      </w:r>
      <w:r>
        <w:t xml:space="preserve"> Pt. 11 Div. 2 are transitional provisions that are of no further effect.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12" w:name="_Toc273538032"/>
      <w:bookmarkStart w:id="413" w:name="_Toc273964959"/>
      <w:bookmarkStart w:id="414" w:name="_Toc273971506"/>
      <w:r>
        <w:rPr>
          <w:rStyle w:val="CharSectno"/>
        </w:rPr>
        <w:t>89</w:t>
      </w:r>
      <w:r>
        <w:t>.</w:t>
      </w:r>
      <w:r>
        <w:tab/>
        <w:t>Various references to “Minister for Public Sector Management” amended</w:t>
      </w:r>
      <w:bookmarkEnd w:id="412"/>
      <w:bookmarkEnd w:id="413"/>
      <w:bookmarkEnd w:id="41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Racing Penalties (Appeals) Act 1990</w:t>
            </w:r>
          </w:p>
        </w:tc>
        <w:tc>
          <w:tcPr>
            <w:tcW w:w="3401" w:type="dxa"/>
          </w:tcPr>
          <w:p>
            <w:pPr>
              <w:pStyle w:val="TableAm"/>
              <w:rPr>
                <w:sz w:val="20"/>
              </w:rPr>
            </w:pPr>
            <w:r>
              <w:rPr>
                <w:sz w:val="20"/>
              </w:rPr>
              <w:t>Sch. cl. 1(3), 2</w:t>
            </w:r>
          </w:p>
        </w:tc>
      </w:tr>
    </w:tbl>
    <w:p>
      <w:pPr>
        <w:pStyle w:val="BlankClose"/>
      </w:pPr>
    </w:p>
    <w:p>
      <w:pPr>
        <w:pStyle w:val="BlankClose"/>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415" w:name="_Toc261848576"/>
      <w:bookmarkStart w:id="416" w:name="_Toc265220437"/>
      <w:bookmarkStart w:id="417" w:name="_Toc265220838"/>
      <w:bookmarkStart w:id="418" w:name="_Toc272480117"/>
      <w:r>
        <w:rPr>
          <w:sz w:val="28"/>
        </w:rPr>
        <w:t>Defined Terms</w:t>
      </w:r>
      <w:bookmarkEnd w:id="415"/>
      <w:bookmarkEnd w:id="416"/>
      <w:bookmarkEnd w:id="417"/>
      <w:bookmarkEnd w:id="4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9" w:name="DefinedTerms"/>
      <w:bookmarkEnd w:id="419"/>
      <w:r>
        <w:t>appellant</w:t>
      </w:r>
      <w:r>
        <w:tab/>
        <w:t>13(1)</w:t>
      </w:r>
    </w:p>
    <w:p>
      <w:pPr>
        <w:pStyle w:val="DefinedTerms"/>
      </w:pPr>
      <w:r>
        <w:t>bet</w:t>
      </w:r>
      <w:r>
        <w:tab/>
        <w:t>3(1)</w:t>
      </w:r>
    </w:p>
    <w:p>
      <w:pPr>
        <w:pStyle w:val="DefinedTerms"/>
      </w:pPr>
      <w:r>
        <w:t>bookmaker</w:t>
      </w:r>
      <w:r>
        <w:tab/>
        <w:t>3(1)</w:t>
      </w:r>
    </w:p>
    <w:p>
      <w:pPr>
        <w:pStyle w:val="DefinedTerms"/>
      </w:pPr>
      <w:r>
        <w:t>Chairperson</w:t>
      </w:r>
      <w:r>
        <w:tab/>
        <w:t>3(1)</w:t>
      </w:r>
    </w:p>
    <w:p>
      <w:pPr>
        <w:pStyle w:val="DefinedTerms"/>
      </w:pPr>
      <w:r>
        <w:t>determination</w:t>
      </w:r>
      <w:r>
        <w:tab/>
        <w:t>3(1)</w:t>
      </w:r>
    </w:p>
    <w:p>
      <w:pPr>
        <w:pStyle w:val="DefinedTerms"/>
      </w:pPr>
      <w:r>
        <w:t>document</w:t>
      </w:r>
      <w:r>
        <w:tab/>
        <w:t>9(6)</w:t>
      </w:r>
    </w:p>
    <w:p>
      <w:pPr>
        <w:pStyle w:val="DefinedTerms"/>
      </w:pPr>
      <w:r>
        <w:t>horse</w:t>
      </w:r>
      <w:r>
        <w:tab/>
        <w:t>3(1)</w:t>
      </w:r>
    </w:p>
    <w:p>
      <w:pPr>
        <w:pStyle w:val="DefinedTerms"/>
      </w:pPr>
      <w:r>
        <w:t>information</w:t>
      </w:r>
      <w:r>
        <w:tab/>
        <w:t>9(6)</w:t>
      </w:r>
    </w:p>
    <w:p>
      <w:pPr>
        <w:pStyle w:val="DefinedTerms"/>
      </w:pPr>
      <w:r>
        <w:t>member</w:t>
      </w:r>
      <w:r>
        <w:tab/>
        <w:t>3(1)</w:t>
      </w:r>
    </w:p>
    <w:p>
      <w:pPr>
        <w:pStyle w:val="DefinedTerms"/>
      </w:pPr>
      <w:r>
        <w:t>owner</w:t>
      </w:r>
      <w:r>
        <w:tab/>
        <w:t>3(1)</w:t>
      </w:r>
    </w:p>
    <w:p>
      <w:pPr>
        <w:pStyle w:val="DefinedTerms"/>
      </w:pPr>
      <w:r>
        <w:t>pacer</w:t>
      </w:r>
      <w:r>
        <w:tab/>
        <w:t>3(1)</w:t>
      </w:r>
    </w:p>
    <w:p>
      <w:pPr>
        <w:pStyle w:val="DefinedTerms"/>
      </w:pPr>
      <w:r>
        <w:t>parliamentary purposes</w:t>
      </w:r>
      <w:r>
        <w:tab/>
        <w:t>9(6)</w:t>
      </w:r>
    </w:p>
    <w:p>
      <w:pPr>
        <w:pStyle w:val="DefinedTerms"/>
      </w:pPr>
      <w:r>
        <w:t>race</w:t>
      </w:r>
      <w:r>
        <w:tab/>
        <w:t>3(1)</w:t>
      </w:r>
    </w:p>
    <w:p>
      <w:pPr>
        <w:pStyle w:val="DefinedTerms"/>
      </w:pPr>
      <w:r>
        <w:t>race meeting</w:t>
      </w:r>
      <w:r>
        <w:tab/>
        <w:t>3(1)</w:t>
      </w:r>
    </w:p>
    <w:p>
      <w:pPr>
        <w:pStyle w:val="DefinedTerms"/>
      </w:pPr>
      <w:r>
        <w:t>racecourse</w:t>
      </w:r>
      <w:r>
        <w:tab/>
        <w:t>3(1)</w:t>
      </w:r>
    </w:p>
    <w:p>
      <w:pPr>
        <w:pStyle w:val="DefinedTerms"/>
      </w:pPr>
      <w:r>
        <w:t>racing</w:t>
      </w:r>
      <w:r>
        <w:tab/>
        <w:t>3(1)</w:t>
      </w:r>
    </w:p>
    <w:p>
      <w:pPr>
        <w:pStyle w:val="DefinedTerms"/>
      </w:pPr>
      <w:r>
        <w:t>Registrar</w:t>
      </w:r>
      <w:r>
        <w:tab/>
        <w:t>3(1)</w:t>
      </w:r>
    </w:p>
    <w:p>
      <w:pPr>
        <w:pStyle w:val="DefinedTerms"/>
      </w:pPr>
      <w:r>
        <w:t>runner</w:t>
      </w:r>
      <w:r>
        <w:tab/>
        <w:t>3(1)</w:t>
      </w:r>
    </w:p>
    <w:p>
      <w:pPr>
        <w:pStyle w:val="DefinedTerms"/>
      </w:pPr>
      <w:r>
        <w:t>RWWA</w:t>
      </w:r>
      <w:r>
        <w:tab/>
        <w:t>3(1)</w:t>
      </w:r>
    </w:p>
    <w:p>
      <w:pPr>
        <w:pStyle w:val="DefinedTerms"/>
      </w:pPr>
      <w:r>
        <w:t>RWWA Act</w:t>
      </w:r>
      <w:r>
        <w:tab/>
        <w:t>3(1)</w:t>
      </w:r>
    </w:p>
    <w:p>
      <w:pPr>
        <w:pStyle w:val="DefinedTerms"/>
      </w:pPr>
      <w:r>
        <w:t>steward</w:t>
      </w:r>
      <w:r>
        <w:tab/>
        <w:t>3(1)</w:t>
      </w:r>
    </w:p>
    <w:p>
      <w:pPr>
        <w:pStyle w:val="DefinedTerms"/>
      </w:pPr>
      <w:r>
        <w:t>thoroughbred</w:t>
      </w:r>
      <w:r>
        <w:tab/>
        <w:t>3(1)</w:t>
      </w:r>
    </w:p>
    <w:p>
      <w:pPr>
        <w:pStyle w:val="DefinedTerms"/>
      </w:pPr>
      <w:r>
        <w:t>trial</w:t>
      </w:r>
      <w:r>
        <w:tab/>
        <w:t>3(1)</w:t>
      </w:r>
    </w:p>
    <w:p>
      <w:pPr>
        <w:pStyle w:val="DefinedTerms"/>
      </w:pPr>
      <w:r>
        <w:t>Tribunal</w:t>
      </w:r>
      <w:r>
        <w:tab/>
        <w:t>3(1)</w:t>
      </w:r>
    </w:p>
    <w:p>
      <w:pPr>
        <w:pStyle w:val="DefinedTerms"/>
      </w:pPr>
    </w:p>
    <w:p/>
    <w:p/>
    <w:p/>
    <w:p/>
    <w:p/>
    <w:p/>
    <w:p/>
    <w:p/>
    <w:p/>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6"/>
      <w:headerReference w:type="default" r:id="rId37"/>
      <w:headerReference w:type="firs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3840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22A4E7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9971</Words>
  <Characters>46668</Characters>
  <Application>Microsoft Office Word</Application>
  <DocSecurity>0</DocSecurity>
  <Lines>1333</Lines>
  <Paragraphs>745</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55894</CharactersWithSpaces>
  <SharedDoc>false</SharedDoc>
  <HLinks>
    <vt:vector size="12" baseType="variant">
      <vt:variant>
        <vt:i4>5439608</vt:i4>
      </vt:variant>
      <vt:variant>
        <vt:i4>52095</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1990 - 03-b0-01</dc:title>
  <dc:subject/>
  <dc:creator/>
  <cp:keywords/>
  <dc:description/>
  <cp:lastModifiedBy>svcMRProcess</cp:lastModifiedBy>
  <cp:revision>4</cp:revision>
  <cp:lastPrinted>2010-10-01T03:28:00Z</cp:lastPrinted>
  <dcterms:created xsi:type="dcterms:W3CDTF">2018-09-07T20:22:00Z</dcterms:created>
  <dcterms:modified xsi:type="dcterms:W3CDTF">2018-09-07T20:22:00Z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652</vt:i4>
  </property>
  <property fmtid="{D5CDD505-2E9C-101B-9397-08002B2CF9AE}" pid="6" name="AsAtDate">
    <vt:lpwstr>01 Oct 2010</vt:lpwstr>
  </property>
  <property fmtid="{D5CDD505-2E9C-101B-9397-08002B2CF9AE}" pid="7" name="Suffix">
    <vt:lpwstr>03-b0-01</vt:lpwstr>
  </property>
  <property fmtid="{D5CDD505-2E9C-101B-9397-08002B2CF9AE}" pid="8" name="ReprintedAsAt">
    <vt:filetime>2010-09-23T16:00:00Z</vt:filetime>
  </property>
  <property fmtid="{D5CDD505-2E9C-101B-9397-08002B2CF9AE}" pid="9" name="ReprintNo">
    <vt:lpwstr>3</vt:lpwstr>
  </property>
</Properties>
</file>