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Electricity Corporations Act 2005</w:t>
      </w:r>
      <w:r>
        <w:fldChar w:fldCharType="end"/>
      </w:r>
    </w:p>
    <w:p>
      <w:pPr>
        <w:pStyle w:val="Arrangement"/>
        <w:spacing w:after="40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_Toc379895223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_Toc379895224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_Toc379895225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_Toc379895228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_Toc379895229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_Toc379895230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_Toc379895231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_Toc379895233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_Toc379895234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_Toc379895235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_Toc379895236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_Toc379895237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_Toc379895238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_Toc379895241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_Toc379895242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_Toc379895243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_Toc379895244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_Toc379895246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_Toc379895247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_Toc379895248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_Toc379895250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_Toc379895251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_Toc379895253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_Toc379895254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_Toc379895255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_Toc379895257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_Toc379895259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_Toc379895260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_Toc379895261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_Toc379895262 \h </w:instrText>
      </w:r>
      <w:r>
        <w:fldChar w:fldCharType="separate"/>
      </w:r>
      <w:r>
        <w:t>15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_Toc379895263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_Toc379895264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_Toc379895265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w:t>
      </w:r>
      <w:r>
        <w:tab/>
      </w:r>
      <w:r>
        <w:fldChar w:fldCharType="begin"/>
      </w:r>
      <w:r>
        <w:instrText xml:space="preserve"> PAGEREF _Toc379895269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_Toc379895271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_Toc379895272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_Toc379895273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_Toc379895274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_Toc379895275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_Toc379895276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_Toc379895278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_Toc379895279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_Toc379895280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_Toc379895282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_Toc379895283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_Toc379895284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_Toc379895285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_Toc379895286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_Toc379895287 \h </w:instrText>
      </w:r>
      <w:r>
        <w:fldChar w:fldCharType="separate"/>
      </w:r>
      <w:r>
        <w:t>27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_Toc379895289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_Toc379895290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_Toc379895291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_Toc379895293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_Toc379895295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_Toc379895296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_Toc379895298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_Toc379895299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_Toc379895300 \h </w:instrText>
      </w:r>
      <w:r>
        <w:fldChar w:fldCharType="separate"/>
      </w:r>
      <w:r>
        <w:t>32</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_Toc379895301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_Toc379895302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_Toc379895303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_Toc379895304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_Toc379895305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_Toc379895306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_Toc379895307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provisions affecting</w:t>
      </w:r>
      <w:r>
        <w:tab/>
      </w:r>
      <w:r>
        <w:fldChar w:fldCharType="begin"/>
      </w:r>
      <w:r>
        <w:instrText xml:space="preserve"> PAGEREF _Toc379895308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_Toc379895309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_Toc379895310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 68</w:t>
      </w:r>
      <w:r>
        <w:tab/>
      </w:r>
      <w:r>
        <w:fldChar w:fldCharType="begin"/>
      </w:r>
      <w:r>
        <w:instrText xml:space="preserve"> PAGEREF _Toc379895311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_Toc379895312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_Toc379895313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_Toc379895315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_Toc379895316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_Toc379895317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_Toc379895319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_Toc379895321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_Toc379895322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_Toc379895323 \h </w:instrText>
      </w:r>
      <w:r>
        <w:fldChar w:fldCharType="separate"/>
      </w:r>
      <w:r>
        <w:t>46</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 76 and 77</w:t>
      </w:r>
      <w:r>
        <w:tab/>
      </w:r>
      <w:r>
        <w:fldChar w:fldCharType="begin"/>
      </w:r>
      <w:r>
        <w:instrText xml:space="preserve"> PAGEREF _Toc379895324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Terms used</w:t>
      </w:r>
      <w:r>
        <w:tab/>
      </w:r>
      <w:r>
        <w:fldChar w:fldCharType="begin"/>
      </w:r>
      <w:r>
        <w:instrText xml:space="preserve"> PAGEREF _Toc379895326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_Toc379895327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_Toc379895328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_Toc379895329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or cancellation</w:t>
      </w:r>
      <w:r>
        <w:tab/>
      </w:r>
      <w:r>
        <w:fldChar w:fldCharType="begin"/>
      </w:r>
      <w:r>
        <w:instrText xml:space="preserve"> PAGEREF _Toc379895330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_Toc379895331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_Toc379895332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_Toc379895333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_Toc379895336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_Toc379895337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_Toc379895338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_Toc379895339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_Toc379895340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_Toc379895341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_Toc379895342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_Toc379895343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_Toc379895344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_Toc379895346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_Toc379895347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_Toc379895348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_Toc379895349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_Toc379895350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_Toc379895351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_Toc379895352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_Toc379895353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_Toc379895354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_Toc379895356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_Toc379895357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_Toc379895358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_Toc379895359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_Toc379895361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_Toc379895362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_Toc379895363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_Toc379895364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supply of gas</w:t>
      </w:r>
      <w:r>
        <w:tab/>
      </w:r>
      <w:r>
        <w:fldChar w:fldCharType="begin"/>
      </w:r>
      <w:r>
        <w:instrText xml:space="preserve"> PAGEREF _Toc379895365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_Toc379895367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_Toc379895368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_Toc379895369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_Toc379895370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_Toc379895371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_Toc379895373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_Toc379895376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_Toc379895377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_Toc379895378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_Toc379895380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 124</w:t>
      </w:r>
      <w:r>
        <w:tab/>
      </w:r>
      <w:r>
        <w:fldChar w:fldCharType="begin"/>
      </w:r>
      <w:r>
        <w:instrText xml:space="preserve"> PAGEREF _Toc379895381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_Toc379895382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_Toc379895384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_Toc379895385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_Toc379895386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_Toc379895388 \h </w:instrText>
      </w:r>
      <w:r>
        <w:fldChar w:fldCharType="separate"/>
      </w:r>
      <w:r>
        <w:t>75</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_Toc379895389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_Toc379895391 \h </w:instrText>
      </w:r>
      <w:r>
        <w:fldChar w:fldCharType="separate"/>
      </w:r>
      <w:r>
        <w:t>76</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_Toc379895392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_Toc379895394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_Toc379895395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_Toc379895396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_Toc379895397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_Toc379895398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_Toc379895400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_Toc379895401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_Toc379895404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w:t>
      </w:r>
      <w:r>
        <w:tab/>
      </w:r>
      <w:r>
        <w:fldChar w:fldCharType="begin"/>
      </w:r>
      <w:r>
        <w:instrText xml:space="preserve"> PAGEREF _Toc379895405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_Toc379895406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_Toc379895408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_Toc379895409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_Toc379895410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_Toc379895413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_Toc379895414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_Toc379895415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_Toc379895416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_Toc379895417 \h </w:instrText>
      </w:r>
      <w:r>
        <w:fldChar w:fldCharType="separate"/>
      </w:r>
      <w:r>
        <w:t>89</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_Toc379895418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_Toc379895419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_Toc379895421 \h </w:instrText>
      </w:r>
      <w:r>
        <w:fldChar w:fldCharType="separate"/>
      </w:r>
      <w:r>
        <w:t>91</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_Toc379895422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_Toc379895423 \h </w:instrText>
      </w:r>
      <w:r>
        <w:fldChar w:fldCharType="separate"/>
      </w:r>
      <w:r>
        <w:t>93</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_Toc379895424 \h </w:instrText>
      </w:r>
      <w:r>
        <w:fldChar w:fldCharType="separate"/>
      </w:r>
      <w:r>
        <w:t>95</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_Toc379895425 \h </w:instrText>
      </w:r>
      <w:r>
        <w:fldChar w:fldCharType="separate"/>
      </w:r>
      <w:r>
        <w:t>96</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_Toc379895426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_Toc379895428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_Toc379895429 \h </w:instrText>
      </w:r>
      <w:r>
        <w:fldChar w:fldCharType="separate"/>
      </w:r>
      <w:r>
        <w:t>98</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_Toc379895430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s. 169 is to apply</w:t>
      </w:r>
      <w:r>
        <w:tab/>
      </w:r>
      <w:r>
        <w:fldChar w:fldCharType="begin"/>
      </w:r>
      <w:r>
        <w:instrText xml:space="preserve"> PAGEREF _Toc379895432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_Toc379895433 \h </w:instrText>
      </w:r>
      <w:r>
        <w:fldChar w:fldCharType="separate"/>
      </w:r>
      <w:r>
        <w:t>100</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_Toc379895434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_Toc379895436 \h </w:instrText>
      </w:r>
      <w:r>
        <w:fldChar w:fldCharType="separate"/>
      </w:r>
      <w:r>
        <w:t>102</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_Toc379895437 \h </w:instrText>
      </w:r>
      <w:r>
        <w:fldChar w:fldCharType="separate"/>
      </w:r>
      <w:r>
        <w:t>102</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_Toc379895438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_Toc379895440 \h </w:instrText>
      </w:r>
      <w:r>
        <w:fldChar w:fldCharType="separate"/>
      </w:r>
      <w:r>
        <w:t>103</w:t>
      </w:r>
      <w:r>
        <w:fldChar w:fldCharType="end"/>
      </w:r>
    </w:p>
    <w:p>
      <w:pPr>
        <w:pStyle w:val="TOC8"/>
        <w:rPr>
          <w:rFonts w:asciiTheme="minorHAnsi" w:eastAsiaTheme="minorEastAsia" w:hAnsiTheme="minorHAnsi" w:cstheme="minorBidi"/>
          <w:szCs w:val="22"/>
          <w:lang w:eastAsia="en-AU"/>
        </w:rPr>
      </w:pPr>
      <w:r>
        <w:t>170.</w:t>
      </w:r>
      <w:r>
        <w:tab/>
        <w:t>Provisions incidental to s. 169</w:t>
      </w:r>
      <w:r>
        <w:tab/>
      </w:r>
      <w:r>
        <w:fldChar w:fldCharType="begin"/>
      </w:r>
      <w:r>
        <w:instrText xml:space="preserve"> PAGEREF _Toc379895441 \h </w:instrText>
      </w:r>
      <w:r>
        <w:fldChar w:fldCharType="separate"/>
      </w:r>
      <w:r>
        <w:t>104</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_Toc379895442 \h </w:instrText>
      </w:r>
      <w:r>
        <w:fldChar w:fldCharType="separate"/>
      </w:r>
      <w:r>
        <w:t>105</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_Toc379895443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_Toc379895445 \h </w:instrText>
      </w:r>
      <w:r>
        <w:fldChar w:fldCharType="separate"/>
      </w:r>
      <w:r>
        <w:t>106</w:t>
      </w:r>
      <w:r>
        <w:fldChar w:fldCharType="end"/>
      </w:r>
    </w:p>
    <w:p>
      <w:pPr>
        <w:pStyle w:val="TOC8"/>
        <w:rPr>
          <w:rFonts w:asciiTheme="minorHAnsi" w:eastAsiaTheme="minorEastAsia" w:hAnsiTheme="minorHAnsi" w:cstheme="minorBidi"/>
          <w:szCs w:val="22"/>
          <w:lang w:eastAsia="en-AU"/>
        </w:rPr>
      </w:pPr>
      <w:r>
        <w:t>174.</w:t>
      </w:r>
      <w:r>
        <w:tab/>
        <w:t>Guarantees to which s. 173 does not apply</w:t>
      </w:r>
      <w:r>
        <w:tab/>
      </w:r>
      <w:r>
        <w:fldChar w:fldCharType="begin"/>
      </w:r>
      <w:r>
        <w:instrText xml:space="preserve"> PAGEREF _Toc379895446 \h </w:instrText>
      </w:r>
      <w:r>
        <w:fldChar w:fldCharType="separate"/>
      </w:r>
      <w:r>
        <w:t>107</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_Toc379895447 \h </w:instrText>
      </w:r>
      <w:r>
        <w:fldChar w:fldCharType="separate"/>
      </w:r>
      <w:r>
        <w:t>108</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_Toc379895448 \h </w:instrText>
      </w:r>
      <w:r>
        <w:fldChar w:fldCharType="separate"/>
      </w:r>
      <w:r>
        <w:t>108</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_Toc379895449 \h </w:instrText>
      </w:r>
      <w:r>
        <w:fldChar w:fldCharType="separate"/>
      </w:r>
      <w:r>
        <w:t>109</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_Toc379895450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_Toc379895452 \h </w:instrText>
      </w:r>
      <w:r>
        <w:fldChar w:fldCharType="separate"/>
      </w:r>
      <w:r>
        <w:t>111</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_Toc379895453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_Toc379895455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_Toc379895457 \h </w:instrText>
      </w:r>
      <w:r>
        <w:fldChar w:fldCharType="separate"/>
      </w:r>
      <w:r>
        <w:t>112</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_Toc379895458 \h </w:instrText>
      </w:r>
      <w:r>
        <w:fldChar w:fldCharType="separate"/>
      </w:r>
      <w:r>
        <w:t>113</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_Toc379895459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_Toc379895460 \h </w:instrText>
      </w:r>
      <w:r>
        <w:fldChar w:fldCharType="separate"/>
      </w:r>
      <w:r>
        <w:t>114</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_Toc379895461 \h </w:instrText>
      </w:r>
      <w:r>
        <w:fldChar w:fldCharType="separate"/>
      </w:r>
      <w:r>
        <w:t>114</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_Toc379895462 \h </w:instrText>
      </w:r>
      <w:r>
        <w:fldChar w:fldCharType="separate"/>
      </w:r>
      <w:r>
        <w:t>114</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_Toc379895463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_Toc379895465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_Toc379895466 \h </w:instrText>
      </w:r>
      <w:r>
        <w:fldChar w:fldCharType="separate"/>
      </w:r>
      <w:r>
        <w:t>117</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_Toc379895467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_Toc379895469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Term used: director</w:t>
      </w:r>
      <w:r>
        <w:tab/>
      </w:r>
      <w:r>
        <w:fldChar w:fldCharType="begin"/>
      </w:r>
      <w:r>
        <w:instrText xml:space="preserve"> PAGEREF _Toc379895471 \h </w:instrText>
      </w:r>
      <w:r>
        <w:fldChar w:fldCharType="separate"/>
      </w:r>
      <w:r>
        <w:t>119</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_Toc379895472 \h </w:instrText>
      </w:r>
      <w:r>
        <w:fldChar w:fldCharType="separate"/>
      </w:r>
      <w:r>
        <w:t>119</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_Toc379895473 \h </w:instrText>
      </w:r>
      <w:r>
        <w:fldChar w:fldCharType="separate"/>
      </w:r>
      <w:r>
        <w:t>119</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_Toc379895474 \h </w:instrText>
      </w:r>
      <w:r>
        <w:fldChar w:fldCharType="separate"/>
      </w:r>
      <w:r>
        <w:t>119</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_Toc379895475 \h </w:instrText>
      </w:r>
      <w:r>
        <w:fldChar w:fldCharType="separate"/>
      </w:r>
      <w:r>
        <w:t>120</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_Toc379895476 \h </w:instrText>
      </w:r>
      <w:r>
        <w:fldChar w:fldCharType="separate"/>
      </w:r>
      <w:r>
        <w:t>120</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_Toc379895477 \h </w:instrText>
      </w:r>
      <w:r>
        <w:fldChar w:fldCharType="separate"/>
      </w:r>
      <w:r>
        <w:t>121</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_Toc379895478 \h </w:instrText>
      </w:r>
      <w:r>
        <w:fldChar w:fldCharType="separate"/>
      </w:r>
      <w:r>
        <w:t>121</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_Toc379895479 \h </w:instrText>
      </w:r>
      <w:r>
        <w:fldChar w:fldCharType="separate"/>
      </w:r>
      <w:r>
        <w:t>122</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_Toc379895480 \h </w:instrText>
      </w:r>
      <w:r>
        <w:fldChar w:fldCharType="separate"/>
      </w:r>
      <w:r>
        <w:t>122</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_Toc379895481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_Toc379895484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_Toc379895486 \h </w:instrText>
      </w:r>
      <w:r>
        <w:fldChar w:fldCharType="separate"/>
      </w:r>
      <w:r>
        <w:t>123</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_Toc379895487 \h </w:instrText>
      </w:r>
      <w:r>
        <w:fldChar w:fldCharType="separate"/>
      </w:r>
      <w:r>
        <w:t>123</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_Toc379895488 \h </w:instrText>
      </w:r>
      <w:r>
        <w:fldChar w:fldCharType="separate"/>
      </w:r>
      <w:r>
        <w:t>124</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_Toc379895489 \h </w:instrText>
      </w:r>
      <w:r>
        <w:fldChar w:fldCharType="separate"/>
      </w:r>
      <w:r>
        <w:t>124</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_Toc379895490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_Toc379895492 \h </w:instrText>
      </w:r>
      <w:r>
        <w:fldChar w:fldCharType="separate"/>
      </w:r>
      <w:r>
        <w:t>125</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_Toc379895493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_Toc379895495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_Toc379895496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_Toc379895497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_Toc379895499 \h </w:instrText>
      </w:r>
      <w:r>
        <w:fldChar w:fldCharType="separate"/>
      </w:r>
      <w:r>
        <w:t>127</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_Toc379895500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_Toc379895502 \h </w:instrText>
      </w:r>
      <w:r>
        <w:fldChar w:fldCharType="separate"/>
      </w:r>
      <w:r>
        <w:t>128</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_Toc379895503 \h </w:instrText>
      </w:r>
      <w:r>
        <w:fldChar w:fldCharType="separate"/>
      </w:r>
      <w:r>
        <w:t>129</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_Toc379895504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_Toc379895506 \h </w:instrText>
      </w:r>
      <w:r>
        <w:fldChar w:fldCharType="separate"/>
      </w:r>
      <w:r>
        <w:t>133</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_Toc379895507 \h </w:instrText>
      </w:r>
      <w:r>
        <w:fldChar w:fldCharType="separate"/>
      </w:r>
      <w:r>
        <w:t>133</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_Toc379895508 \h </w:instrText>
      </w:r>
      <w:r>
        <w:fldChar w:fldCharType="separate"/>
      </w:r>
      <w:r>
        <w:t>133</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_Toc379895509 \h </w:instrText>
      </w:r>
      <w:r>
        <w:fldChar w:fldCharType="separate"/>
      </w:r>
      <w:r>
        <w:t>133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_Toc379895512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_Toc379895514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_Toc379895515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_Toc379895516 \h </w:instrText>
      </w:r>
      <w:r>
        <w:fldChar w:fldCharType="separate"/>
      </w:r>
      <w:r>
        <w:t>136</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_Toc379895517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_Toc379895520 \h </w:instrText>
      </w:r>
      <w:r>
        <w:fldChar w:fldCharType="separate"/>
      </w:r>
      <w:r>
        <w:t>137</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_Toc379895521 \h </w:instrText>
      </w:r>
      <w:r>
        <w:fldChar w:fldCharType="separate"/>
      </w:r>
      <w:r>
        <w:t>137</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_Toc379895522 \h </w:instrText>
      </w:r>
      <w:r>
        <w:fldChar w:fldCharType="separate"/>
      </w:r>
      <w:r>
        <w:t>138</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_Toc379895523 \h </w:instrText>
      </w:r>
      <w:r>
        <w:fldChar w:fldCharType="separate"/>
      </w:r>
      <w:r>
        <w:t>138</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_Toc379895524 \h </w:instrText>
      </w:r>
      <w:r>
        <w:fldChar w:fldCharType="separate"/>
      </w:r>
      <w:r>
        <w:t>138</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_Toc379895525 \h </w:instrText>
      </w:r>
      <w:r>
        <w:fldChar w:fldCharType="separate"/>
      </w:r>
      <w:r>
        <w:t>139</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_Toc379895526 \h </w:instrText>
      </w:r>
      <w:r>
        <w:fldChar w:fldCharType="separate"/>
      </w:r>
      <w:r>
        <w:t>140</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_Toc379895527 \h </w:instrText>
      </w:r>
      <w:r>
        <w:fldChar w:fldCharType="separate"/>
      </w:r>
      <w:r>
        <w:t>142</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_Toc379895528 \h </w:instrText>
      </w:r>
      <w:r>
        <w:fldChar w:fldCharType="separate"/>
      </w:r>
      <w:r>
        <w:t>142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_Toc379895530 \h </w:instrText>
      </w:r>
      <w:r>
        <w:fldChar w:fldCharType="separate"/>
      </w:r>
      <w:r>
        <w:t>142</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_Toc379895531 \h </w:instrText>
      </w:r>
      <w:r>
        <w:fldChar w:fldCharType="separate"/>
      </w:r>
      <w:r>
        <w:t>143</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_Toc379895532 \h </w:instrText>
      </w:r>
      <w:r>
        <w:fldChar w:fldCharType="separate"/>
      </w:r>
      <w:r>
        <w:t>144</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_Toc379895533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_Toc379895535 \h </w:instrText>
      </w:r>
      <w:r>
        <w:fldChar w:fldCharType="separate"/>
      </w:r>
      <w:r>
        <w:t>144</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_Toc379895536 \h </w:instrText>
      </w:r>
      <w:r>
        <w:fldChar w:fldCharType="separate"/>
      </w:r>
      <w:r>
        <w:t>144</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_Toc379895537 \h </w:instrText>
      </w:r>
      <w:r>
        <w:fldChar w:fldCharType="separate"/>
      </w:r>
      <w:r>
        <w:t>145</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_Toc379895538 \h </w:instrText>
      </w:r>
      <w:r>
        <w:fldChar w:fldCharType="separate"/>
      </w:r>
      <w:r>
        <w:t>145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_Toc379895540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_Toc379895542 \h </w:instrText>
      </w:r>
      <w:r>
        <w:fldChar w:fldCharType="separate"/>
      </w:r>
      <w:r>
        <w:t>146</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_Toc379895543 \h </w:instrText>
      </w:r>
      <w:r>
        <w:fldChar w:fldCharType="separate"/>
      </w:r>
      <w:r>
        <w:t>146</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_Toc379895544 \h </w:instrText>
      </w:r>
      <w:r>
        <w:fldChar w:fldCharType="separate"/>
      </w:r>
      <w:r>
        <w:t>146</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_Toc379895545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_Toc379895547 \h </w:instrText>
      </w:r>
      <w:r>
        <w:fldChar w:fldCharType="separate"/>
      </w:r>
      <w:r>
        <w:t>147</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_Toc379895548 \h </w:instrText>
      </w:r>
      <w:r>
        <w:fldChar w:fldCharType="separate"/>
      </w:r>
      <w:r>
        <w:t>148</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_Toc379895549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_Toc379895551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_Toc379895553 \h </w:instrText>
      </w:r>
      <w:r>
        <w:fldChar w:fldCharType="separate"/>
      </w:r>
      <w:r>
        <w:t>149</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_Toc379895554 \h </w:instrText>
      </w:r>
      <w:r>
        <w:fldChar w:fldCharType="separate"/>
      </w:r>
      <w:r>
        <w:t>149</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_Toc379895555 \h </w:instrText>
      </w:r>
      <w:r>
        <w:fldChar w:fldCharType="separate"/>
      </w:r>
      <w:r>
        <w:t>150</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_Toc379895556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_Toc379895559 \h </w:instrText>
      </w:r>
      <w:r>
        <w:fldChar w:fldCharType="separate"/>
      </w:r>
      <w:r>
        <w:t>151</w:t>
      </w:r>
      <w: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_Toc379895560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_Toc379895562 \h </w:instrText>
      </w:r>
      <w:r>
        <w:fldChar w:fldCharType="separate"/>
      </w:r>
      <w:r>
        <w:t>152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_Toc379895563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222"/>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223"/>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5224"/>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225"/>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226"/>
      <w:r>
        <w:rPr>
          <w:rStyle w:val="CharPartNo"/>
        </w:rPr>
        <w:t>Part 2</w:t>
      </w:r>
      <w:r>
        <w:t> — </w:t>
      </w:r>
      <w:r>
        <w:rPr>
          <w:rStyle w:val="CharPartText"/>
        </w:rPr>
        <w:t>Electricity Corporations</w:t>
      </w:r>
      <w:bookmarkEnd w:id="6"/>
    </w:p>
    <w:p>
      <w:pPr>
        <w:pStyle w:val="Heading3"/>
      </w:pPr>
      <w:bookmarkStart w:id="7" w:name="_Toc379895227"/>
      <w:r>
        <w:rPr>
          <w:rStyle w:val="CharDivNo"/>
        </w:rPr>
        <w:t>Division 1</w:t>
      </w:r>
      <w:r>
        <w:t> — </w:t>
      </w:r>
      <w:r>
        <w:rPr>
          <w:rStyle w:val="CharDivText"/>
        </w:rPr>
        <w:t>Establishment of corporations</w:t>
      </w:r>
      <w:bookmarkEnd w:id="7"/>
    </w:p>
    <w:p>
      <w:pPr>
        <w:pStyle w:val="Heading5"/>
      </w:pPr>
      <w:bookmarkStart w:id="8" w:name="_Toc379895228"/>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229"/>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230"/>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231"/>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232"/>
      <w:r>
        <w:rPr>
          <w:rStyle w:val="CharDivNo"/>
        </w:rPr>
        <w:t>Division 2</w:t>
      </w:r>
      <w:r>
        <w:t> — </w:t>
      </w:r>
      <w:r>
        <w:rPr>
          <w:rStyle w:val="CharDivText"/>
        </w:rPr>
        <w:t>Boards of directors</w:t>
      </w:r>
      <w:bookmarkEnd w:id="12"/>
    </w:p>
    <w:p>
      <w:pPr>
        <w:pStyle w:val="Heading5"/>
        <w:spacing w:before="180"/>
        <w:rPr>
          <w:snapToGrid w:val="0"/>
        </w:rPr>
      </w:pPr>
      <w:bookmarkStart w:id="13" w:name="_Toc379895233"/>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234"/>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235"/>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236"/>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237"/>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238"/>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239"/>
      <w:r>
        <w:rPr>
          <w:rStyle w:val="CharDivNo"/>
        </w:rPr>
        <w:t>Division 3</w:t>
      </w:r>
      <w:r>
        <w:t> — </w:t>
      </w:r>
      <w:r>
        <w:rPr>
          <w:rStyle w:val="CharDivText"/>
        </w:rPr>
        <w:t>Staff</w:t>
      </w:r>
      <w:bookmarkEnd w:id="19"/>
    </w:p>
    <w:p>
      <w:pPr>
        <w:pStyle w:val="Heading4"/>
      </w:pPr>
      <w:bookmarkStart w:id="20" w:name="_Toc379895240"/>
      <w:r>
        <w:t>Subdivision 1 — Chief executive officer</w:t>
      </w:r>
      <w:bookmarkEnd w:id="20"/>
    </w:p>
    <w:p>
      <w:pPr>
        <w:pStyle w:val="Heading5"/>
        <w:rPr>
          <w:snapToGrid w:val="0"/>
        </w:rPr>
      </w:pPr>
      <w:bookmarkStart w:id="21" w:name="_Toc379895241"/>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242"/>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243"/>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244"/>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245"/>
      <w:r>
        <w:t>Subdivision 2 — Other staff</w:t>
      </w:r>
      <w:bookmarkEnd w:id="25"/>
    </w:p>
    <w:p>
      <w:pPr>
        <w:pStyle w:val="Heading5"/>
        <w:rPr>
          <w:snapToGrid w:val="0"/>
        </w:rPr>
      </w:pPr>
      <w:bookmarkStart w:id="26" w:name="_Toc379895246"/>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247"/>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248"/>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249"/>
      <w:r>
        <w:t xml:space="preserve">Subdivision 3 — </w:t>
      </w:r>
      <w:r>
        <w:rPr>
          <w:snapToGrid w:val="0"/>
        </w:rPr>
        <w:t>Minimum standards for staff management</w:t>
      </w:r>
      <w:bookmarkEnd w:id="29"/>
    </w:p>
    <w:p>
      <w:pPr>
        <w:pStyle w:val="Heading5"/>
        <w:rPr>
          <w:snapToGrid w:val="0"/>
        </w:rPr>
      </w:pPr>
      <w:bookmarkStart w:id="30" w:name="_Toc379895250"/>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251"/>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252"/>
      <w:r>
        <w:t>Subdivision 4 — Joint policy on staff transfers</w:t>
      </w:r>
      <w:bookmarkEnd w:id="32"/>
    </w:p>
    <w:p>
      <w:pPr>
        <w:pStyle w:val="Heading5"/>
      </w:pPr>
      <w:bookmarkStart w:id="33" w:name="_Toc379895253"/>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254"/>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255"/>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256"/>
      <w:r>
        <w:t>Subdivision 5 — General</w:t>
      </w:r>
      <w:bookmarkEnd w:id="36"/>
    </w:p>
    <w:p>
      <w:pPr>
        <w:pStyle w:val="Heading5"/>
        <w:rPr>
          <w:snapToGrid w:val="0"/>
        </w:rPr>
      </w:pPr>
      <w:bookmarkStart w:id="37" w:name="_Toc379895257"/>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258"/>
      <w:r>
        <w:rPr>
          <w:rStyle w:val="CharDivNo"/>
        </w:rPr>
        <w:t>Division 4</w:t>
      </w:r>
      <w:r>
        <w:t> — </w:t>
      </w:r>
      <w:r>
        <w:rPr>
          <w:rStyle w:val="CharDivText"/>
        </w:rPr>
        <w:t>Duties of, and relating to, directors and staff</w:t>
      </w:r>
      <w:bookmarkEnd w:id="38"/>
    </w:p>
    <w:p>
      <w:pPr>
        <w:pStyle w:val="Heading5"/>
        <w:rPr>
          <w:snapToGrid w:val="0"/>
        </w:rPr>
      </w:pPr>
      <w:bookmarkStart w:id="39" w:name="_Toc379895259"/>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5260"/>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261"/>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262"/>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263"/>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264"/>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rPr>
          <w:snapToGrid w:val="0"/>
        </w:rPr>
      </w:pPr>
      <w:bookmarkStart w:id="45" w:name="_Toc379895265"/>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266"/>
      <w:r>
        <w:rPr>
          <w:rStyle w:val="CharPartNo"/>
        </w:rPr>
        <w:t>Part 3</w:t>
      </w:r>
      <w:r>
        <w:t> — </w:t>
      </w:r>
      <w:r>
        <w:rPr>
          <w:rStyle w:val="CharPartText"/>
        </w:rPr>
        <w:t>Functions and powers of corporations</w:t>
      </w:r>
      <w:bookmarkEnd w:id="46"/>
    </w:p>
    <w:p>
      <w:pPr>
        <w:pStyle w:val="Heading3"/>
      </w:pPr>
      <w:bookmarkStart w:id="47" w:name="_Toc379895267"/>
      <w:r>
        <w:rPr>
          <w:rStyle w:val="CharDivNo"/>
        </w:rPr>
        <w:t>Division 1</w:t>
      </w:r>
      <w:r>
        <w:t> — </w:t>
      </w:r>
      <w:r>
        <w:rPr>
          <w:rStyle w:val="CharDivText"/>
        </w:rPr>
        <w:t>Functions, powers and related provisions</w:t>
      </w:r>
      <w:bookmarkEnd w:id="47"/>
    </w:p>
    <w:p>
      <w:pPr>
        <w:pStyle w:val="Heading4"/>
      </w:pPr>
      <w:bookmarkStart w:id="48" w:name="_Toc379895268"/>
      <w:r>
        <w:t>Subdivision 1 — Preliminary</w:t>
      </w:r>
      <w:bookmarkEnd w:id="48"/>
    </w:p>
    <w:p>
      <w:pPr>
        <w:pStyle w:val="Heading5"/>
      </w:pPr>
      <w:bookmarkStart w:id="49" w:name="_Toc379895269"/>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270"/>
      <w:r>
        <w:t>Subdivision 2 — Electricity Generation Corporation</w:t>
      </w:r>
      <w:bookmarkEnd w:id="50"/>
    </w:p>
    <w:p>
      <w:pPr>
        <w:pStyle w:val="Heading5"/>
      </w:pPr>
      <w:bookmarkStart w:id="51" w:name="_Toc379895271"/>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272"/>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273"/>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5274"/>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275"/>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276"/>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277"/>
      <w:r>
        <w:t>Subdivision 3 — Electricity Networks Corporation</w:t>
      </w:r>
      <w:bookmarkEnd w:id="57"/>
    </w:p>
    <w:p>
      <w:pPr>
        <w:pStyle w:val="Heading5"/>
        <w:rPr>
          <w:snapToGrid w:val="0"/>
        </w:rPr>
      </w:pPr>
      <w:bookmarkStart w:id="58" w:name="_Toc379895278"/>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279"/>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280"/>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281"/>
      <w:r>
        <w:t>Subdivision 4 — Electricity Retail Corporation</w:t>
      </w:r>
      <w:bookmarkEnd w:id="61"/>
    </w:p>
    <w:p>
      <w:pPr>
        <w:pStyle w:val="Heading5"/>
        <w:rPr>
          <w:snapToGrid w:val="0"/>
        </w:rPr>
      </w:pPr>
      <w:bookmarkStart w:id="62" w:name="_Toc379895282"/>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283"/>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284"/>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285"/>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5286"/>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287"/>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288"/>
      <w:r>
        <w:t>Subdivision 5 — Regional Power Corporation</w:t>
      </w:r>
      <w:bookmarkEnd w:id="68"/>
    </w:p>
    <w:p>
      <w:pPr>
        <w:pStyle w:val="Heading5"/>
        <w:rPr>
          <w:snapToGrid w:val="0"/>
        </w:rPr>
      </w:pPr>
      <w:bookmarkStart w:id="69" w:name="_Toc379895289"/>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290"/>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1" w:name="_Toc379895291"/>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2" w:name="_Toc379895292"/>
      <w:r>
        <w:t>Subdivision 6 — Special function in respect of certain assets and liabilities</w:t>
      </w:r>
      <w:bookmarkEnd w:id="72"/>
    </w:p>
    <w:p>
      <w:pPr>
        <w:pStyle w:val="Heading5"/>
      </w:pPr>
      <w:bookmarkStart w:id="73" w:name="_Toc379895293"/>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294"/>
      <w:r>
        <w:t>Subdivision 7 — Use of distribution systems for the retail supply of electricity</w:t>
      </w:r>
      <w:bookmarkEnd w:id="74"/>
    </w:p>
    <w:p>
      <w:pPr>
        <w:pStyle w:val="Heading5"/>
      </w:pPr>
      <w:bookmarkStart w:id="75" w:name="_Toc379895295"/>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296"/>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297"/>
      <w:r>
        <w:t>Subdivision 8 — Provisions applying to functions of all corporations</w:t>
      </w:r>
      <w:bookmarkEnd w:id="77"/>
    </w:p>
    <w:p>
      <w:pPr>
        <w:pStyle w:val="Heading5"/>
      </w:pPr>
      <w:bookmarkStart w:id="78" w:name="_Toc379895298"/>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299"/>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300"/>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301"/>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302"/>
      <w:r>
        <w:rPr>
          <w:rStyle w:val="CharSectno"/>
        </w:rPr>
        <w:t>60</w:t>
      </w:r>
      <w:r>
        <w:t>.</w:t>
      </w:r>
      <w:r>
        <w:tab/>
        <w:t>Certain works exempt from planning laws</w:t>
      </w:r>
      <w:bookmarkEnd w:id="82"/>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3" w:name="_Toc379895303"/>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304"/>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305"/>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306"/>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307"/>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308"/>
      <w:r>
        <w:rPr>
          <w:rStyle w:val="CharSectno"/>
        </w:rPr>
        <w:t>66</w:t>
      </w:r>
      <w:r>
        <w:t>.</w:t>
      </w:r>
      <w:r>
        <w:tab/>
        <w:t>Corporations Act, provisions affecting</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309"/>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310"/>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311"/>
      <w:r>
        <w:rPr>
          <w:rStyle w:val="CharSectno"/>
        </w:rPr>
        <w:t>69</w:t>
      </w:r>
      <w:r>
        <w:t>.</w:t>
      </w:r>
      <w:r>
        <w:tab/>
      </w:r>
      <w:r>
        <w:rPr>
          <w:snapToGrid w:val="0"/>
        </w:rPr>
        <w:t>Exemptions from s.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312"/>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313"/>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314"/>
      <w:r>
        <w:rPr>
          <w:rStyle w:val="CharDivNo"/>
        </w:rPr>
        <w:t>Division 2</w:t>
      </w:r>
      <w:r>
        <w:t> — </w:t>
      </w:r>
      <w:r>
        <w:rPr>
          <w:rStyle w:val="CharDivText"/>
        </w:rPr>
        <w:t>Role of Economic Regulation Authority</w:t>
      </w:r>
      <w:bookmarkEnd w:id="94"/>
    </w:p>
    <w:p>
      <w:pPr>
        <w:pStyle w:val="Heading5"/>
      </w:pPr>
      <w:bookmarkStart w:id="95" w:name="_Toc379895315"/>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5316"/>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317"/>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318"/>
      <w:r>
        <w:rPr>
          <w:rStyle w:val="CharDivNo"/>
        </w:rPr>
        <w:t>Division 3</w:t>
      </w:r>
      <w:r>
        <w:t> — </w:t>
      </w:r>
      <w:r>
        <w:rPr>
          <w:rStyle w:val="CharDivText"/>
        </w:rPr>
        <w:t>Arrangements authorised or approved by Governor</w:t>
      </w:r>
      <w:bookmarkEnd w:id="98"/>
    </w:p>
    <w:p>
      <w:pPr>
        <w:pStyle w:val="Heading5"/>
        <w:rPr>
          <w:snapToGrid w:val="0"/>
        </w:rPr>
      </w:pPr>
      <w:bookmarkStart w:id="99" w:name="_Toc379895319"/>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320"/>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321"/>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322"/>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323"/>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324"/>
      <w:r>
        <w:rPr>
          <w:rStyle w:val="CharSectno"/>
        </w:rPr>
        <w:t>79</w:t>
      </w:r>
      <w:r>
        <w:t>.</w:t>
      </w:r>
      <w:r>
        <w:tab/>
      </w:r>
      <w:r>
        <w:rPr>
          <w:snapToGrid w:val="0"/>
        </w:rPr>
        <w:t>Exception to 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325"/>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326"/>
      <w:r>
        <w:rPr>
          <w:rStyle w:val="CharSectno"/>
        </w:rPr>
        <w:t>80</w:t>
      </w:r>
      <w:r>
        <w:t>.</w:t>
      </w:r>
      <w:r>
        <w:tab/>
        <w:t>Terms used</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5327"/>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328"/>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329"/>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0" w:name="_Toc379895330"/>
      <w:r>
        <w:rPr>
          <w:rStyle w:val="CharSectno"/>
        </w:rPr>
        <w:t>84</w:t>
      </w:r>
      <w:r>
        <w:t>.</w:t>
      </w:r>
      <w:r>
        <w:tab/>
        <w:t>Amendment or cancellation</w:t>
      </w:r>
      <w:bookmarkEnd w:id="110"/>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331"/>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332"/>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333"/>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334"/>
      <w:r>
        <w:rPr>
          <w:rStyle w:val="CharPartNo"/>
        </w:rPr>
        <w:t>Part 5</w:t>
      </w:r>
      <w:r>
        <w:t> — </w:t>
      </w:r>
      <w:r>
        <w:rPr>
          <w:rStyle w:val="CharPartText"/>
        </w:rPr>
        <w:t>Provisions about accountability</w:t>
      </w:r>
      <w:bookmarkEnd w:id="114"/>
    </w:p>
    <w:p>
      <w:pPr>
        <w:pStyle w:val="Heading3"/>
      </w:pPr>
      <w:bookmarkStart w:id="115" w:name="_Toc379895335"/>
      <w:r>
        <w:rPr>
          <w:rStyle w:val="CharDivNo"/>
        </w:rPr>
        <w:t>Division 1</w:t>
      </w:r>
      <w:r>
        <w:t> — </w:t>
      </w:r>
      <w:r>
        <w:rPr>
          <w:rStyle w:val="CharDivText"/>
        </w:rPr>
        <w:t>Strategic development plans</w:t>
      </w:r>
      <w:bookmarkEnd w:id="115"/>
    </w:p>
    <w:p>
      <w:pPr>
        <w:pStyle w:val="Heading5"/>
        <w:rPr>
          <w:snapToGrid w:val="0"/>
        </w:rPr>
      </w:pPr>
      <w:bookmarkStart w:id="116" w:name="_Toc379895336"/>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7" w:name="_Toc379895337"/>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8" w:name="_Toc379895338"/>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339"/>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340"/>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341"/>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342"/>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343"/>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344"/>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345"/>
      <w:r>
        <w:rPr>
          <w:rStyle w:val="CharDivNo"/>
        </w:rPr>
        <w:t>Division 2</w:t>
      </w:r>
      <w:r>
        <w:t> — </w:t>
      </w:r>
      <w:r>
        <w:rPr>
          <w:rStyle w:val="CharDivText"/>
        </w:rPr>
        <w:t>Statement of corporate intent</w:t>
      </w:r>
      <w:bookmarkEnd w:id="125"/>
    </w:p>
    <w:p>
      <w:pPr>
        <w:pStyle w:val="Heading5"/>
        <w:rPr>
          <w:snapToGrid w:val="0"/>
        </w:rPr>
      </w:pPr>
      <w:bookmarkStart w:id="126" w:name="_Toc379895346"/>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347"/>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348"/>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349"/>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350"/>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351"/>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352"/>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353"/>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354"/>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355"/>
      <w:r>
        <w:rPr>
          <w:rStyle w:val="CharDivNo"/>
        </w:rPr>
        <w:t>Division 3</w:t>
      </w:r>
      <w:r>
        <w:t> — </w:t>
      </w:r>
      <w:r>
        <w:rPr>
          <w:rStyle w:val="CharDivText"/>
        </w:rPr>
        <w:t>Quarterly and annual reports</w:t>
      </w:r>
      <w:bookmarkEnd w:id="135"/>
    </w:p>
    <w:p>
      <w:pPr>
        <w:pStyle w:val="Heading5"/>
        <w:rPr>
          <w:snapToGrid w:val="0"/>
        </w:rPr>
      </w:pPr>
      <w:bookmarkStart w:id="136" w:name="_Toc379895356"/>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357"/>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358"/>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359"/>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360"/>
      <w:r>
        <w:rPr>
          <w:rStyle w:val="CharDivNo"/>
        </w:rPr>
        <w:t>Division 4</w:t>
      </w:r>
      <w:r>
        <w:t> — </w:t>
      </w:r>
      <w:r>
        <w:rPr>
          <w:rStyle w:val="CharDivText"/>
        </w:rPr>
        <w:t>Ministerial directions</w:t>
      </w:r>
      <w:bookmarkEnd w:id="140"/>
    </w:p>
    <w:p>
      <w:pPr>
        <w:pStyle w:val="Heading5"/>
        <w:rPr>
          <w:snapToGrid w:val="0"/>
        </w:rPr>
      </w:pPr>
      <w:bookmarkStart w:id="141" w:name="_Toc379895361"/>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362"/>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363"/>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364"/>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365"/>
      <w:r>
        <w:rPr>
          <w:rStyle w:val="CharSectno"/>
        </w:rPr>
        <w:t>114</w:t>
      </w:r>
      <w:r>
        <w:t>.</w:t>
      </w:r>
      <w:r>
        <w:tab/>
        <w:t>Directions relating to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366"/>
      <w:r>
        <w:rPr>
          <w:rStyle w:val="CharDivNo"/>
        </w:rPr>
        <w:t>Division 5</w:t>
      </w:r>
      <w:r>
        <w:t> — </w:t>
      </w:r>
      <w:r>
        <w:rPr>
          <w:rStyle w:val="CharDivText"/>
        </w:rPr>
        <w:t>Consultation and provision of information</w:t>
      </w:r>
      <w:bookmarkEnd w:id="146"/>
    </w:p>
    <w:p>
      <w:pPr>
        <w:pStyle w:val="Heading5"/>
        <w:rPr>
          <w:snapToGrid w:val="0"/>
        </w:rPr>
      </w:pPr>
      <w:bookmarkStart w:id="147" w:name="_Toc379895367"/>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368"/>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369"/>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370"/>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371"/>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372"/>
      <w:r>
        <w:rPr>
          <w:rStyle w:val="CharDivNo"/>
        </w:rPr>
        <w:t>Division 6</w:t>
      </w:r>
      <w:r>
        <w:t> — </w:t>
      </w:r>
      <w:r>
        <w:rPr>
          <w:rStyle w:val="CharDivText"/>
        </w:rPr>
        <w:t>Protection from liability</w:t>
      </w:r>
      <w:bookmarkEnd w:id="152"/>
    </w:p>
    <w:p>
      <w:pPr>
        <w:pStyle w:val="Heading5"/>
        <w:rPr>
          <w:snapToGrid w:val="0"/>
        </w:rPr>
      </w:pPr>
      <w:bookmarkStart w:id="153" w:name="_Toc379895373"/>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374"/>
      <w:r>
        <w:rPr>
          <w:rStyle w:val="CharPartNo"/>
        </w:rPr>
        <w:t>Part 6</w:t>
      </w:r>
      <w:r>
        <w:t> — </w:t>
      </w:r>
      <w:r>
        <w:rPr>
          <w:rStyle w:val="CharPartText"/>
        </w:rPr>
        <w:t>Financial provisions</w:t>
      </w:r>
      <w:bookmarkEnd w:id="154"/>
    </w:p>
    <w:p>
      <w:pPr>
        <w:pStyle w:val="Heading3"/>
      </w:pPr>
      <w:bookmarkStart w:id="155" w:name="_Toc379895375"/>
      <w:r>
        <w:rPr>
          <w:rStyle w:val="CharDivNo"/>
        </w:rPr>
        <w:t>Division 1</w:t>
      </w:r>
      <w:r>
        <w:t> — </w:t>
      </w:r>
      <w:r>
        <w:rPr>
          <w:rStyle w:val="CharDivText"/>
        </w:rPr>
        <w:t>General</w:t>
      </w:r>
      <w:bookmarkEnd w:id="155"/>
    </w:p>
    <w:p>
      <w:pPr>
        <w:pStyle w:val="Heading5"/>
        <w:rPr>
          <w:snapToGrid w:val="0"/>
        </w:rPr>
      </w:pPr>
      <w:bookmarkStart w:id="156" w:name="_Toc379895376"/>
      <w:r>
        <w:rPr>
          <w:rStyle w:val="CharSectno"/>
        </w:rPr>
        <w:t>121</w:t>
      </w:r>
      <w:r>
        <w:t>.</w:t>
      </w:r>
      <w:r>
        <w:tab/>
      </w:r>
      <w:r>
        <w:rPr>
          <w:snapToGrid w:val="0"/>
        </w:rPr>
        <w:t>Bank account</w:t>
      </w:r>
      <w:bookmarkEnd w:id="156"/>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57" w:name="_Toc379895377"/>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378"/>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379"/>
      <w:r>
        <w:rPr>
          <w:rStyle w:val="CharDivNo"/>
        </w:rPr>
        <w:t>Division 2</w:t>
      </w:r>
      <w:r>
        <w:t> — </w:t>
      </w:r>
      <w:r>
        <w:rPr>
          <w:rStyle w:val="CharDivText"/>
        </w:rPr>
        <w:t>Payments to State</w:t>
      </w:r>
      <w:bookmarkEnd w:id="159"/>
    </w:p>
    <w:p>
      <w:pPr>
        <w:pStyle w:val="Heading5"/>
        <w:rPr>
          <w:snapToGrid w:val="0"/>
        </w:rPr>
      </w:pPr>
      <w:bookmarkStart w:id="160" w:name="_Toc379895380"/>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381"/>
      <w:r>
        <w:rPr>
          <w:rStyle w:val="CharSectno"/>
        </w:rPr>
        <w:t>125</w:t>
      </w:r>
      <w:r>
        <w:t>.</w:t>
      </w:r>
      <w:r>
        <w:tab/>
      </w:r>
      <w:r>
        <w:rPr>
          <w:snapToGrid w:val="0"/>
        </w:rPr>
        <w:t>Determination of amounts under s.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2" w:name="_Toc379895382"/>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383"/>
      <w:r>
        <w:rPr>
          <w:rStyle w:val="CharDivNo"/>
        </w:rPr>
        <w:t>Division 3</w:t>
      </w:r>
      <w:r>
        <w:t> — </w:t>
      </w:r>
      <w:r>
        <w:rPr>
          <w:rStyle w:val="CharDivText"/>
        </w:rPr>
        <w:t>Borrowing</w:t>
      </w:r>
      <w:bookmarkEnd w:id="163"/>
    </w:p>
    <w:p>
      <w:pPr>
        <w:pStyle w:val="Heading5"/>
        <w:rPr>
          <w:snapToGrid w:val="0"/>
        </w:rPr>
      </w:pPr>
      <w:bookmarkStart w:id="164" w:name="_Toc379895384"/>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385"/>
      <w:r>
        <w:rPr>
          <w:rStyle w:val="CharSectno"/>
        </w:rPr>
        <w:t>128</w:t>
      </w:r>
      <w:r>
        <w:t>.</w:t>
      </w:r>
      <w:r>
        <w:tab/>
      </w:r>
      <w:r>
        <w:rPr>
          <w:snapToGrid w:val="0"/>
        </w:rPr>
        <w:t>Borrowing limits</w:t>
      </w:r>
      <w:bookmarkEnd w:id="16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386"/>
      <w:r>
        <w:rPr>
          <w:rStyle w:val="CharSectno"/>
        </w:rPr>
        <w:t>129</w:t>
      </w:r>
      <w:r>
        <w:t>.</w:t>
      </w:r>
      <w:r>
        <w:tab/>
      </w:r>
      <w:r>
        <w:rPr>
          <w:snapToGrid w:val="0"/>
        </w:rPr>
        <w:t>Hedging transactions</w:t>
      </w:r>
      <w:bookmarkEnd w:id="166"/>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5387"/>
      <w:r>
        <w:rPr>
          <w:rStyle w:val="CharDivNo"/>
        </w:rPr>
        <w:t>Division 4</w:t>
      </w:r>
      <w:r>
        <w:t> — </w:t>
      </w:r>
      <w:r>
        <w:rPr>
          <w:rStyle w:val="CharDivText"/>
        </w:rPr>
        <w:t>Guarantees</w:t>
      </w:r>
      <w:bookmarkEnd w:id="167"/>
    </w:p>
    <w:p>
      <w:pPr>
        <w:pStyle w:val="Heading5"/>
        <w:rPr>
          <w:snapToGrid w:val="0"/>
        </w:rPr>
      </w:pPr>
      <w:bookmarkStart w:id="168" w:name="_Toc379895388"/>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389"/>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390"/>
      <w:r>
        <w:rPr>
          <w:rStyle w:val="CharDivNo"/>
        </w:rPr>
        <w:t>Division 5</w:t>
      </w:r>
      <w:r>
        <w:t> — </w:t>
      </w:r>
      <w:r>
        <w:rPr>
          <w:rStyle w:val="CharDivText"/>
        </w:rPr>
        <w:t>Financial administration and audit</w:t>
      </w:r>
      <w:bookmarkEnd w:id="170"/>
    </w:p>
    <w:p>
      <w:pPr>
        <w:pStyle w:val="Heading5"/>
        <w:rPr>
          <w:snapToGrid w:val="0"/>
        </w:rPr>
      </w:pPr>
      <w:bookmarkStart w:id="171" w:name="_Toc379895391"/>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2" w:name="_Toc379895392"/>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393"/>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394"/>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395"/>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396"/>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397"/>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78" w:name="_Toc379895398"/>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399"/>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400"/>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401"/>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402"/>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403"/>
      <w:r>
        <w:rPr>
          <w:rStyle w:val="CharDivNo"/>
        </w:rPr>
        <w:t>Division 1</w:t>
      </w:r>
      <w:r>
        <w:t> — </w:t>
      </w:r>
      <w:r>
        <w:rPr>
          <w:rStyle w:val="CharDivText"/>
        </w:rPr>
        <w:t>Preliminary</w:t>
      </w:r>
      <w:bookmarkEnd w:id="183"/>
    </w:p>
    <w:p>
      <w:pPr>
        <w:pStyle w:val="Heading5"/>
      </w:pPr>
      <w:bookmarkStart w:id="184" w:name="_Toc379895404"/>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405"/>
      <w:bookmarkEnd w:id="186"/>
      <w:r>
        <w:rPr>
          <w:rStyle w:val="CharSectno"/>
        </w:rPr>
        <w:t>142</w:t>
      </w:r>
      <w:r>
        <w:t>.</w:t>
      </w:r>
      <w:r>
        <w:tab/>
        <w:t>Terms used</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406"/>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191" w:name="_Toc379895407"/>
      <w:r>
        <w:rPr>
          <w:rStyle w:val="CharDivNo"/>
        </w:rPr>
        <w:t>Division 2</w:t>
      </w:r>
      <w:r>
        <w:t> — </w:t>
      </w:r>
      <w:r>
        <w:rPr>
          <w:rStyle w:val="CharDivText"/>
        </w:rPr>
        <w:t>Powers conferred on Minister</w:t>
      </w:r>
      <w:bookmarkEnd w:id="191"/>
    </w:p>
    <w:p>
      <w:pPr>
        <w:pStyle w:val="Heading5"/>
      </w:pPr>
      <w:bookmarkStart w:id="192" w:name="_Toc379895408"/>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409"/>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410"/>
      <w:r>
        <w:rPr>
          <w:rStyle w:val="CharSectno"/>
        </w:rPr>
        <w:t>146</w:t>
      </w:r>
      <w:r>
        <w:t>.</w:t>
      </w:r>
      <w:r>
        <w:tab/>
        <w:t>Directions to be laid before Parliament</w:t>
      </w:r>
      <w:bookmarkEnd w:id="19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411"/>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412"/>
      <w:r>
        <w:t>Subdivision 1 — Making of transfer orders</w:t>
      </w:r>
      <w:bookmarkEnd w:id="199"/>
    </w:p>
    <w:p>
      <w:pPr>
        <w:pStyle w:val="Heading5"/>
      </w:pPr>
      <w:bookmarkStart w:id="200" w:name="_Hlt51740178"/>
      <w:bookmarkStart w:id="201" w:name="_Toc379895413"/>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414"/>
      <w:r>
        <w:rPr>
          <w:rStyle w:val="CharSectno"/>
        </w:rPr>
        <w:t>148</w:t>
      </w:r>
      <w:r>
        <w:t>.</w:t>
      </w:r>
      <w:r>
        <w:tab/>
        <w:t>Order may provide for transfer to subsidiary</w:t>
      </w:r>
      <w:bookmarkEnd w:id="20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09" w:name="_Toc379895415"/>
      <w:r>
        <w:rPr>
          <w:rStyle w:val="CharSectno"/>
        </w:rPr>
        <w:t>149</w:t>
      </w:r>
      <w:r>
        <w:t>.</w:t>
      </w:r>
      <w:r>
        <w:tab/>
        <w:t>Transfer order schedules</w:t>
      </w:r>
      <w:bookmarkEnd w:id="209"/>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10" w:name="_Hlt51740271"/>
      <w:bookmarkStart w:id="211" w:name="_Toc379895416"/>
      <w:bookmarkEnd w:id="210"/>
      <w:r>
        <w:rPr>
          <w:rStyle w:val="CharSectno"/>
        </w:rPr>
        <w:t>150</w:t>
      </w:r>
      <w:r>
        <w:t>.</w:t>
      </w:r>
      <w:r>
        <w:tab/>
        <w:t>Treatment of certain internal arrangements of Western Power Corporation</w:t>
      </w:r>
      <w:bookmarkEnd w:id="211"/>
    </w:p>
    <w:p>
      <w:pPr>
        <w:pStyle w:val="Subsection"/>
        <w:keepNext/>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pPr>
      <w:bookmarkStart w:id="216" w:name="_Toc379895417"/>
      <w:r>
        <w:rPr>
          <w:rStyle w:val="CharSectno"/>
        </w:rPr>
        <w:t>151</w:t>
      </w:r>
      <w:r>
        <w:t>.</w:t>
      </w:r>
      <w:r>
        <w:tab/>
        <w:t>Power to make subsequent order</w:t>
      </w:r>
      <w:bookmarkEnd w:id="216"/>
    </w:p>
    <w:p>
      <w:pPr>
        <w:pStyle w:val="Subsection"/>
        <w:keepNext/>
        <w:keepLines/>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21" w:name="_Toc379895418"/>
      <w:r>
        <w:rPr>
          <w:rStyle w:val="CharSectno"/>
        </w:rPr>
        <w:t>152</w:t>
      </w:r>
      <w:r>
        <w:t>.</w:t>
      </w:r>
      <w:r>
        <w:tab/>
        <w:t>References in Government agreements</w:t>
      </w:r>
      <w:bookmarkEnd w:id="221"/>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419"/>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420"/>
      <w:r>
        <w:t>Subdivision 2 — Operation of transfer orders</w:t>
      </w:r>
      <w:bookmarkEnd w:id="226"/>
      <w:r>
        <w:t xml:space="preserve"> </w:t>
      </w:r>
    </w:p>
    <w:p>
      <w:pPr>
        <w:pStyle w:val="Heading5"/>
      </w:pPr>
      <w:bookmarkStart w:id="227" w:name="_Hlt51742557"/>
      <w:bookmarkStart w:id="228" w:name="_Toc379895421"/>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32" w:name="_Hlt51740835"/>
      <w:r>
        <w:t>159</w:t>
      </w:r>
      <w:bookmarkEnd w:id="232"/>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34" w:name="_Toc379895422"/>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423"/>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424"/>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425"/>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426"/>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48" w:name="_Toc379895427"/>
      <w:r>
        <w:t>Subdivision 3 — Re</w:t>
      </w:r>
      <w:r>
        <w:noBreakHyphen/>
        <w:t>allocation of assets, rights and liabilities</w:t>
      </w:r>
      <w:bookmarkEnd w:id="248"/>
    </w:p>
    <w:p>
      <w:pPr>
        <w:pStyle w:val="Heading5"/>
      </w:pPr>
      <w:bookmarkStart w:id="249" w:name="_Hlt55105718"/>
      <w:bookmarkStart w:id="250" w:name="_Toc379895428"/>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429"/>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430"/>
      <w:r>
        <w:rPr>
          <w:rStyle w:val="CharSectno"/>
        </w:rPr>
        <w:t>162</w:t>
      </w:r>
      <w:r>
        <w:t>.</w:t>
      </w:r>
      <w:r>
        <w:tab/>
        <w:t>Handing over of records</w:t>
      </w:r>
      <w:bookmarkEnd w:id="254"/>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431"/>
      <w:r>
        <w:t>Subdivision 4 — Order that allocated assets or liabilities pass instead to the State</w:t>
      </w:r>
      <w:bookmarkEnd w:id="255"/>
    </w:p>
    <w:p>
      <w:pPr>
        <w:pStyle w:val="Heading5"/>
      </w:pPr>
      <w:bookmarkStart w:id="256" w:name="_Toc379895432"/>
      <w:r>
        <w:rPr>
          <w:rStyle w:val="CharSectno"/>
        </w:rPr>
        <w:t>163</w:t>
      </w:r>
      <w:r>
        <w:t>.</w:t>
      </w:r>
      <w:r>
        <w:tab/>
        <w:t>Minister may order s. 169 is to apply</w:t>
      </w:r>
      <w:bookmarkEnd w:id="256"/>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433"/>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434"/>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435"/>
      <w:r>
        <w:t>Subdivision 5 — Replacement of party in proceedings</w:t>
      </w:r>
      <w:bookmarkEnd w:id="259"/>
    </w:p>
    <w:p>
      <w:pPr>
        <w:pStyle w:val="Heading5"/>
      </w:pPr>
      <w:bookmarkStart w:id="260" w:name="_Hlt51740089"/>
      <w:bookmarkStart w:id="261" w:name="_Toc379895436"/>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437"/>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438"/>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439"/>
      <w:r>
        <w:t>Subdivision 6 — Assets, liabilities and proceedings not otherwise provided for</w:t>
      </w:r>
      <w:bookmarkEnd w:id="264"/>
    </w:p>
    <w:p>
      <w:pPr>
        <w:pStyle w:val="Heading5"/>
      </w:pPr>
      <w:bookmarkStart w:id="265" w:name="_Toc379895440"/>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441"/>
      <w:r>
        <w:rPr>
          <w:rStyle w:val="CharSectno"/>
        </w:rPr>
        <w:t>170</w:t>
      </w:r>
      <w:r>
        <w:t>.</w:t>
      </w:r>
      <w:r>
        <w:tab/>
        <w:t>Provisions incidental to s.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70" w:name="_Toc379895442"/>
      <w:r>
        <w:rPr>
          <w:rStyle w:val="CharSectno"/>
        </w:rPr>
        <w:t>171</w:t>
      </w:r>
      <w:r>
        <w:t>.</w:t>
      </w:r>
      <w:r>
        <w:tab/>
        <w:t>State to be party to proceedings if no provision made</w:t>
      </w:r>
      <w:bookmarkEnd w:id="270"/>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443"/>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444"/>
      <w:r>
        <w:t>Subdivision 7 — Other matters relating to passing of assets and liabilities</w:t>
      </w:r>
      <w:bookmarkEnd w:id="273"/>
    </w:p>
    <w:p>
      <w:pPr>
        <w:pStyle w:val="Heading5"/>
      </w:pPr>
      <w:bookmarkStart w:id="274" w:name="_Toc379895445"/>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446"/>
      <w:r>
        <w:rPr>
          <w:rStyle w:val="CharSectno"/>
        </w:rPr>
        <w:t>174</w:t>
      </w:r>
      <w:r>
        <w:t>.</w:t>
      </w:r>
      <w:r>
        <w:tab/>
        <w:t>Guarantees to which s. 173 does not apply</w:t>
      </w:r>
      <w:bookmarkEnd w:id="277"/>
    </w:p>
    <w:p>
      <w:pPr>
        <w:pStyle w:val="Subsection"/>
        <w:spacing w:before="100"/>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447"/>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448"/>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449"/>
      <w:r>
        <w:rPr>
          <w:rStyle w:val="CharSectno"/>
        </w:rPr>
        <w:t>177</w:t>
      </w:r>
      <w:r>
        <w:t>.</w:t>
      </w:r>
      <w:r>
        <w:tab/>
        <w:t>Exemption from State taxation</w:t>
      </w:r>
      <w:bookmarkEnd w:id="285"/>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287" w:name="_Toc379895450"/>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451"/>
      <w:r>
        <w:rPr>
          <w:rStyle w:val="CharDivNo"/>
        </w:rPr>
        <w:t>Division 4</w:t>
      </w:r>
      <w:r>
        <w:t> — </w:t>
      </w:r>
      <w:r>
        <w:rPr>
          <w:rStyle w:val="CharDivText"/>
        </w:rPr>
        <w:t>Staff</w:t>
      </w:r>
      <w:bookmarkEnd w:id="292"/>
    </w:p>
    <w:p>
      <w:pPr>
        <w:pStyle w:val="Heading5"/>
      </w:pPr>
      <w:bookmarkStart w:id="293" w:name="_Hlt55026443"/>
      <w:bookmarkStart w:id="294" w:name="_Toc379895452"/>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453"/>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454"/>
      <w:r>
        <w:rPr>
          <w:rStyle w:val="CharDivNo"/>
        </w:rPr>
        <w:t>Division 5</w:t>
      </w:r>
      <w:r>
        <w:t> — </w:t>
      </w:r>
      <w:r>
        <w:rPr>
          <w:rStyle w:val="CharDivText"/>
        </w:rPr>
        <w:t>Contracts with tariff customers</w:t>
      </w:r>
      <w:bookmarkEnd w:id="296"/>
    </w:p>
    <w:p>
      <w:pPr>
        <w:pStyle w:val="Heading5"/>
        <w:spacing w:before="180"/>
      </w:pPr>
      <w:bookmarkStart w:id="297" w:name="_Toc379895455"/>
      <w:r>
        <w:rPr>
          <w:rStyle w:val="CharSectno"/>
        </w:rPr>
        <w:t>181</w:t>
      </w:r>
      <w:r>
        <w:t>.</w:t>
      </w:r>
      <w:r>
        <w:tab/>
        <w:t>Minister to prescribe contracts</w:t>
      </w:r>
      <w:bookmarkEnd w:id="29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298" w:name="_Toc379895456"/>
      <w:r>
        <w:rPr>
          <w:rStyle w:val="CharDivNo"/>
        </w:rPr>
        <w:t>Division 6</w:t>
      </w:r>
      <w:r>
        <w:t> — </w:t>
      </w:r>
      <w:r>
        <w:rPr>
          <w:rStyle w:val="CharDivText"/>
        </w:rPr>
        <w:t>Other transitional provisions</w:t>
      </w:r>
      <w:bookmarkEnd w:id="298"/>
    </w:p>
    <w:p>
      <w:pPr>
        <w:pStyle w:val="Heading5"/>
        <w:spacing w:before="180"/>
      </w:pPr>
      <w:bookmarkStart w:id="299" w:name="_Toc379895457"/>
      <w:r>
        <w:rPr>
          <w:rStyle w:val="CharSectno"/>
        </w:rPr>
        <w:t>182</w:t>
      </w:r>
      <w:r>
        <w:t>.</w:t>
      </w:r>
      <w:r>
        <w:tab/>
        <w:t>Annual report</w:t>
      </w:r>
      <w:bookmarkEnd w:id="29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458"/>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459"/>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460"/>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461"/>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462"/>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463"/>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464"/>
      <w:r>
        <w:rPr>
          <w:rStyle w:val="CharDivNo"/>
        </w:rPr>
        <w:t>Division 7</w:t>
      </w:r>
      <w:r>
        <w:t> — </w:t>
      </w:r>
      <w:r>
        <w:rPr>
          <w:rStyle w:val="CharDivText"/>
        </w:rPr>
        <w:t>Making of further provision by regulation</w:t>
      </w:r>
      <w:bookmarkEnd w:id="306"/>
    </w:p>
    <w:p>
      <w:pPr>
        <w:pStyle w:val="Heading5"/>
        <w:spacing w:before="120"/>
      </w:pPr>
      <w:bookmarkStart w:id="307" w:name="_Toc379895465"/>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08" w:name="_Toc379895466"/>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467"/>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468"/>
      <w:r>
        <w:rPr>
          <w:rStyle w:val="CharDivNo"/>
        </w:rPr>
        <w:t>Division 8</w:t>
      </w:r>
      <w:r>
        <w:t> — </w:t>
      </w:r>
      <w:r>
        <w:rPr>
          <w:rStyle w:val="CharDivText"/>
        </w:rPr>
        <w:t>Indemnities and guarantees</w:t>
      </w:r>
      <w:bookmarkEnd w:id="310"/>
    </w:p>
    <w:p>
      <w:pPr>
        <w:pStyle w:val="Heading5"/>
      </w:pPr>
      <w:bookmarkStart w:id="311" w:name="_Toc379895469"/>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312" w:name="_Toc379895470"/>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5471"/>
      <w:r>
        <w:rPr>
          <w:rStyle w:val="CharSClsNo"/>
        </w:rPr>
        <w:t>1</w:t>
      </w:r>
      <w:r>
        <w:t>.</w:t>
      </w:r>
      <w:r>
        <w:tab/>
        <w:t>Term used: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5472"/>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5473"/>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5474"/>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317" w:name="_Toc379895475"/>
      <w:r>
        <w:rPr>
          <w:rStyle w:val="CharSClsNo"/>
        </w:rPr>
        <w:t>5</w:t>
      </w:r>
      <w:r>
        <w:t>.</w:t>
      </w:r>
      <w:r>
        <w:tab/>
        <w:t>Alternate directors</w:t>
      </w:r>
      <w:bookmarkEnd w:id="317"/>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318" w:name="_Toc379895476"/>
      <w:r>
        <w:rPr>
          <w:rStyle w:val="CharSClsNo"/>
        </w:rPr>
        <w:t>6</w:t>
      </w:r>
      <w:r>
        <w:t>.</w:t>
      </w:r>
      <w:r>
        <w:tab/>
        <w:t>Meetings</w:t>
      </w:r>
      <w:bookmarkEnd w:id="31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5477"/>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5478"/>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5479"/>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5480"/>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5481"/>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482"/>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5483"/>
      <w:r>
        <w:rPr>
          <w:rStyle w:val="CharSDivNo"/>
        </w:rPr>
        <w:t>Division 1</w:t>
      </w:r>
      <w:r>
        <w:t> — </w:t>
      </w:r>
      <w:r>
        <w:rPr>
          <w:rStyle w:val="CharSDivText"/>
        </w:rPr>
        <w:t>Preliminary</w:t>
      </w:r>
      <w:bookmarkEnd w:id="325"/>
    </w:p>
    <w:p>
      <w:pPr>
        <w:pStyle w:val="yHeading5"/>
        <w:outlineLvl w:val="0"/>
      </w:pPr>
      <w:bookmarkStart w:id="326" w:name="_Toc379895484"/>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5485"/>
      <w:r>
        <w:rPr>
          <w:rStyle w:val="CharSDivNo"/>
        </w:rPr>
        <w:t>Division 2</w:t>
      </w:r>
      <w:r>
        <w:t> — </w:t>
      </w:r>
      <w:r>
        <w:rPr>
          <w:rStyle w:val="CharSDivText"/>
        </w:rPr>
        <w:t>Certain duties stated</w:t>
      </w:r>
      <w:bookmarkEnd w:id="327"/>
    </w:p>
    <w:p>
      <w:pPr>
        <w:pStyle w:val="yHeading5"/>
        <w:outlineLvl w:val="0"/>
      </w:pPr>
      <w:bookmarkStart w:id="328" w:name="_Toc379895486"/>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5487"/>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5488"/>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5489"/>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5490"/>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5491"/>
      <w:r>
        <w:rPr>
          <w:rStyle w:val="CharSDivNo"/>
        </w:rPr>
        <w:t>Division 3</w:t>
      </w:r>
      <w:r>
        <w:t> — </w:t>
      </w:r>
      <w:r>
        <w:rPr>
          <w:rStyle w:val="CharSDivText"/>
        </w:rPr>
        <w:t>Recovery from director</w:t>
      </w:r>
      <w:bookmarkEnd w:id="333"/>
    </w:p>
    <w:p>
      <w:pPr>
        <w:pStyle w:val="yHeading5"/>
        <w:outlineLvl w:val="0"/>
      </w:pPr>
      <w:bookmarkStart w:id="334" w:name="_Toc379895492"/>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5493"/>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5494"/>
      <w:r>
        <w:rPr>
          <w:rStyle w:val="CharSDivNo"/>
        </w:rPr>
        <w:t>Division 4</w:t>
      </w:r>
      <w:r>
        <w:t> — </w:t>
      </w:r>
      <w:r>
        <w:rPr>
          <w:rStyle w:val="CharSDivText"/>
        </w:rPr>
        <w:t>Relief from liability</w:t>
      </w:r>
      <w:bookmarkEnd w:id="336"/>
    </w:p>
    <w:p>
      <w:pPr>
        <w:pStyle w:val="yHeading5"/>
        <w:outlineLvl w:val="0"/>
      </w:pPr>
      <w:bookmarkStart w:id="337" w:name="_Toc379895495"/>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5496"/>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5497"/>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5498"/>
      <w:r>
        <w:rPr>
          <w:rStyle w:val="CharSDivNo"/>
        </w:rPr>
        <w:t>Division 5</w:t>
      </w:r>
      <w:r>
        <w:t> — </w:t>
      </w:r>
      <w:r>
        <w:rPr>
          <w:rStyle w:val="CharSDivText"/>
        </w:rPr>
        <w:t>Personal interests of directors, disclosure and voting</w:t>
      </w:r>
      <w:bookmarkEnd w:id="340"/>
    </w:p>
    <w:p>
      <w:pPr>
        <w:pStyle w:val="yHeading5"/>
        <w:outlineLvl w:val="0"/>
      </w:pPr>
      <w:bookmarkStart w:id="341" w:name="_Toc379895499"/>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5500"/>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5501"/>
      <w:r>
        <w:rPr>
          <w:rStyle w:val="CharSDivNo"/>
        </w:rPr>
        <w:t>Division 6</w:t>
      </w:r>
      <w:r>
        <w:t> — </w:t>
      </w:r>
      <w:r>
        <w:rPr>
          <w:rStyle w:val="CharSDivText"/>
        </w:rPr>
        <w:t>Other prohibited conduct</w:t>
      </w:r>
      <w:bookmarkEnd w:id="343"/>
    </w:p>
    <w:p>
      <w:pPr>
        <w:pStyle w:val="yHeading5"/>
        <w:outlineLvl w:val="0"/>
      </w:pPr>
      <w:bookmarkStart w:id="344" w:name="_Toc379895502"/>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5503"/>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5504"/>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505"/>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5506"/>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5507"/>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5508"/>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5509"/>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5510"/>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5511"/>
      <w:r>
        <w:rPr>
          <w:rStyle w:val="CharSDivNo"/>
        </w:rPr>
        <w:t>Division 1</w:t>
      </w:r>
      <w:r>
        <w:t> — </w:t>
      </w:r>
      <w:r>
        <w:rPr>
          <w:rStyle w:val="CharSDivText"/>
        </w:rPr>
        <w:t>Preliminary</w:t>
      </w:r>
      <w:bookmarkEnd w:id="353"/>
    </w:p>
    <w:p>
      <w:pPr>
        <w:pStyle w:val="yHeading5"/>
        <w:outlineLvl w:val="9"/>
      </w:pPr>
      <w:bookmarkStart w:id="354" w:name="_Toc379895512"/>
      <w:r>
        <w:rPr>
          <w:rStyle w:val="CharSClsNo"/>
        </w:rPr>
        <w:t>1</w:t>
      </w:r>
      <w:r>
        <w:t>.</w:t>
      </w:r>
      <w:r>
        <w:tab/>
        <w:t>Terms used</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5513"/>
      <w:r>
        <w:rPr>
          <w:rStyle w:val="CharSDivNo"/>
        </w:rPr>
        <w:t>Division 2</w:t>
      </w:r>
      <w:r>
        <w:t> — </w:t>
      </w:r>
      <w:r>
        <w:rPr>
          <w:rStyle w:val="CharSDivText"/>
        </w:rPr>
        <w:t>Financial records</w:t>
      </w:r>
      <w:bookmarkEnd w:id="355"/>
    </w:p>
    <w:p>
      <w:pPr>
        <w:pStyle w:val="yHeading5"/>
        <w:outlineLvl w:val="9"/>
      </w:pPr>
      <w:bookmarkStart w:id="356" w:name="_Toc379895514"/>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515"/>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516"/>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517"/>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5518"/>
      <w:r>
        <w:rPr>
          <w:rStyle w:val="CharSDivNo"/>
        </w:rPr>
        <w:t>Division 3</w:t>
      </w:r>
      <w:r>
        <w:t> — </w:t>
      </w:r>
      <w:r>
        <w:rPr>
          <w:rStyle w:val="CharSDivText"/>
        </w:rPr>
        <w:t>Financial reporting</w:t>
      </w:r>
      <w:bookmarkEnd w:id="360"/>
    </w:p>
    <w:p>
      <w:pPr>
        <w:pStyle w:val="yHeading4"/>
      </w:pPr>
      <w:bookmarkStart w:id="361" w:name="_Toc379895519"/>
      <w:r>
        <w:t>Subdivision 1 — Annual financial reports and directors’ reports</w:t>
      </w:r>
      <w:bookmarkEnd w:id="361"/>
    </w:p>
    <w:p>
      <w:pPr>
        <w:pStyle w:val="yHeading5"/>
        <w:outlineLvl w:val="9"/>
      </w:pPr>
      <w:bookmarkStart w:id="362" w:name="_Toc379895520"/>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521"/>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522"/>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523"/>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524"/>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525"/>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526"/>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527"/>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528"/>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5529"/>
      <w:r>
        <w:t>Subdivision 2 — Audit and auditor’s report</w:t>
      </w:r>
      <w:bookmarkEnd w:id="371"/>
    </w:p>
    <w:p>
      <w:pPr>
        <w:pStyle w:val="yHeading5"/>
        <w:outlineLvl w:val="9"/>
      </w:pPr>
      <w:bookmarkStart w:id="372" w:name="_Toc379895530"/>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373" w:name="_Toc379895531"/>
      <w:r>
        <w:rPr>
          <w:rStyle w:val="CharSClsNo"/>
        </w:rPr>
        <w:t>16</w:t>
      </w:r>
      <w:r>
        <w:t>.</w:t>
      </w:r>
      <w:r>
        <w:tab/>
        <w:t>Auditor General’s report on annual financial report</w:t>
      </w:r>
      <w:r>
        <w:br/>
      </w:r>
      <w:r>
        <w:rPr>
          <w:i/>
        </w:rPr>
        <w:t>(cf. Corporations Act s. 308)</w:t>
      </w:r>
      <w:bookmarkEnd w:id="37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532"/>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533"/>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5534"/>
      <w:r>
        <w:t>Subdivision 3 — Special provisions about consolidated financial statements</w:t>
      </w:r>
      <w:bookmarkEnd w:id="376"/>
    </w:p>
    <w:p>
      <w:pPr>
        <w:pStyle w:val="yHeading5"/>
        <w:outlineLvl w:val="9"/>
      </w:pPr>
      <w:bookmarkStart w:id="377" w:name="_Toc379895535"/>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536"/>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537"/>
      <w:r>
        <w:rPr>
          <w:rStyle w:val="CharSClsNo"/>
        </w:rPr>
        <w:t>21</w:t>
      </w:r>
      <w:r>
        <w:t>.</w:t>
      </w:r>
      <w:r>
        <w:tab/>
        <w:t>Controlled entity to assist the Auditor General</w:t>
      </w:r>
      <w:r>
        <w:br/>
      </w:r>
      <w:r>
        <w:rPr>
          <w:i/>
        </w:rPr>
        <w:t>(cf. Corporations Act s. 323B)</w:t>
      </w:r>
      <w:bookmarkEnd w:id="379"/>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538"/>
      <w:r>
        <w:rPr>
          <w:rStyle w:val="CharSClsNo"/>
        </w:rPr>
        <w:t>22</w:t>
      </w:r>
      <w:r>
        <w:t>.</w:t>
      </w:r>
      <w:r>
        <w:tab/>
        <w:t>Application of subdivision to entity that has ceased to be controlled</w:t>
      </w:r>
      <w:r>
        <w:br/>
      </w:r>
      <w:r>
        <w:rPr>
          <w:i/>
        </w:rPr>
        <w:t>(cf. Corporations Act s. 323C)</w:t>
      </w:r>
      <w:bookmarkEnd w:id="380"/>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539"/>
      <w:r>
        <w:t>Subdivision 4 — Financial years of the corporation and the entities it controls</w:t>
      </w:r>
      <w:bookmarkEnd w:id="381"/>
    </w:p>
    <w:p>
      <w:pPr>
        <w:pStyle w:val="yHeading5"/>
        <w:spacing w:before="180"/>
        <w:outlineLvl w:val="9"/>
      </w:pPr>
      <w:bookmarkStart w:id="382" w:name="_Toc379895540"/>
      <w:r>
        <w:rPr>
          <w:rStyle w:val="CharSClsNo"/>
        </w:rPr>
        <w:t>23</w:t>
      </w:r>
      <w:r>
        <w:t>.</w:t>
      </w:r>
      <w:r>
        <w:tab/>
        <w:t>Financial years</w:t>
      </w:r>
      <w:r>
        <w:br/>
      </w:r>
      <w:r>
        <w:rPr>
          <w:i/>
        </w:rPr>
        <w:t>(cf. Corporations Act s. 323D)</w:t>
      </w:r>
      <w:bookmarkEnd w:id="38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383" w:name="_Toc379895541"/>
      <w:r>
        <w:rPr>
          <w:rStyle w:val="CharSDivNo"/>
        </w:rPr>
        <w:t>Division 4</w:t>
      </w:r>
      <w:r>
        <w:t> — </w:t>
      </w:r>
      <w:r>
        <w:rPr>
          <w:rStyle w:val="CharSDivText"/>
        </w:rPr>
        <w:t>Accounting standards</w:t>
      </w:r>
      <w:bookmarkEnd w:id="383"/>
    </w:p>
    <w:p>
      <w:pPr>
        <w:pStyle w:val="yHeading5"/>
        <w:outlineLvl w:val="9"/>
      </w:pPr>
      <w:bookmarkStart w:id="384" w:name="_Toc379895542"/>
      <w:r>
        <w:rPr>
          <w:rStyle w:val="CharSClsNo"/>
        </w:rPr>
        <w:t>24</w:t>
      </w:r>
      <w:r>
        <w:t>.</w:t>
      </w:r>
      <w:r>
        <w:tab/>
        <w:t>Accounting standards</w:t>
      </w:r>
      <w:r>
        <w:br/>
      </w:r>
      <w:r>
        <w:rPr>
          <w:i/>
        </w:rPr>
        <w:t>(cf. Corporations Act s. 334)</w:t>
      </w:r>
      <w:bookmarkEnd w:id="38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543"/>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544"/>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545"/>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5546"/>
      <w:r>
        <w:rPr>
          <w:rStyle w:val="CharSDivNo"/>
        </w:rPr>
        <w:t>Division 5</w:t>
      </w:r>
      <w:r>
        <w:t> — </w:t>
      </w:r>
      <w:r>
        <w:rPr>
          <w:rStyle w:val="CharSDivText"/>
        </w:rPr>
        <w:t>Exemptions and modifications</w:t>
      </w:r>
      <w:bookmarkEnd w:id="388"/>
    </w:p>
    <w:p>
      <w:pPr>
        <w:pStyle w:val="yHeading5"/>
        <w:outlineLvl w:val="9"/>
      </w:pPr>
      <w:bookmarkStart w:id="389" w:name="_Toc379895547"/>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548"/>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391" w:name="_Toc379895549"/>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5550"/>
      <w:r>
        <w:rPr>
          <w:rStyle w:val="CharSDivNo"/>
        </w:rPr>
        <w:t>Division 6</w:t>
      </w:r>
      <w:r>
        <w:t> — </w:t>
      </w:r>
      <w:r>
        <w:rPr>
          <w:rStyle w:val="CharSDivText"/>
        </w:rPr>
        <w:t>Sanctions for contraventions of this Schedule</w:t>
      </w:r>
      <w:bookmarkEnd w:id="392"/>
    </w:p>
    <w:p>
      <w:pPr>
        <w:pStyle w:val="yHeading5"/>
        <w:outlineLvl w:val="9"/>
      </w:pPr>
      <w:bookmarkStart w:id="393" w:name="_Toc379895551"/>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5552"/>
      <w:r>
        <w:rPr>
          <w:rStyle w:val="CharSDivNo"/>
        </w:rPr>
        <w:t>Division 7</w:t>
      </w:r>
      <w:r>
        <w:t> — </w:t>
      </w:r>
      <w:r>
        <w:rPr>
          <w:rStyle w:val="CharSDivText"/>
        </w:rPr>
        <w:t>Miscellaneous</w:t>
      </w:r>
      <w:bookmarkEnd w:id="394"/>
    </w:p>
    <w:p>
      <w:pPr>
        <w:pStyle w:val="yHeading5"/>
        <w:outlineLvl w:val="9"/>
      </w:pPr>
      <w:bookmarkStart w:id="395" w:name="_Toc379895553"/>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554"/>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5555"/>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398" w:name="_Toc379895556"/>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399" w:name="_Toc379895557"/>
      <w:r>
        <w:rPr>
          <w:rStyle w:val="CharSchNo"/>
        </w:rPr>
        <w:t>Schedule 5</w:t>
      </w:r>
      <w:r>
        <w:t> — </w:t>
      </w:r>
      <w:r>
        <w:rPr>
          <w:rStyle w:val="CharSchText"/>
        </w:rPr>
        <w:t>Amendments to other Acts</w:t>
      </w:r>
      <w:bookmarkEnd w:id="399"/>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400" w:name="_Toc379895558"/>
      <w:r>
        <w:rPr>
          <w:rStyle w:val="CharSDivNo"/>
        </w:rPr>
        <w:t>Division 4</w:t>
      </w:r>
      <w:r>
        <w:t> — </w:t>
      </w:r>
      <w:r>
        <w:rPr>
          <w:rStyle w:val="CharSDivText"/>
          <w:i/>
        </w:rPr>
        <w:t>Electricity Corporation Act 1994</w:t>
      </w:r>
      <w:bookmarkEnd w:id="400"/>
    </w:p>
    <w:p>
      <w:pPr>
        <w:pStyle w:val="yHeading5"/>
        <w:outlineLvl w:val="0"/>
      </w:pPr>
      <w:bookmarkStart w:id="401" w:name="_Toc379895559"/>
      <w:r>
        <w:rPr>
          <w:rStyle w:val="CharSClsNo"/>
        </w:rPr>
        <w:t>7</w:t>
      </w:r>
      <w:r>
        <w:t>.</w:t>
      </w:r>
      <w:r>
        <w:tab/>
        <w:t>The Act amended</w:t>
      </w:r>
      <w:bookmarkEnd w:id="401"/>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402" w:name="_Toc379895560"/>
      <w:r>
        <w:rPr>
          <w:rStyle w:val="CharSClsNo"/>
        </w:rPr>
        <w:t>22</w:t>
      </w:r>
      <w:r>
        <w:t>.</w:t>
      </w:r>
      <w:r>
        <w:tab/>
        <w:t>Schedule 7 repealed and saving provisions</w:t>
      </w:r>
      <w:bookmarkEnd w:id="402"/>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03" w:name="_Toc379895561"/>
      <w:r>
        <w:t>Notes</w:t>
      </w:r>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4" w:name="_Toc379895562"/>
      <w:r>
        <w:rPr>
          <w:snapToGrid w:val="0"/>
        </w:rPr>
        <w:t>Compilation table</w:t>
      </w:r>
      <w:bookmarkEnd w:id="404"/>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452"/>
        <w:gridCol w:w="61"/>
        <w:gridCol w:w="8"/>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2" w:type="dxa"/>
            <w:gridSpan w:val="4"/>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2" w:type="dxa"/>
            <w:gridSpan w:val="4"/>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gridSpan w:val="4"/>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w:t>
            </w:r>
            <w:r>
              <w:rPr>
                <w:snapToGrid w:val="0"/>
                <w:sz w:val="19"/>
                <w:lang w:val="en-US"/>
              </w:rPr>
              <w:t>s. 4, 5(1) and Sch. 1 cl. 53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z w:val="19"/>
              </w:rPr>
            </w:pPr>
            <w:r>
              <w:rPr>
                <w:snapToGrid w:val="0"/>
                <w:sz w:val="19"/>
                <w:lang w:val="en-US"/>
              </w:rPr>
              <w:t>21 Dec 2006</w:t>
            </w:r>
          </w:p>
        </w:tc>
        <w:tc>
          <w:tcPr>
            <w:tcW w:w="2552" w:type="dxa"/>
            <w:gridSpan w:val="4"/>
          </w:tcPr>
          <w:p>
            <w:pPr>
              <w:pStyle w:val="nTable"/>
              <w:spacing w:before="80" w:after="8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8"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4"/>
          </w:tcPr>
          <w:p>
            <w:pPr>
              <w:pStyle w:val="nTable"/>
              <w:spacing w:before="80" w:after="80"/>
              <w:rPr>
                <w:sz w:val="19"/>
              </w:rPr>
            </w:pPr>
            <w:r>
              <w:rPr>
                <w:sz w:val="19"/>
              </w:rPr>
              <w:t>22 May 2009 (see s. 2(b))</w:t>
            </w:r>
          </w:p>
        </w:tc>
      </w:tr>
      <w:tr>
        <w:trPr>
          <w:gridAfter w:val="1"/>
          <w:wAfter w:w="8" w:type="dxa"/>
          <w:cantSplit/>
        </w:trPr>
        <w:tc>
          <w:tcPr>
            <w:tcW w:w="7087" w:type="dxa"/>
            <w:gridSpan w:val="10"/>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2"/>
          <w:wAfter w:w="69" w:type="dxa"/>
          <w:cantSplit/>
        </w:trPr>
        <w:tc>
          <w:tcPr>
            <w:tcW w:w="2268" w:type="dxa"/>
            <w:gridSpan w:val="2"/>
            <w:tcBorders>
              <w:top w:val="nil"/>
              <w:bottom w:val="single" w:sz="4" w:space="0" w:color="auto"/>
            </w:tcBorders>
          </w:tcPr>
          <w:p>
            <w:pPr>
              <w:pStyle w:val="nTable"/>
              <w:spacing w:after="40"/>
              <w:ind w:right="113"/>
            </w:pPr>
            <w:r>
              <w:rPr>
                <w:i/>
                <w:snapToGrid w:val="0"/>
                <w:sz w:val="19"/>
                <w:lang w:val="en-US"/>
              </w:rPr>
              <w:t>Approvals and Related Reforms (No. 4) (Planning) Act 2010</w:t>
            </w:r>
            <w:r>
              <w:t xml:space="preserve"> s. 31</w:t>
            </w:r>
            <w:r>
              <w:rPr>
                <w:vertAlign w:val="superscript"/>
              </w:rPr>
              <w:t> </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28 of 2010</w:t>
            </w:r>
          </w:p>
        </w:tc>
        <w:tc>
          <w:tcPr>
            <w:tcW w:w="1172" w:type="dxa"/>
            <w:gridSpan w:val="4"/>
            <w:tcBorders>
              <w:top w:val="nil"/>
              <w:bottom w:val="single" w:sz="4" w:space="0" w:color="auto"/>
            </w:tcBorders>
          </w:tcPr>
          <w:p>
            <w:pPr>
              <w:pStyle w:val="nTable"/>
              <w:spacing w:after="40"/>
              <w:rPr>
                <w:snapToGrid w:val="0"/>
                <w:sz w:val="19"/>
                <w:lang w:val="en-US"/>
              </w:rPr>
            </w:pPr>
            <w:r>
              <w:rPr>
                <w:snapToGrid w:val="0"/>
                <w:sz w:val="19"/>
                <w:lang w:val="en-US"/>
              </w:rPr>
              <w:t>19 Aug 2010</w:t>
            </w:r>
          </w:p>
        </w:tc>
        <w:tc>
          <w:tcPr>
            <w:tcW w:w="2452" w:type="dxa"/>
            <w:tcBorders>
              <w:top w:val="nil"/>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keepNext/>
        <w:spacing w:before="360"/>
        <w:ind w:left="482" w:hanging="482"/>
      </w:pPr>
      <w:r>
        <w:rPr>
          <w:vertAlign w:val="superscript"/>
        </w:rPr>
        <w:t>1a</w:t>
      </w:r>
      <w:r>
        <w:tab/>
        <w:t>On the date as at which thi</w:t>
      </w:r>
      <w:bookmarkStart w:id="405" w:name="_Hlt507390729"/>
      <w:bookmarkEnd w:id="4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6" w:name="_Toc379895563"/>
      <w:r>
        <w:rPr>
          <w:snapToGrid w:val="0"/>
        </w:rPr>
        <w:t>Provisions that have not come into operation</w:t>
      </w:r>
      <w:bookmarkEnd w:id="406"/>
    </w:p>
    <w:tbl>
      <w:tblPr>
        <w:tblW w:w="7054"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9"/>
        <w:gridCol w:w="1127"/>
        <w:gridCol w:w="1131"/>
        <w:gridCol w:w="2537"/>
      </w:tblGrid>
      <w:tr>
        <w:trPr>
          <w:tblHeader/>
        </w:trPr>
        <w:tc>
          <w:tcPr>
            <w:tcW w:w="2259"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Short title</w:t>
            </w:r>
          </w:p>
        </w:tc>
        <w:tc>
          <w:tcPr>
            <w:tcW w:w="112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1"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Assent</w:t>
            </w:r>
          </w:p>
        </w:tc>
        <w:tc>
          <w:tcPr>
            <w:tcW w:w="2537"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9" w:type="dxa"/>
            <w:tcBorders>
              <w:top w:val="single" w:sz="8" w:space="0" w:color="auto"/>
            </w:tcBorders>
          </w:tcPr>
          <w:p>
            <w:pPr>
              <w:pStyle w:val="nTable"/>
              <w:keepNext/>
              <w:keepLines/>
              <w:spacing w:before="60" w:after="6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4</w:t>
            </w:r>
          </w:p>
        </w:tc>
        <w:tc>
          <w:tcPr>
            <w:tcW w:w="1127" w:type="dxa"/>
            <w:tcBorders>
              <w:top w:val="single" w:sz="8" w:space="0" w:color="auto"/>
            </w:tcBorders>
          </w:tcPr>
          <w:p>
            <w:pPr>
              <w:pStyle w:val="nTable"/>
              <w:keepNext/>
              <w:keepLines/>
              <w:spacing w:before="60" w:after="60"/>
              <w:rPr>
                <w:sz w:val="19"/>
              </w:rPr>
            </w:pPr>
            <w:r>
              <w:rPr>
                <w:snapToGrid w:val="0"/>
                <w:sz w:val="19"/>
                <w:lang w:val="en-US"/>
              </w:rPr>
              <w:t>25 of 2007</w:t>
            </w:r>
          </w:p>
        </w:tc>
        <w:tc>
          <w:tcPr>
            <w:tcW w:w="1131" w:type="dxa"/>
            <w:tcBorders>
              <w:top w:val="single" w:sz="8" w:space="0" w:color="auto"/>
            </w:tcBorders>
          </w:tcPr>
          <w:p>
            <w:pPr>
              <w:pStyle w:val="nTable"/>
              <w:keepNext/>
              <w:keepLines/>
              <w:spacing w:before="60" w:after="60"/>
              <w:rPr>
                <w:sz w:val="19"/>
              </w:rPr>
            </w:pPr>
            <w:r>
              <w:rPr>
                <w:sz w:val="19"/>
              </w:rPr>
              <w:t>16 Oct 2007</w:t>
            </w:r>
          </w:p>
        </w:tc>
        <w:tc>
          <w:tcPr>
            <w:tcW w:w="2537" w:type="dxa"/>
            <w:tcBorders>
              <w:top w:val="single" w:sz="8" w:space="0" w:color="auto"/>
            </w:tcBorders>
          </w:tcPr>
          <w:p>
            <w:pPr>
              <w:pStyle w:val="nTable"/>
              <w:keepNext/>
              <w:keepLines/>
              <w:spacing w:before="60" w:after="6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59"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75 </w:t>
            </w:r>
            <w:r>
              <w:rPr>
                <w:iCs/>
                <w:snapToGrid w:val="0"/>
                <w:sz w:val="19"/>
                <w:vertAlign w:val="superscript"/>
                <w:lang w:val="en-US"/>
              </w:rPr>
              <w:t>6</w:t>
            </w:r>
          </w:p>
        </w:tc>
        <w:tc>
          <w:tcPr>
            <w:tcW w:w="1127" w:type="dxa"/>
            <w:tcBorders>
              <w:top w:val="nil"/>
            </w:tcBorders>
          </w:tcPr>
          <w:p>
            <w:pPr>
              <w:pStyle w:val="nTable"/>
              <w:spacing w:after="40"/>
              <w:rPr>
                <w:snapToGrid w:val="0"/>
                <w:sz w:val="19"/>
                <w:lang w:val="en-US"/>
              </w:rPr>
            </w:pPr>
            <w:r>
              <w:rPr>
                <w:snapToGrid w:val="0"/>
                <w:sz w:val="19"/>
                <w:lang w:val="en-US"/>
              </w:rPr>
              <w:t>39 of 2010</w:t>
            </w:r>
          </w:p>
        </w:tc>
        <w:tc>
          <w:tcPr>
            <w:tcW w:w="1131" w:type="dxa"/>
            <w:tcBorders>
              <w:top w:val="nil"/>
            </w:tcBorders>
          </w:tcPr>
          <w:p>
            <w:pPr>
              <w:pStyle w:val="nTable"/>
              <w:spacing w:after="40"/>
              <w:rPr>
                <w:snapToGrid w:val="0"/>
                <w:sz w:val="19"/>
                <w:lang w:val="en-US"/>
              </w:rPr>
            </w:pPr>
            <w:r>
              <w:rPr>
                <w:sz w:val="19"/>
              </w:rPr>
              <w:t>1 Oct 2010</w:t>
            </w:r>
          </w:p>
        </w:tc>
        <w:tc>
          <w:tcPr>
            <w:tcW w:w="2537"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407" w:name="_Hlt50948796"/>
      <w:bookmarkStart w:id="408" w:name="_Hlt50864972"/>
      <w:bookmarkStart w:id="409" w:name="_Hlt50773385"/>
      <w:bookmarkStart w:id="410" w:name="_Hlt50860623"/>
      <w:bookmarkStart w:id="411" w:name="_Hlt50861589"/>
      <w:bookmarkStart w:id="412" w:name="_Hlt50861960"/>
      <w:bookmarkStart w:id="413" w:name="_Hlt50861626"/>
      <w:bookmarkStart w:id="414" w:name="_Hlt50862118"/>
      <w:bookmarkStart w:id="415" w:name="_Hlt50862126"/>
      <w:bookmarkStart w:id="416" w:name="_Hlt50950915"/>
      <w:bookmarkStart w:id="417" w:name="_Hlt50950904"/>
      <w:bookmarkStart w:id="418" w:name="_Hlt50860576"/>
      <w:bookmarkStart w:id="419" w:name="_Hlt50860584"/>
      <w:bookmarkStart w:id="420" w:name="_Hlt50951779"/>
      <w:bookmarkStart w:id="421" w:name="_Hlt50864678"/>
      <w:bookmarkStart w:id="422" w:name="_Hlt50861203"/>
      <w:bookmarkStart w:id="423" w:name="_Hlt55120013"/>
      <w:bookmarkStart w:id="424" w:name="_Hlt50865060"/>
      <w:bookmarkStart w:id="425" w:name="_Hlt50865332"/>
      <w:bookmarkStart w:id="426" w:name="_Hlt50862226"/>
      <w:bookmarkStart w:id="427" w:name="_Hlt50949702"/>
      <w:bookmarkStart w:id="428" w:name="_Hlt53999016"/>
      <w:bookmarkStart w:id="429" w:name="_Hlt53999020"/>
      <w:bookmarkStart w:id="430" w:name="_Hlt51743108"/>
      <w:bookmarkStart w:id="431" w:name="_Hlt50948646"/>
      <w:bookmarkStart w:id="432" w:name="_Hlt50948671"/>
      <w:bookmarkStart w:id="433" w:name="_Hlt50861808"/>
      <w:bookmarkStart w:id="434" w:name="_Hlt50861893"/>
      <w:bookmarkStart w:id="435" w:name="_Hlt50861818"/>
      <w:bookmarkStart w:id="436" w:name="_Hlt50861823"/>
      <w:bookmarkStart w:id="437" w:name="_Hlt50861827"/>
      <w:bookmarkStart w:id="438" w:name="_Hlt50803226"/>
      <w:bookmarkStart w:id="439" w:name="_Hlt50802534"/>
      <w:bookmarkStart w:id="440" w:name="_Hlt50802538"/>
      <w:bookmarkStart w:id="441" w:name="_Hlt50804504"/>
      <w:bookmarkStart w:id="442" w:name="_Hlt50954985"/>
      <w:bookmarkStart w:id="443" w:name="_Hlt50954995"/>
      <w:bookmarkStart w:id="444" w:name="_Hlt50804377"/>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BlankOpen"/>
      </w:pP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75</w:t>
      </w:r>
      <w:r>
        <w:rPr>
          <w:iCs/>
          <w:snapToGrid w:val="0"/>
        </w:rPr>
        <w:t xml:space="preserve"> </w:t>
      </w:r>
      <w:r>
        <w:rPr>
          <w:snapToGrid w:val="0"/>
        </w:rPr>
        <w:t>had not come into operation.  It reads as follows:</w:t>
      </w:r>
    </w:p>
    <w:p>
      <w:pPr>
        <w:pStyle w:val="BlankOpen"/>
      </w:pPr>
    </w:p>
    <w:p>
      <w:pPr>
        <w:pStyle w:val="nzHeading5"/>
      </w:pPr>
      <w:r>
        <w:rPr>
          <w:rStyle w:val="CharSectno"/>
        </w:rPr>
        <w:t>75</w:t>
      </w:r>
      <w:r>
        <w:t>.</w:t>
      </w:r>
      <w:r>
        <w:tab/>
      </w:r>
      <w:r>
        <w:rPr>
          <w:i/>
        </w:rPr>
        <w:t>Electricity Corporations Act </w:t>
      </w:r>
      <w:r>
        <w:rPr>
          <w:i/>
          <w:iCs/>
        </w:rPr>
        <w:t>2005</w:t>
      </w:r>
      <w:r>
        <w:t xml:space="preserve"> amended</w:t>
      </w:r>
    </w:p>
    <w:p>
      <w:pPr>
        <w:pStyle w:val="nzSubsection"/>
      </w:pPr>
      <w:r>
        <w:tab/>
        <w:t>(1)</w:t>
      </w:r>
      <w:r>
        <w:tab/>
        <w:t xml:space="preserve">This section amends the </w:t>
      </w:r>
      <w:r>
        <w:rPr>
          <w:i/>
        </w:rPr>
        <w:t>Electricity Corporations Act 2005</w:t>
      </w:r>
      <w:r>
        <w:t>.</w:t>
      </w:r>
    </w:p>
    <w:p>
      <w:pPr>
        <w:pStyle w:val="nzSubsection"/>
      </w:pPr>
      <w:r>
        <w:tab/>
        <w:t>(2)</w:t>
      </w:r>
      <w:r>
        <w:tab/>
        <w:t xml:space="preserve">In section 3(1) delete the definition of </w:t>
      </w:r>
      <w:r>
        <w:rPr>
          <w:b/>
          <w:bCs/>
          <w:i/>
          <w:iCs/>
        </w:rPr>
        <w:t>Commissioner for Public Sector Standards</w:t>
      </w:r>
      <w:r>
        <w:t>.</w:t>
      </w:r>
    </w:p>
    <w:p>
      <w:pPr>
        <w:pStyle w:val="nzSubsection"/>
      </w:pPr>
      <w:r>
        <w:tab/>
        <w:t>(3)</w:t>
      </w:r>
      <w:r>
        <w:tab/>
        <w:t>In the provisions listed in the Table delete “Commissioner for Public Sector Standards” (each occurrence)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27"/>
        <w:gridCol w:w="2880"/>
      </w:tblGrid>
      <w:tr>
        <w:trPr>
          <w:cantSplit/>
          <w:jc w:val="center"/>
        </w:trPr>
        <w:tc>
          <w:tcPr>
            <w:tcW w:w="3227" w:type="dxa"/>
          </w:tcPr>
          <w:p>
            <w:pPr>
              <w:pStyle w:val="nzTable"/>
            </w:pPr>
            <w:r>
              <w:t>s. 21(1), (5) and (6)</w:t>
            </w:r>
          </w:p>
        </w:tc>
        <w:tc>
          <w:tcPr>
            <w:tcW w:w="2880" w:type="dxa"/>
          </w:tcPr>
          <w:p>
            <w:pPr>
              <w:pStyle w:val="nzTable"/>
            </w:pPr>
            <w:r>
              <w:t>s. 22(1) and (3)</w:t>
            </w:r>
          </w:p>
        </w:tc>
      </w:tr>
      <w:tr>
        <w:trPr>
          <w:cantSplit/>
          <w:jc w:val="center"/>
        </w:trPr>
        <w:tc>
          <w:tcPr>
            <w:tcW w:w="3227" w:type="dxa"/>
          </w:tcPr>
          <w:p>
            <w:pPr>
              <w:pStyle w:val="nzTable"/>
            </w:pPr>
            <w:r>
              <w:t>s. 31(2) and (4)</w:t>
            </w:r>
          </w:p>
        </w:tc>
        <w:tc>
          <w:tcPr>
            <w:tcW w:w="2880" w:type="dxa"/>
          </w:tcPr>
          <w:p>
            <w:pPr>
              <w:pStyle w:val="nzTable"/>
            </w:pPr>
            <w:r>
              <w:t>s. 32(1) and (3)</w:t>
            </w:r>
          </w:p>
        </w:tc>
      </w:tr>
      <w:tr>
        <w:trPr>
          <w:cantSplit/>
          <w:jc w:val="center"/>
        </w:trPr>
        <w:tc>
          <w:tcPr>
            <w:tcW w:w="3227" w:type="dxa"/>
          </w:tcPr>
          <w:p>
            <w:pPr>
              <w:pStyle w:val="nzTable"/>
            </w:pPr>
            <w:r>
              <w:t>s. 33(2)</w:t>
            </w:r>
          </w:p>
        </w:tc>
        <w:tc>
          <w:tcPr>
            <w:tcW w:w="2880" w:type="dxa"/>
          </w:tcPr>
          <w:p>
            <w:pPr>
              <w:pStyle w:val="nzTable"/>
            </w:pPr>
          </w:p>
        </w:tc>
      </w:tr>
    </w:tbl>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45" w:name="_Toc379895564"/>
      <w:r>
        <w:rPr>
          <w:sz w:val="28"/>
        </w:rPr>
        <w:t>Defined Terms</w:t>
      </w:r>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accounting standard</w:t>
      </w:r>
      <w:r>
        <w:tab/>
        <w:t>Sch. 4 cl. 1(2)</w:t>
      </w:r>
    </w:p>
    <w:p>
      <w:pPr>
        <w:pStyle w:val="DefinedTerms"/>
      </w:pPr>
      <w:r>
        <w:t>acquire</w:t>
      </w:r>
      <w:r>
        <w:tab/>
        <w:t>34(1)</w:t>
      </w:r>
    </w:p>
    <w:p>
      <w:pPr>
        <w:pStyle w:val="DefinedTerms"/>
      </w:pPr>
      <w:r>
        <w:t>ancillary services</w:t>
      </w:r>
      <w:r>
        <w:tab/>
        <w:t>34(1)</w:t>
      </w:r>
    </w:p>
    <w:p>
      <w:pPr>
        <w:pStyle w:val="DefinedTerms"/>
      </w:pPr>
      <w:r>
        <w:t>area of operations</w:t>
      </w:r>
      <w:r>
        <w:tab/>
        <w:t>52(1)</w:t>
      </w:r>
    </w:p>
    <w:p>
      <w:pPr>
        <w:pStyle w:val="DefinedTerms"/>
      </w:pPr>
      <w:r>
        <w:t>arrangement</w:t>
      </w:r>
      <w:r>
        <w:tab/>
        <w:t>75(3)(a)</w:t>
      </w:r>
    </w:p>
    <w:p>
      <w:pPr>
        <w:pStyle w:val="DefinedTerms"/>
      </w:pPr>
      <w:r>
        <w:t>asset</w:t>
      </w:r>
      <w:r>
        <w:tab/>
        <w:t>142(1)</w:t>
      </w:r>
    </w:p>
    <w:p>
      <w:pPr>
        <w:pStyle w:val="DefinedTerms"/>
      </w:pPr>
      <w:r>
        <w:t>Authority</w:t>
      </w:r>
      <w:r>
        <w:tab/>
        <w:t>72</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Commissioner for Public Sector Standards</w:t>
      </w:r>
      <w:r>
        <w:tab/>
        <w:t>3(1)</w:t>
      </w:r>
    </w:p>
    <w:p>
      <w:pPr>
        <w:pStyle w:val="DefinedTerms"/>
      </w:pPr>
      <w:r>
        <w:t>community service obligations</w:t>
      </w:r>
      <w:r>
        <w:tab/>
        <w:t>99(1)</w:t>
      </w:r>
    </w:p>
    <w:p>
      <w:pPr>
        <w:pStyle w:val="DefinedTerms"/>
      </w:pPr>
      <w:r>
        <w:t>company</w:t>
      </w:r>
      <w:r>
        <w:tab/>
        <w:t>Sch. 4 cl. 1(2)</w:t>
      </w:r>
    </w:p>
    <w:p>
      <w:pPr>
        <w:pStyle w:val="DefinedTerms"/>
      </w:pPr>
      <w:r>
        <w:t>corporation</w:t>
      </w:r>
      <w:r>
        <w:tab/>
        <w:t>3(1), 35, 41, 44,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document</w:t>
      </w:r>
      <w:r>
        <w:tab/>
        <w:t>116(1)</w:t>
      </w:r>
    </w:p>
    <w:p>
      <w:pPr>
        <w:pStyle w:val="DefinedTerms"/>
      </w:pPr>
      <w:r>
        <w:t>Economic Regulation Authority</w:t>
      </w:r>
      <w:r>
        <w:tab/>
        <w:t>3(1)</w:t>
      </w:r>
    </w:p>
    <w:p>
      <w:pPr>
        <w:pStyle w:val="DefinedTerms"/>
      </w:pPr>
      <w:r>
        <w:t>electricity</w:t>
      </w:r>
      <w:r>
        <w:tab/>
        <w:t>3(1)</w:t>
      </w:r>
    </w:p>
    <w:p>
      <w:pPr>
        <w:pStyle w:val="DefinedTerms"/>
      </w:pPr>
      <w:r>
        <w:t>electricity distribution system</w:t>
      </w:r>
      <w:r>
        <w:tab/>
        <w:t>60(1)</w:t>
      </w:r>
    </w:p>
    <w:p>
      <w:pPr>
        <w:pStyle w:val="DefinedTerms"/>
      </w:pPr>
      <w:r>
        <w:t>Electricity Generation Corporation</w:t>
      </w:r>
      <w:r>
        <w:tab/>
        <w:t>3(1)</w:t>
      </w:r>
    </w:p>
    <w:p>
      <w:pPr>
        <w:pStyle w:val="DefinedTerms"/>
      </w:pPr>
      <w:r>
        <w:t>Electricity Networks Corporation</w:t>
      </w:r>
      <w:r>
        <w:tab/>
        <w:t>3(1)</w:t>
      </w:r>
    </w:p>
    <w:p>
      <w:pPr>
        <w:pStyle w:val="DefinedTerms"/>
      </w:pPr>
      <w:r>
        <w:t>Electricity Retail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latest draft plan</w:t>
      </w:r>
      <w:r>
        <w:tab/>
        <w:t>93(1)</w:t>
      </w:r>
    </w:p>
    <w:p>
      <w:pPr>
        <w:pStyle w:val="DefinedTerms"/>
      </w:pPr>
      <w:r>
        <w:t>latest draft statement</w:t>
      </w:r>
      <w:r>
        <w:tab/>
        <w:t>102(1)</w:t>
      </w:r>
    </w:p>
    <w:p>
      <w:pPr>
        <w:pStyle w:val="DefinedTerms"/>
      </w:pPr>
      <w:r>
        <w:t>liability</w:t>
      </w:r>
      <w:r>
        <w:tab/>
        <w:t>142(1), 192(3)</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new corporation</w:t>
      </w:r>
      <w:r>
        <w:tab/>
        <w:t>142(1)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new corporation</w:t>
      </w:r>
      <w:r>
        <w:tab/>
        <w:t>187(1)</w:t>
      </w:r>
    </w:p>
    <w:p>
      <w:pPr>
        <w:pStyle w:val="DefinedTerms"/>
      </w:pPr>
      <w:r>
        <w:t>relevant officials</w:t>
      </w:r>
      <w:r>
        <w:tab/>
        <w:t>178(1)</w:t>
      </w:r>
    </w:p>
    <w:p>
      <w:pPr>
        <w:pStyle w:val="DefinedTerms"/>
      </w:pPr>
      <w:r>
        <w:t>renewable sources</w:t>
      </w:r>
      <w:r>
        <w:tab/>
        <w:t>34(1)</w:t>
      </w:r>
    </w:p>
    <w:p>
      <w:pPr>
        <w:pStyle w:val="DefinedTerms"/>
      </w:pPr>
      <w:r>
        <w:t>right</w:t>
      </w:r>
      <w:r>
        <w:tab/>
        <w:t>142(1)</w:t>
      </w:r>
    </w:p>
    <w:p>
      <w:pPr>
        <w:pStyle w:val="DefinedTerms"/>
      </w:pPr>
      <w:r>
        <w:t>second party</w:t>
      </w:r>
      <w:r>
        <w:tab/>
        <w:t>77(1)</w:t>
      </w:r>
    </w:p>
    <w:p>
      <w:pPr>
        <w:pStyle w:val="DefinedTerms"/>
      </w:pPr>
      <w:r>
        <w:t>services</w:t>
      </w:r>
      <w:r>
        <w:tab/>
        <w:t>54(1)</w:t>
      </w:r>
    </w:p>
    <w:p>
      <w:pPr>
        <w:pStyle w:val="DefinedTerms"/>
      </w:pPr>
      <w:r>
        <w:t>significant asset</w:t>
      </w:r>
      <w:r>
        <w:tab/>
        <w:t>67(1)</w:t>
      </w:r>
    </w:p>
    <w:p>
      <w:pPr>
        <w:pStyle w:val="DefinedTerms"/>
      </w:pPr>
      <w:r>
        <w:t>South West interconnected system</w:t>
      </w:r>
      <w:r>
        <w:tab/>
        <w:t>3(1)</w:t>
      </w:r>
    </w:p>
    <w:p>
      <w:pPr>
        <w:pStyle w:val="DefinedTerms"/>
      </w:pPr>
      <w:r>
        <w:t>specified</w:t>
      </w:r>
      <w:r>
        <w:tab/>
        <w:t>54(6), 80, 114(1)</w:t>
      </w:r>
    </w:p>
    <w:p>
      <w:pPr>
        <w:pStyle w:val="DefinedTerms"/>
      </w:pPr>
      <w:r>
        <w:t>specified day</w:t>
      </w:r>
      <w:r>
        <w:tab/>
        <w:t>164(2), 166(1)</w:t>
      </w:r>
    </w:p>
    <w:p>
      <w:pPr>
        <w:pStyle w:val="DefinedTerms"/>
      </w:pPr>
      <w:r>
        <w:t>State tax</w:t>
      </w:r>
      <w:r>
        <w:tab/>
        <w:t>177(1)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the 1994 Act</w:t>
      </w:r>
      <w:r>
        <w:tab/>
        <w:t>142(1)</w:t>
      </w:r>
    </w:p>
    <w:p>
      <w:pPr>
        <w:pStyle w:val="DefinedTerms"/>
      </w:pPr>
      <w:r>
        <w:t>the designated period</w:t>
      </w:r>
      <w:r>
        <w:tab/>
        <w:t>38(2), 47(2)</w:t>
      </w:r>
    </w:p>
    <w:p>
      <w:pPr>
        <w:pStyle w:val="DefinedTerms"/>
      </w:pPr>
      <w:r>
        <w:t>third party</w:t>
      </w:r>
      <w:r>
        <w:tab/>
        <w:t>77(1)</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DefinedTerms"/>
      </w:pPr>
      <w:r>
        <w:t>transaction</w:t>
      </w:r>
      <w:r>
        <w:tab/>
        <w:t>68(1)</w:t>
      </w:r>
    </w:p>
    <w:p>
      <w:pPr>
        <w:pStyle w:val="DefinedTerms"/>
      </w:pPr>
      <w:r>
        <w:t>transfer order</w:t>
      </w:r>
      <w:r>
        <w:tab/>
        <w:t>142(1)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p>
    <w:p>
      <w:pPr>
        <w:pStyle w:val="DefinedTerms"/>
      </w:pPr>
    </w:p>
    <w:p>
      <w:pPr>
        <w:rPr>
          <w:sz w:val="16"/>
        </w:rPr>
      </w:pPr>
    </w:p>
    <w:p/>
    <w:p/>
    <w:p/>
    <w:p/>
    <w:p/>
    <w:p/>
    <w:p/>
    <w:p/>
    <w:p/>
    <w:p/>
    <w:p/>
    <w:p/>
    <w:p/>
    <w:p/>
    <w:p/>
    <w:p/>
    <w:p/>
    <w:p/>
    <w:p/>
    <w:p/>
    <w:p/>
    <w:p/>
    <w:p/>
    <w:p/>
    <w:p/>
    <w:p/>
    <w:p>
      <w:pPr>
        <w:sectPr>
          <w:headerReference w:type="default" r:id="rId36"/>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7"/>
      <w:headerReference w:type="defaul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736"/>
    <w:docVar w:name="WAFER_20151203163736" w:val="RemoveTrackChanges"/>
    <w:docVar w:name="WAFER_20151203163736_GUID" w:val="9b3c0165-3faa-4c43-853b-8af82a348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39861</Words>
  <Characters>196918</Characters>
  <Application>Microsoft Office Word</Application>
  <DocSecurity>0</DocSecurity>
  <Lines>5322</Lines>
  <Paragraphs>3431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233348</CharactersWithSpaces>
  <SharedDoc>false</SharedDoc>
  <HyperlinkBase/>
  <HLinks>
    <vt:vector size="12" baseType="variant">
      <vt:variant>
        <vt:i4>5439608</vt:i4>
      </vt:variant>
      <vt:variant>
        <vt:i4>231991</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2005 - 01-e0-03</dc:title>
  <dc:subject/>
  <dc:creator/>
  <cp:keywords/>
  <dc:description/>
  <cp:lastModifiedBy>svcMRProcess</cp:lastModifiedBy>
  <cp:revision>4</cp:revision>
  <cp:lastPrinted>2010-06-10T01:28:00Z</cp:lastPrinted>
  <dcterms:created xsi:type="dcterms:W3CDTF">2018-08-28T08:00:00Z</dcterms:created>
  <dcterms:modified xsi:type="dcterms:W3CDTF">2018-08-28T08:00:00Z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9387</vt:i4>
  </property>
  <property fmtid="{D5CDD505-2E9C-101B-9397-08002B2CF9AE}" pid="6" name="AsAtDate">
    <vt:lpwstr>22 Nov 2010</vt:lpwstr>
  </property>
  <property fmtid="{D5CDD505-2E9C-101B-9397-08002B2CF9AE}" pid="7" name="Suffix">
    <vt:lpwstr>01-e0-03</vt:lpwstr>
  </property>
  <property fmtid="{D5CDD505-2E9C-101B-9397-08002B2CF9AE}" pid="8" name="ReprintNo">
    <vt:lpwstr>1</vt:lpwstr>
  </property>
</Properties>
</file>