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_Toc434849523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_Toc434849524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_Toc434849525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_Toc434849527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_Toc434849528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_Toc434849529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_Toc434849530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_Toc434849531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_Toc434849533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_Toc434849534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_Toc434849535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_Toc434849536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_Toc434849538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_Toc434849539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_Toc434849540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_Toc434849541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_Toc434849543 \h </w:instrText>
      </w:r>
      <w:r>
        <w:fldChar w:fldCharType="separate"/>
      </w:r>
      <w:r>
        <w:t>13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_Toc434849544 \h </w:instrText>
      </w:r>
      <w:r>
        <w:fldChar w:fldCharType="separate"/>
      </w:r>
      <w:r>
        <w:t>15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_Toc434849545 \h </w:instrText>
      </w:r>
      <w:r>
        <w:fldChar w:fldCharType="separate"/>
      </w:r>
      <w:r>
        <w:t>17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_Toc434849546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_Toc434849548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_Toc434849550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_Toc434849551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_Toc434849552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_Toc434849554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378944167"/>
      <w:bookmarkStart w:id="4" w:name="_Toc424305821"/>
      <w:bookmarkStart w:id="5" w:name="_Toc434849522"/>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944168"/>
      <w:bookmarkStart w:id="7" w:name="_Toc434849523"/>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8" w:name="_Toc378944169"/>
      <w:bookmarkStart w:id="9" w:name="_Toc43484952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Omitted under the Reprints Act 1984 s. 7(4)(f).]</w:t>
      </w:r>
    </w:p>
    <w:p>
      <w:pPr>
        <w:pStyle w:val="Heading5"/>
        <w:rPr>
          <w:snapToGrid w:val="0"/>
        </w:rPr>
      </w:pPr>
      <w:bookmarkStart w:id="10" w:name="_Toc378944170"/>
      <w:bookmarkStart w:id="11" w:name="_Toc434849525"/>
      <w:r>
        <w:rPr>
          <w:rStyle w:val="CharSectno"/>
        </w:rPr>
        <w:t>5</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12" w:name="_Toc378944171"/>
      <w:bookmarkStart w:id="13" w:name="_Toc424305825"/>
      <w:bookmarkStart w:id="14" w:name="_Toc434849526"/>
      <w:r>
        <w:rPr>
          <w:rStyle w:val="CharPartNo"/>
        </w:rPr>
        <w:t>Part II</w:t>
      </w:r>
      <w:r>
        <w:rPr>
          <w:rStyle w:val="CharDivNo"/>
        </w:rPr>
        <w:t> </w:t>
      </w:r>
      <w:r>
        <w:t>—</w:t>
      </w:r>
      <w:r>
        <w:rPr>
          <w:rStyle w:val="CharDivText"/>
        </w:rPr>
        <w:t> </w:t>
      </w:r>
      <w:r>
        <w:rPr>
          <w:rStyle w:val="CharPartText"/>
        </w:rPr>
        <w:t>Sale of land under terms contract</w:t>
      </w:r>
      <w:bookmarkEnd w:id="12"/>
      <w:bookmarkEnd w:id="13"/>
      <w:bookmarkEnd w:id="14"/>
      <w:r>
        <w:rPr>
          <w:rStyle w:val="CharPartText"/>
        </w:rPr>
        <w:t xml:space="preserve"> </w:t>
      </w:r>
    </w:p>
    <w:p>
      <w:pPr>
        <w:pStyle w:val="Heading5"/>
        <w:rPr>
          <w:snapToGrid w:val="0"/>
        </w:rPr>
      </w:pPr>
      <w:bookmarkStart w:id="15" w:name="_Toc378944172"/>
      <w:bookmarkStart w:id="16" w:name="_Toc434849527"/>
      <w:r>
        <w:rPr>
          <w:rStyle w:val="CharSectno"/>
        </w:rPr>
        <w:t>6</w:t>
      </w:r>
      <w:r>
        <w:rPr>
          <w:snapToGrid w:val="0"/>
        </w:rPr>
        <w:t>.</w:t>
      </w:r>
      <w:r>
        <w:rPr>
          <w:snapToGrid w:val="0"/>
        </w:rPr>
        <w:tab/>
        <w:t>Restriction on rescission</w:t>
      </w:r>
      <w:bookmarkEnd w:id="15"/>
      <w:bookmarkEnd w:id="16"/>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7" w:name="_Toc378944173"/>
      <w:bookmarkStart w:id="18" w:name="_Toc434849528"/>
      <w:r>
        <w:rPr>
          <w:rStyle w:val="CharSectno"/>
        </w:rPr>
        <w:t>7</w:t>
      </w:r>
      <w:r>
        <w:rPr>
          <w:snapToGrid w:val="0"/>
        </w:rPr>
        <w:t>.</w:t>
      </w:r>
      <w:r>
        <w:rPr>
          <w:snapToGrid w:val="0"/>
        </w:rPr>
        <w:tab/>
        <w:t>Notification of condition of title</w:t>
      </w:r>
      <w:bookmarkEnd w:id="17"/>
      <w:bookmarkEnd w:id="18"/>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tab/>
      </w:r>
      <w:r>
        <w:rPr>
          <w:rStyle w:val="CharDefText"/>
        </w:rPr>
        <w:t>notice in writing</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19" w:name="_Toc378944174"/>
      <w:bookmarkStart w:id="20" w:name="_Toc434849529"/>
      <w:r>
        <w:rPr>
          <w:rStyle w:val="CharSectno"/>
        </w:rPr>
        <w:t>8</w:t>
      </w:r>
      <w:r>
        <w:rPr>
          <w:snapToGrid w:val="0"/>
        </w:rPr>
        <w:t>.</w:t>
      </w:r>
      <w:r>
        <w:rPr>
          <w:snapToGrid w:val="0"/>
        </w:rPr>
        <w:tab/>
        <w:t>Limitation on encumbrances</w:t>
      </w:r>
      <w:bookmarkEnd w:id="19"/>
      <w:bookmarkEnd w:id="20"/>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21" w:name="_Toc378944175"/>
      <w:bookmarkStart w:id="22" w:name="_Toc434849530"/>
      <w:r>
        <w:rPr>
          <w:rStyle w:val="CharSectno"/>
        </w:rPr>
        <w:t>9</w:t>
      </w:r>
      <w:r>
        <w:rPr>
          <w:snapToGrid w:val="0"/>
        </w:rPr>
        <w:t>.</w:t>
      </w:r>
      <w:r>
        <w:rPr>
          <w:snapToGrid w:val="0"/>
        </w:rPr>
        <w:tab/>
        <w:t>Power of Court on application for leave to encumber the land</w:t>
      </w:r>
      <w:bookmarkEnd w:id="21"/>
      <w:bookmarkEnd w:id="22"/>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23" w:name="_Toc378944176"/>
      <w:bookmarkStart w:id="24" w:name="_Toc434849531"/>
      <w:r>
        <w:rPr>
          <w:rStyle w:val="CharSectno"/>
        </w:rPr>
        <w:t>10</w:t>
      </w:r>
      <w:r>
        <w:rPr>
          <w:snapToGrid w:val="0"/>
        </w:rPr>
        <w:t>.</w:t>
      </w:r>
      <w:r>
        <w:rPr>
          <w:snapToGrid w:val="0"/>
        </w:rPr>
        <w:tab/>
        <w:t>Remedy of purchaser on contravention by vendor</w:t>
      </w:r>
      <w:bookmarkEnd w:id="23"/>
      <w:bookmarkEnd w:id="24"/>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25" w:name="_Toc378944177"/>
      <w:bookmarkStart w:id="26" w:name="_Toc424305831"/>
      <w:bookmarkStart w:id="27" w:name="_Toc434849532"/>
      <w:r>
        <w:rPr>
          <w:rStyle w:val="CharPartNo"/>
        </w:rPr>
        <w:t>Part III</w:t>
      </w:r>
      <w:r>
        <w:rPr>
          <w:rStyle w:val="CharDivNo"/>
        </w:rPr>
        <w:t> </w:t>
      </w:r>
      <w:r>
        <w:t>—</w:t>
      </w:r>
      <w:r>
        <w:rPr>
          <w:rStyle w:val="CharDivText"/>
        </w:rPr>
        <w:t> </w:t>
      </w:r>
      <w:r>
        <w:rPr>
          <w:rStyle w:val="CharPartText"/>
        </w:rPr>
        <w:t>Restrictions on sale of subdivisional land</w:t>
      </w:r>
      <w:bookmarkEnd w:id="25"/>
      <w:bookmarkEnd w:id="26"/>
      <w:bookmarkEnd w:id="27"/>
      <w:r>
        <w:rPr>
          <w:rStyle w:val="CharPartText"/>
        </w:rPr>
        <w:t xml:space="preserve"> </w:t>
      </w:r>
    </w:p>
    <w:p>
      <w:pPr>
        <w:pStyle w:val="Heading5"/>
        <w:spacing w:before="180"/>
        <w:rPr>
          <w:snapToGrid w:val="0"/>
        </w:rPr>
      </w:pPr>
      <w:bookmarkStart w:id="28" w:name="_Toc378944178"/>
      <w:bookmarkStart w:id="29" w:name="_Toc434849533"/>
      <w:r>
        <w:rPr>
          <w:rStyle w:val="CharSectno"/>
        </w:rPr>
        <w:t>11</w:t>
      </w:r>
      <w:r>
        <w:rPr>
          <w:snapToGrid w:val="0"/>
        </w:rPr>
        <w:t>.</w:t>
      </w:r>
      <w:r>
        <w:rPr>
          <w:snapToGrid w:val="0"/>
        </w:rPr>
        <w:tab/>
        <w:t>Interpretation</w:t>
      </w:r>
      <w:bookmarkEnd w:id="28"/>
      <w:bookmarkEnd w:id="29"/>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lot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r>
      <w:r>
        <w:rPr>
          <w:rStyle w:val="CharDefText"/>
        </w:rPr>
        <w:t>proprietor</w:t>
      </w:r>
      <w:r>
        <w:t xml:space="preserve"> has the same meaning as it has in section 4 of the </w:t>
      </w:r>
      <w:r>
        <w:rPr>
          <w:i/>
        </w:rPr>
        <w:t>Transfer of Land Act 1893</w:t>
      </w:r>
      <w:r>
        <w:t>; and</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Deleted by No. 40 of 1985 s. 4.] </w:t>
      </w:r>
    </w:p>
    <w:p>
      <w:pPr>
        <w:pStyle w:val="Heading5"/>
        <w:spacing w:before="180"/>
        <w:rPr>
          <w:snapToGrid w:val="0"/>
        </w:rPr>
      </w:pPr>
      <w:bookmarkStart w:id="30" w:name="_Toc378944179"/>
      <w:bookmarkStart w:id="31" w:name="_Toc434849534"/>
      <w:r>
        <w:rPr>
          <w:rStyle w:val="CharSectno"/>
        </w:rPr>
        <w:t>13</w:t>
      </w:r>
      <w:r>
        <w:rPr>
          <w:snapToGrid w:val="0"/>
        </w:rPr>
        <w:t>.</w:t>
      </w:r>
      <w:r>
        <w:rPr>
          <w:snapToGrid w:val="0"/>
        </w:rPr>
        <w:tab/>
        <w:t>Restriction on sale of subdivisional land</w:t>
      </w:r>
      <w:bookmarkEnd w:id="30"/>
      <w:bookmarkEnd w:id="31"/>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 xml:space="preserve">with the Western Australian Land Information Authority established by the </w:t>
      </w:r>
      <w:r>
        <w:rPr>
          <w:i/>
          <w:iCs/>
        </w:rPr>
        <w:t>Land Information Authority Act 2006</w:t>
      </w:r>
      <w:r>
        <w:t xml:space="preserve"> section 5.</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 xml:space="preserve">[Section 13 amended by No. 40 of 1985 s. 5; No. 81 of 1996 s. 153(1) and (2); No. 60 of 2006 s. 157.] </w:t>
      </w:r>
    </w:p>
    <w:p>
      <w:pPr>
        <w:pStyle w:val="Heading5"/>
        <w:rPr>
          <w:snapToGrid w:val="0"/>
        </w:rPr>
      </w:pPr>
      <w:bookmarkStart w:id="32" w:name="_Toc378944180"/>
      <w:bookmarkStart w:id="33" w:name="_Toc434849535"/>
      <w:r>
        <w:rPr>
          <w:rStyle w:val="CharSectno"/>
        </w:rPr>
        <w:t>14</w:t>
      </w:r>
      <w:r>
        <w:rPr>
          <w:snapToGrid w:val="0"/>
        </w:rPr>
        <w:t>.</w:t>
      </w:r>
      <w:r>
        <w:rPr>
          <w:snapToGrid w:val="0"/>
        </w:rPr>
        <w:tab/>
        <w:t>Restriction on sale of mortgaged subdivisional land</w:t>
      </w:r>
      <w:bookmarkEnd w:id="32"/>
      <w:bookmarkEnd w:id="33"/>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(within the meaning of that term in the </w:t>
      </w:r>
      <w:r>
        <w:rPr>
          <w:i/>
          <w:iCs/>
        </w:rPr>
        <w:t>Legal Profession Act 2008</w:t>
      </w:r>
      <w:r>
        <w:t xml:space="preserve"> section 3)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No. 21 of 2008 s. 702.] </w:t>
      </w:r>
    </w:p>
    <w:p>
      <w:pPr>
        <w:pStyle w:val="Heading5"/>
        <w:rPr>
          <w:snapToGrid w:val="0"/>
        </w:rPr>
      </w:pPr>
      <w:bookmarkStart w:id="34" w:name="_Toc378944181"/>
      <w:bookmarkStart w:id="35" w:name="_Toc434849536"/>
      <w:r>
        <w:rPr>
          <w:rStyle w:val="CharSectno"/>
        </w:rPr>
        <w:t>15</w:t>
      </w:r>
      <w:r>
        <w:rPr>
          <w:snapToGrid w:val="0"/>
        </w:rPr>
        <w:t>.</w:t>
      </w:r>
      <w:r>
        <w:rPr>
          <w:snapToGrid w:val="0"/>
        </w:rPr>
        <w:tab/>
        <w:t>Exemptions</w:t>
      </w:r>
      <w:bookmarkEnd w:id="34"/>
      <w:bookmarkEnd w:id="35"/>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36" w:name="_Toc378944182"/>
      <w:bookmarkStart w:id="37" w:name="_Toc424305836"/>
      <w:bookmarkStart w:id="38" w:name="_Toc434849537"/>
      <w:r>
        <w:rPr>
          <w:rStyle w:val="CharPartNo"/>
        </w:rPr>
        <w:t>Part IV</w:t>
      </w:r>
      <w:r>
        <w:rPr>
          <w:rStyle w:val="CharDivNo"/>
        </w:rPr>
        <w:t> </w:t>
      </w:r>
      <w:r>
        <w:t>—</w:t>
      </w:r>
      <w:r>
        <w:rPr>
          <w:rStyle w:val="CharDivText"/>
        </w:rPr>
        <w:t> </w:t>
      </w:r>
      <w:r>
        <w:rPr>
          <w:rStyle w:val="CharPartText"/>
        </w:rPr>
        <w:t>Offences in relation to sale of land</w:t>
      </w:r>
      <w:bookmarkEnd w:id="36"/>
      <w:bookmarkEnd w:id="37"/>
      <w:bookmarkEnd w:id="38"/>
      <w:r>
        <w:rPr>
          <w:rStyle w:val="CharPartText"/>
        </w:rPr>
        <w:t xml:space="preserve"> </w:t>
      </w:r>
    </w:p>
    <w:p>
      <w:pPr>
        <w:pStyle w:val="Heading5"/>
        <w:rPr>
          <w:snapToGrid w:val="0"/>
        </w:rPr>
      </w:pPr>
      <w:bookmarkStart w:id="39" w:name="_Toc378944183"/>
      <w:bookmarkStart w:id="40" w:name="_Toc434849538"/>
      <w:r>
        <w:rPr>
          <w:rStyle w:val="CharSectno"/>
        </w:rPr>
        <w:t>16</w:t>
      </w:r>
      <w:r>
        <w:rPr>
          <w:snapToGrid w:val="0"/>
        </w:rPr>
        <w:t>.</w:t>
      </w:r>
      <w:r>
        <w:rPr>
          <w:snapToGrid w:val="0"/>
        </w:rPr>
        <w:tab/>
        <w:t>Limitation on advertisement</w:t>
      </w:r>
      <w:bookmarkEnd w:id="39"/>
      <w:bookmarkEnd w:id="40"/>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improvement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No. 28 of 2010 s. 36.] </w:t>
      </w:r>
    </w:p>
    <w:p>
      <w:pPr>
        <w:pStyle w:val="Heading5"/>
        <w:rPr>
          <w:snapToGrid w:val="0"/>
        </w:rPr>
      </w:pPr>
      <w:bookmarkStart w:id="41" w:name="_Toc378944184"/>
      <w:bookmarkStart w:id="42" w:name="_Toc434849539"/>
      <w:r>
        <w:rPr>
          <w:rStyle w:val="CharSectno"/>
        </w:rPr>
        <w:t>17</w:t>
      </w:r>
      <w:r>
        <w:rPr>
          <w:snapToGrid w:val="0"/>
        </w:rPr>
        <w:t>.</w:t>
      </w:r>
      <w:r>
        <w:rPr>
          <w:snapToGrid w:val="0"/>
        </w:rPr>
        <w:tab/>
        <w:t>Misrepresentation concerning public amenity</w:t>
      </w:r>
      <w:bookmarkEnd w:id="41"/>
      <w:bookmarkEnd w:id="42"/>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43" w:name="_Toc378944185"/>
      <w:bookmarkStart w:id="44" w:name="_Toc434849540"/>
      <w:r>
        <w:rPr>
          <w:rStyle w:val="CharSectno"/>
        </w:rPr>
        <w:t>18</w:t>
      </w:r>
      <w:r>
        <w:rPr>
          <w:snapToGrid w:val="0"/>
        </w:rPr>
        <w:t>.</w:t>
      </w:r>
      <w:r>
        <w:rPr>
          <w:snapToGrid w:val="0"/>
        </w:rPr>
        <w:tab/>
        <w:t>House to house selling prohibited</w:t>
      </w:r>
      <w:bookmarkEnd w:id="43"/>
      <w:bookmarkEnd w:id="44"/>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45" w:name="_Toc378944186"/>
      <w:bookmarkStart w:id="46" w:name="_Toc434849541"/>
      <w:r>
        <w:rPr>
          <w:rStyle w:val="CharSectno"/>
        </w:rPr>
        <w:t>19</w:t>
      </w:r>
      <w:r>
        <w:rPr>
          <w:snapToGrid w:val="0"/>
        </w:rPr>
        <w:t>.</w:t>
      </w:r>
      <w:r>
        <w:rPr>
          <w:snapToGrid w:val="0"/>
        </w:rPr>
        <w:tab/>
        <w:t>Remedy of purchaser on contravention of s. 18</w:t>
      </w:r>
      <w:bookmarkEnd w:id="45"/>
      <w:bookmarkEnd w:id="46"/>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47" w:name="_Toc378944187"/>
      <w:bookmarkStart w:id="48" w:name="_Toc424305841"/>
      <w:bookmarkStart w:id="49" w:name="_Toc434849542"/>
      <w:r>
        <w:rPr>
          <w:rStyle w:val="CharPartNo"/>
        </w:rPr>
        <w:t>Part IVA</w:t>
      </w:r>
      <w:r>
        <w:rPr>
          <w:rStyle w:val="CharDivNo"/>
        </w:rPr>
        <w:t> </w:t>
      </w:r>
      <w:r>
        <w:t>—</w:t>
      </w:r>
      <w:r>
        <w:rPr>
          <w:rStyle w:val="CharDivText"/>
        </w:rPr>
        <w:t> </w:t>
      </w:r>
      <w:r>
        <w:rPr>
          <w:rStyle w:val="CharPartText"/>
        </w:rPr>
        <w:t>Dealings in undivided shares in land</w:t>
      </w:r>
      <w:bookmarkEnd w:id="47"/>
      <w:bookmarkEnd w:id="48"/>
      <w:bookmarkEnd w:id="49"/>
      <w:r>
        <w:rPr>
          <w:rStyle w:val="CharPartText"/>
        </w:rPr>
        <w:t xml:space="preserve"> </w:t>
      </w:r>
    </w:p>
    <w:p>
      <w:pPr>
        <w:pStyle w:val="Footnotesection"/>
        <w:spacing w:before="80"/>
        <w:ind w:left="890" w:hanging="890"/>
      </w:pPr>
      <w:r>
        <w:tab/>
        <w:t>[Heading inserted by No. 70 of 1974 s. 4.]</w:t>
      </w:r>
    </w:p>
    <w:p>
      <w:pPr>
        <w:pStyle w:val="Heading5"/>
        <w:spacing w:before="180"/>
        <w:rPr>
          <w:snapToGrid w:val="0"/>
        </w:rPr>
      </w:pPr>
      <w:bookmarkStart w:id="50" w:name="_Toc378944188"/>
      <w:bookmarkStart w:id="51" w:name="_Toc434849543"/>
      <w:r>
        <w:rPr>
          <w:rStyle w:val="CharSectno"/>
        </w:rPr>
        <w:t>19A</w:t>
      </w:r>
      <w:r>
        <w:rPr>
          <w:snapToGrid w:val="0"/>
        </w:rPr>
        <w:t>.</w:t>
      </w:r>
      <w:r>
        <w:rPr>
          <w:snapToGrid w:val="0"/>
        </w:rPr>
        <w:tab/>
        <w:t>Interpretation, etc.</w:t>
      </w:r>
      <w:bookmarkEnd w:id="50"/>
      <w:bookmarkEnd w:id="51"/>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52" w:name="_Toc378944189"/>
      <w:bookmarkStart w:id="53" w:name="_Toc434849544"/>
      <w:r>
        <w:rPr>
          <w:rStyle w:val="CharSectno"/>
        </w:rPr>
        <w:t>19B</w:t>
      </w:r>
      <w:r>
        <w:rPr>
          <w:snapToGrid w:val="0"/>
        </w:rPr>
        <w:t>.</w:t>
      </w:r>
      <w:r>
        <w:rPr>
          <w:snapToGrid w:val="0"/>
        </w:rPr>
        <w:tab/>
        <w:t>Certain offers to the public prohibited</w:t>
      </w:r>
      <w:bookmarkEnd w:id="52"/>
      <w:bookmarkEnd w:id="53"/>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54" w:name="_Toc378944190"/>
      <w:bookmarkStart w:id="55" w:name="_Toc434849545"/>
      <w:r>
        <w:rPr>
          <w:rStyle w:val="CharSectno"/>
        </w:rPr>
        <w:t>19C</w:t>
      </w:r>
      <w:r>
        <w:rPr>
          <w:snapToGrid w:val="0"/>
        </w:rPr>
        <w:t>.</w:t>
      </w:r>
      <w:r>
        <w:rPr>
          <w:snapToGrid w:val="0"/>
        </w:rPr>
        <w:tab/>
        <w:t>Transitional provision</w:t>
      </w:r>
      <w:bookmarkEnd w:id="54"/>
      <w:bookmarkEnd w:id="55"/>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56" w:name="_Toc378944191"/>
      <w:bookmarkStart w:id="57" w:name="_Toc434849546"/>
      <w:r>
        <w:rPr>
          <w:rStyle w:val="CharSectno"/>
        </w:rPr>
        <w:t>19D</w:t>
      </w:r>
      <w:r>
        <w:rPr>
          <w:snapToGrid w:val="0"/>
        </w:rPr>
        <w:t>.</w:t>
      </w:r>
      <w:r>
        <w:rPr>
          <w:snapToGrid w:val="0"/>
        </w:rPr>
        <w:tab/>
        <w:t>Rescission</w:t>
      </w:r>
      <w:bookmarkEnd w:id="56"/>
      <w:bookmarkEnd w:id="57"/>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58" w:name="_Toc378944192"/>
      <w:bookmarkStart w:id="59" w:name="_Toc424305846"/>
      <w:bookmarkStart w:id="60" w:name="_Toc434849547"/>
      <w:r>
        <w:rPr>
          <w:rStyle w:val="CharPartNo"/>
        </w:rPr>
        <w:t>Part V</w:t>
      </w:r>
      <w:r>
        <w:rPr>
          <w:rStyle w:val="CharDivNo"/>
        </w:rPr>
        <w:t> </w:t>
      </w:r>
      <w:r>
        <w:t>—</w:t>
      </w:r>
      <w:r>
        <w:rPr>
          <w:rStyle w:val="CharDivText"/>
        </w:rPr>
        <w:t> </w:t>
      </w:r>
      <w:r>
        <w:rPr>
          <w:rStyle w:val="CharPartText"/>
        </w:rPr>
        <w:t>Application to the Court by vendor or purchaser</w:t>
      </w:r>
      <w:bookmarkEnd w:id="58"/>
      <w:bookmarkEnd w:id="59"/>
      <w:bookmarkEnd w:id="60"/>
      <w:r>
        <w:rPr>
          <w:rStyle w:val="CharPartText"/>
        </w:rPr>
        <w:t xml:space="preserve"> </w:t>
      </w:r>
    </w:p>
    <w:p>
      <w:pPr>
        <w:pStyle w:val="Heading5"/>
        <w:rPr>
          <w:snapToGrid w:val="0"/>
        </w:rPr>
      </w:pPr>
      <w:bookmarkStart w:id="61" w:name="_Toc378944193"/>
      <w:bookmarkStart w:id="62" w:name="_Toc434849548"/>
      <w:r>
        <w:rPr>
          <w:rStyle w:val="CharSectno"/>
        </w:rPr>
        <w:t>20</w:t>
      </w:r>
      <w:r>
        <w:rPr>
          <w:snapToGrid w:val="0"/>
        </w:rPr>
        <w:t>.</w:t>
      </w:r>
      <w:r>
        <w:rPr>
          <w:snapToGrid w:val="0"/>
        </w:rPr>
        <w:tab/>
        <w:t>Application to Court</w:t>
      </w:r>
      <w:bookmarkEnd w:id="61"/>
      <w:bookmarkEnd w:id="62"/>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63" w:name="_Toc378944194"/>
      <w:bookmarkStart w:id="64" w:name="_Toc424305848"/>
      <w:bookmarkStart w:id="65" w:name="_Toc434849549"/>
      <w:r>
        <w:rPr>
          <w:rStyle w:val="CharPartNo"/>
        </w:rPr>
        <w:t>Part VI</w:t>
      </w:r>
      <w:r>
        <w:rPr>
          <w:rStyle w:val="CharDivNo"/>
        </w:rPr>
        <w:t> </w:t>
      </w:r>
      <w:r>
        <w:t>—</w:t>
      </w:r>
      <w:r>
        <w:rPr>
          <w:rStyle w:val="CharDivText"/>
        </w:rPr>
        <w:t> </w:t>
      </w:r>
      <w:r>
        <w:rPr>
          <w:rStyle w:val="CharPartText"/>
        </w:rPr>
        <w:t>Rules relating to title of general law land</w:t>
      </w:r>
      <w:bookmarkEnd w:id="63"/>
      <w:bookmarkEnd w:id="64"/>
      <w:bookmarkEnd w:id="65"/>
      <w:r>
        <w:rPr>
          <w:rStyle w:val="CharPartText"/>
        </w:rPr>
        <w:t xml:space="preserve"> </w:t>
      </w:r>
    </w:p>
    <w:p>
      <w:pPr>
        <w:pStyle w:val="Heading5"/>
        <w:rPr>
          <w:snapToGrid w:val="0"/>
        </w:rPr>
      </w:pPr>
      <w:bookmarkStart w:id="66" w:name="_Toc378944195"/>
      <w:bookmarkStart w:id="67" w:name="_Toc434849550"/>
      <w:r>
        <w:rPr>
          <w:rStyle w:val="CharSectno"/>
        </w:rPr>
        <w:t>21</w:t>
      </w:r>
      <w:r>
        <w:rPr>
          <w:snapToGrid w:val="0"/>
        </w:rPr>
        <w:t>.</w:t>
      </w:r>
      <w:r>
        <w:rPr>
          <w:snapToGrid w:val="0"/>
        </w:rPr>
        <w:tab/>
        <w:t>Application of this Part</w:t>
      </w:r>
      <w:bookmarkEnd w:id="66"/>
      <w:bookmarkEnd w:id="67"/>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68" w:name="_Toc378944196"/>
      <w:bookmarkStart w:id="69" w:name="_Toc434849551"/>
      <w:r>
        <w:rPr>
          <w:rStyle w:val="CharSectno"/>
        </w:rPr>
        <w:t>22</w:t>
      </w:r>
      <w:r>
        <w:rPr>
          <w:snapToGrid w:val="0"/>
        </w:rPr>
        <w:t>.</w:t>
      </w:r>
      <w:r>
        <w:rPr>
          <w:snapToGrid w:val="0"/>
        </w:rPr>
        <w:tab/>
        <w:t>Thirty years title substituted for 40 years</w:t>
      </w:r>
      <w:bookmarkEnd w:id="68"/>
      <w:bookmarkEnd w:id="69"/>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70" w:name="_Toc378944197"/>
      <w:bookmarkStart w:id="71" w:name="_Toc434849552"/>
      <w:r>
        <w:rPr>
          <w:rStyle w:val="CharSectno"/>
        </w:rPr>
        <w:t>23</w:t>
      </w:r>
      <w:r>
        <w:rPr>
          <w:snapToGrid w:val="0"/>
        </w:rPr>
        <w:t>.</w:t>
      </w:r>
      <w:r>
        <w:rPr>
          <w:snapToGrid w:val="0"/>
        </w:rPr>
        <w:tab/>
        <w:t>Rights of vendor and purchaser as to title</w:t>
      </w:r>
      <w:bookmarkEnd w:id="70"/>
      <w:bookmarkEnd w:id="71"/>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72" w:name="_Toc378944198"/>
      <w:bookmarkStart w:id="73" w:name="_Toc424305852"/>
      <w:bookmarkStart w:id="74" w:name="_Toc434849553"/>
      <w:r>
        <w:t>Notes</w:t>
      </w:r>
      <w:bookmarkEnd w:id="72"/>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5" w:name="_Toc378944199"/>
      <w:bookmarkStart w:id="76" w:name="_Toc434849554"/>
      <w:r>
        <w:rPr>
          <w:snapToGrid w:val="0"/>
        </w:rP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34" w:type="dxa"/>
            <w:tcBorders>
              <w:top w:val="single" w:sz="8" w:space="0" w:color="auto"/>
            </w:tcBorders>
          </w:tcPr>
          <w:p>
            <w:pPr>
              <w:pStyle w:val="nTable"/>
              <w:spacing w:after="40"/>
            </w:pPr>
            <w:r>
              <w:t>10 Dec 1970</w:t>
            </w:r>
          </w:p>
        </w:tc>
        <w:tc>
          <w:tcPr>
            <w:tcW w:w="2552"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34" w:type="dxa"/>
          </w:tcPr>
          <w:p>
            <w:pPr>
              <w:pStyle w:val="nTable"/>
              <w:spacing w:after="40"/>
            </w:pPr>
            <w:r>
              <w:t>25 May 1973</w:t>
            </w:r>
          </w:p>
        </w:tc>
        <w:tc>
          <w:tcPr>
            <w:tcW w:w="2552"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34" w:type="dxa"/>
          </w:tcPr>
          <w:p>
            <w:pPr>
              <w:pStyle w:val="nTable"/>
              <w:spacing w:after="40"/>
            </w:pPr>
            <w:r>
              <w:t>9 Dec 1974</w:t>
            </w:r>
          </w:p>
        </w:tc>
        <w:tc>
          <w:tcPr>
            <w:tcW w:w="2552"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34" w:type="dxa"/>
          </w:tcPr>
          <w:p>
            <w:pPr>
              <w:pStyle w:val="nTable"/>
              <w:spacing w:after="40"/>
            </w:pPr>
            <w:r>
              <w:t>13 May 1985</w:t>
            </w:r>
          </w:p>
        </w:tc>
        <w:tc>
          <w:tcPr>
            <w:tcW w:w="2552"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t>Acts Amendment and Repeal (Courts and Legal Practice) Act 2003</w:t>
            </w:r>
            <w:r>
              <w:t xml:space="preserve"> s. 64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r>
              <w:rPr>
                <w:iCs/>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Borders>
              <w:bottom w:val="single" w:sz="4" w:space="0" w:color="auto"/>
            </w:tcBorders>
          </w:tcPr>
          <w:p>
            <w:pPr>
              <w:pStyle w:val="nTable"/>
              <w:spacing w:after="40"/>
              <w:rPr>
                <w:i/>
                <w:iCs/>
                <w:snapToGrid w:val="0"/>
              </w:rPr>
            </w:pPr>
            <w:r>
              <w:rPr>
                <w:i/>
                <w:snapToGrid w:val="0"/>
              </w:rPr>
              <w:t>Approvals and Related Reforms (No. 4) (Planning) Act 2010</w:t>
            </w:r>
            <w:r>
              <w:t xml:space="preserve"> s. 36</w:t>
            </w:r>
            <w:r>
              <w:rPr>
                <w:vertAlign w:val="superscript"/>
              </w:rPr>
              <w:t> </w:t>
            </w:r>
          </w:p>
        </w:tc>
        <w:tc>
          <w:tcPr>
            <w:tcW w:w="1134" w:type="dxa"/>
            <w:tcBorders>
              <w:bottom w:val="single" w:sz="4" w:space="0" w:color="auto"/>
            </w:tcBorders>
          </w:tcPr>
          <w:p>
            <w:pPr>
              <w:pStyle w:val="nTable"/>
              <w:spacing w:after="40"/>
              <w:rPr>
                <w:snapToGrid w:val="0"/>
              </w:rPr>
            </w:pPr>
            <w:r>
              <w:rPr>
                <w:snapToGrid w:val="0"/>
              </w:rPr>
              <w:t>28 of 2010</w:t>
            </w:r>
          </w:p>
        </w:tc>
        <w:tc>
          <w:tcPr>
            <w:tcW w:w="1134" w:type="dxa"/>
            <w:tcBorders>
              <w:bottom w:val="single" w:sz="4" w:space="0" w:color="auto"/>
            </w:tcBorders>
          </w:tcPr>
          <w:p>
            <w:pPr>
              <w:pStyle w:val="nTable"/>
              <w:spacing w:after="40"/>
              <w:rPr>
                <w:snapToGrid w:val="0"/>
              </w:rPr>
            </w:pPr>
            <w:r>
              <w:rPr>
                <w:snapToGrid w:val="0"/>
              </w:rPr>
              <w:t>19 Aug 2010</w:t>
            </w:r>
          </w:p>
        </w:tc>
        <w:tc>
          <w:tcPr>
            <w:tcW w:w="2552" w:type="dxa"/>
            <w:tcBorders>
              <w:bottom w:val="single" w:sz="4" w:space="0" w:color="auto"/>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bl>
    <w:p>
      <w:pPr>
        <w:pStyle w:val="nSubsection"/>
        <w:rPr>
          <w:vertAlign w:val="superscript"/>
        </w:rPr>
      </w:pPr>
    </w:p>
    <w:p>
      <w:pPr>
        <w:pStyle w:val="nSubsection"/>
        <w:ind w:left="0" w:firstLine="0"/>
        <w:rPr>
          <w:i/>
        </w:rPr>
      </w:pPr>
      <w:r>
        <w:rPr>
          <w:vertAlign w:val="superscript"/>
        </w:rPr>
        <w:t>2</w:t>
      </w:r>
      <w:r>
        <w:tab/>
        <w:t xml:space="preserve">Repealed by the </w:t>
      </w:r>
      <w:r>
        <w:rPr>
          <w:i/>
        </w:rPr>
        <w:t>Real Estate and Business Agents Act 1978.</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8" w:name="_Toc434849555"/>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w:t>
      </w:r>
      <w:r>
        <w:tab/>
        <w:t>5</w:t>
      </w:r>
    </w:p>
    <w:p>
      <w:pPr>
        <w:pStyle w:val="DefinedTerms"/>
      </w:pPr>
      <w:r>
        <w:t>advertisement</w:t>
      </w:r>
      <w:r>
        <w:tab/>
        <w:t>5</w:t>
      </w:r>
    </w:p>
    <w:p>
      <w:pPr>
        <w:pStyle w:val="DefinedTerms"/>
      </w:pPr>
      <w:r>
        <w:t>charge</w:t>
      </w:r>
      <w:r>
        <w:tab/>
        <w:t>7(2)</w:t>
      </w:r>
    </w:p>
    <w:p>
      <w:pPr>
        <w:pStyle w:val="DefinedTerms"/>
      </w:pPr>
      <w:r>
        <w:t>Court</w:t>
      </w:r>
      <w:r>
        <w:tab/>
        <w:t>5</w:t>
      </w:r>
    </w:p>
    <w:p>
      <w:pPr>
        <w:pStyle w:val="DefinedTerms"/>
      </w:pPr>
      <w:r>
        <w:t>deposit</w:t>
      </w:r>
      <w:r>
        <w:tab/>
        <w:t>5</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 to the public for purchase</w:t>
      </w:r>
      <w:r>
        <w:tab/>
        <w:t>19A(2)</w:t>
      </w:r>
    </w:p>
    <w:p>
      <w:pPr>
        <w:pStyle w:val="DefinedTerms"/>
      </w:pPr>
      <w:r>
        <w:t>offer to the public options to purchase</w:t>
      </w:r>
      <w:r>
        <w:tab/>
        <w:t>19A(2)</w:t>
      </w:r>
    </w:p>
    <w:p>
      <w:pPr>
        <w:pStyle w:val="DefinedTerms"/>
      </w:pPr>
      <w:r>
        <w:t>offeror</w:t>
      </w:r>
      <w:r>
        <w:tab/>
        <w:t>19A(1)</w:t>
      </w:r>
    </w:p>
    <w:p>
      <w:pPr>
        <w:pStyle w:val="DefinedTerms"/>
      </w:pPr>
      <w:r>
        <w:t>option to purchase</w:t>
      </w:r>
      <w:r>
        <w:tab/>
        <w:t>19A(1)</w:t>
      </w:r>
    </w:p>
    <w:p>
      <w:pPr>
        <w:pStyle w:val="DefinedTerms"/>
      </w:pPr>
      <w:r>
        <w:t>position</w:t>
      </w:r>
      <w:r>
        <w:tab/>
        <w:t>17(2)</w:t>
      </w:r>
    </w:p>
    <w:p>
      <w:pPr>
        <w:pStyle w:val="DefinedTerms"/>
      </w:pPr>
      <w:r>
        <w:t>proprietor</w:t>
      </w:r>
      <w:r>
        <w:tab/>
        <w:t>11</w:t>
      </w:r>
    </w:p>
    <w:p>
      <w:pPr>
        <w:pStyle w:val="DefinedTerms"/>
      </w:pPr>
      <w:r>
        <w:t>public amenity</w:t>
      </w:r>
      <w:r>
        <w:tab/>
        <w:t>17(2)</w:t>
      </w:r>
    </w:p>
    <w:p>
      <w:pPr>
        <w:pStyle w:val="DefinedTerms"/>
      </w:pPr>
      <w:r>
        <w:t>Registrar</w:t>
      </w:r>
      <w:r>
        <w:tab/>
        <w:t>19A(1)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sold</w:t>
      </w:r>
      <w:r>
        <w:tab/>
        <w:t>11</w:t>
      </w:r>
    </w:p>
    <w:p>
      <w:pPr>
        <w:pStyle w:val="DefinedTerms"/>
      </w:pPr>
      <w:r>
        <w:t>statement</w:t>
      </w:r>
      <w:r>
        <w:tab/>
        <w:t>17(2)</w:t>
      </w:r>
    </w:p>
    <w:p>
      <w:pPr>
        <w:pStyle w:val="DefinedTerms"/>
      </w:pPr>
      <w:r>
        <w:t>terms contract</w:t>
      </w:r>
      <w:r>
        <w:tab/>
        <w:t>5</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Nov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Nov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31"/>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6047</Words>
  <Characters>27455</Characters>
  <Application>Microsoft Office Word</Application>
  <DocSecurity>0</DocSecurity>
  <Lines>807</Lines>
  <Paragraphs>413</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33089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1970 - 03-g0-04</dc:title>
  <dc:subject/>
  <dc:creator/>
  <cp:keywords/>
  <dc:description/>
  <cp:lastModifiedBy>svcMRProcess</cp:lastModifiedBy>
  <cp:revision>4</cp:revision>
  <cp:lastPrinted>2006-05-18T02:51:00Z</cp:lastPrinted>
  <dcterms:created xsi:type="dcterms:W3CDTF">2015-11-09T08:42:00Z</dcterms:created>
  <dcterms:modified xsi:type="dcterms:W3CDTF">2015-11-09T08:42:00Z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AsAtDate">
    <vt:lpwstr>22 Nov 2010</vt:lpwstr>
  </property>
  <property fmtid="{D5CDD505-2E9C-101B-9397-08002B2CF9AE}" pid="8" name="Suffix">
    <vt:lpwstr>03-g0-04</vt:lpwstr>
  </property>
</Properties>
</file>