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Settlement Agents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Act 1981</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_Toc155600264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_Toc155600265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_Toc155600266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and construction</w:t>
      </w:r>
      <w:r>
        <w:tab/>
      </w:r>
      <w:r>
        <w:fldChar w:fldCharType="begin"/>
      </w:r>
      <w:r>
        <w:instrText xml:space="preserve"> PAGEREF _Toc155600267 \h </w:instrText>
      </w:r>
      <w:r>
        <w:fldChar w:fldCharType="separate"/>
      </w:r>
      <w:r>
        <w:t>7</w:t>
      </w:r>
      <w:r>
        <w:fldChar w:fldCharType="end"/>
      </w:r>
    </w:p>
    <w:p>
      <w:pPr>
        <w:pStyle w:val="TOC2"/>
        <w:tabs>
          <w:tab w:val="right" w:leader="dot" w:pos="7086"/>
        </w:tabs>
        <w:rPr>
          <w:b w:val="0"/>
          <w:sz w:val="24"/>
          <w:szCs w:val="24"/>
        </w:rPr>
      </w:pPr>
      <w:r>
        <w:rPr>
          <w:szCs w:val="30"/>
        </w:rPr>
        <w:t>Part II — Settlement Agents Supervisory Board</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5</w:t>
      </w:r>
      <w:r>
        <w:rPr>
          <w:snapToGrid w:val="0"/>
          <w:szCs w:val="24"/>
        </w:rPr>
        <w:t>.</w:t>
      </w:r>
      <w:r>
        <w:rPr>
          <w:snapToGrid w:val="0"/>
          <w:szCs w:val="24"/>
        </w:rPr>
        <w:tab/>
        <w:t>The Board</w:t>
      </w:r>
      <w:r>
        <w:tab/>
      </w:r>
      <w:r>
        <w:fldChar w:fldCharType="begin"/>
      </w:r>
      <w:r>
        <w:instrText xml:space="preserve"> PAGEREF _Toc155600270 \h </w:instrText>
      </w:r>
      <w:r>
        <w:fldChar w:fldCharType="separate"/>
      </w:r>
      <w:r>
        <w:t>8</w:t>
      </w:r>
      <w:r>
        <w:fldChar w:fldCharType="end"/>
      </w:r>
    </w:p>
    <w:p>
      <w:pPr>
        <w:pStyle w:val="TOC8"/>
        <w:rPr>
          <w:sz w:val="24"/>
          <w:szCs w:val="24"/>
        </w:rPr>
      </w:pPr>
      <w:r>
        <w:rPr>
          <w:szCs w:val="24"/>
        </w:rPr>
        <w:t>6</w:t>
      </w:r>
      <w:r>
        <w:rPr>
          <w:snapToGrid w:val="0"/>
          <w:szCs w:val="24"/>
        </w:rPr>
        <w:t>.</w:t>
      </w:r>
      <w:r>
        <w:rPr>
          <w:snapToGrid w:val="0"/>
          <w:szCs w:val="24"/>
        </w:rPr>
        <w:tab/>
        <w:t>Composition of Board</w:t>
      </w:r>
      <w:r>
        <w:tab/>
      </w:r>
      <w:r>
        <w:fldChar w:fldCharType="begin"/>
      </w:r>
      <w:r>
        <w:instrText xml:space="preserve"> PAGEREF _Toc155600271 \h </w:instrText>
      </w:r>
      <w:r>
        <w:fldChar w:fldCharType="separate"/>
      </w:r>
      <w:r>
        <w:t>8</w:t>
      </w:r>
      <w:r>
        <w:fldChar w:fldCharType="end"/>
      </w:r>
    </w:p>
    <w:p>
      <w:pPr>
        <w:pStyle w:val="TOC8"/>
        <w:rPr>
          <w:sz w:val="24"/>
          <w:szCs w:val="24"/>
        </w:rPr>
      </w:pPr>
      <w:r>
        <w:rPr>
          <w:szCs w:val="24"/>
        </w:rPr>
        <w:t>7</w:t>
      </w:r>
      <w:r>
        <w:rPr>
          <w:snapToGrid w:val="0"/>
          <w:szCs w:val="24"/>
        </w:rPr>
        <w:t>.</w:t>
      </w:r>
      <w:r>
        <w:rPr>
          <w:snapToGrid w:val="0"/>
          <w:szCs w:val="24"/>
        </w:rPr>
        <w:tab/>
        <w:t>Term of office</w:t>
      </w:r>
      <w:r>
        <w:tab/>
      </w:r>
      <w:r>
        <w:fldChar w:fldCharType="begin"/>
      </w:r>
      <w:r>
        <w:instrText xml:space="preserve"> PAGEREF _Toc155600272 \h </w:instrText>
      </w:r>
      <w:r>
        <w:fldChar w:fldCharType="separate"/>
      </w:r>
      <w:r>
        <w:t>9</w:t>
      </w:r>
      <w:r>
        <w:fldChar w:fldCharType="end"/>
      </w:r>
    </w:p>
    <w:p>
      <w:pPr>
        <w:pStyle w:val="TOC8"/>
        <w:rPr>
          <w:sz w:val="24"/>
          <w:szCs w:val="24"/>
        </w:rPr>
      </w:pPr>
      <w:r>
        <w:rPr>
          <w:szCs w:val="24"/>
        </w:rPr>
        <w:t>8</w:t>
      </w:r>
      <w:r>
        <w:rPr>
          <w:snapToGrid w:val="0"/>
          <w:szCs w:val="24"/>
        </w:rPr>
        <w:t>.</w:t>
      </w:r>
      <w:r>
        <w:rPr>
          <w:snapToGrid w:val="0"/>
          <w:szCs w:val="24"/>
        </w:rPr>
        <w:tab/>
        <w:t>Functions of the Board</w:t>
      </w:r>
      <w:r>
        <w:tab/>
      </w:r>
      <w:r>
        <w:fldChar w:fldCharType="begin"/>
      </w:r>
      <w:r>
        <w:instrText xml:space="preserve"> PAGEREF _Toc155600273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Meetings of the Board</w:t>
      </w:r>
      <w:r>
        <w:tab/>
      </w:r>
      <w:r>
        <w:fldChar w:fldCharType="begin"/>
      </w:r>
      <w:r>
        <w:instrText xml:space="preserve"> PAGEREF _Toc155600274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Validity of acts of Board</w:t>
      </w:r>
      <w:r>
        <w:tab/>
      </w:r>
      <w:r>
        <w:fldChar w:fldCharType="begin"/>
      </w:r>
      <w:r>
        <w:instrText xml:space="preserve"> PAGEREF _Toc155600275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Remuneration and allowances</w:t>
      </w:r>
      <w:r>
        <w:tab/>
      </w:r>
      <w:r>
        <w:fldChar w:fldCharType="begin"/>
      </w:r>
      <w:r>
        <w:instrText xml:space="preserve"> PAGEREF _Toc155600276 \h </w:instrText>
      </w:r>
      <w:r>
        <w:fldChar w:fldCharType="separate"/>
      </w:r>
      <w:r>
        <w:t>12</w:t>
      </w:r>
      <w:r>
        <w:fldChar w:fldCharType="end"/>
      </w:r>
    </w:p>
    <w:p>
      <w:pPr>
        <w:pStyle w:val="TOC8"/>
        <w:rPr>
          <w:sz w:val="24"/>
          <w:szCs w:val="24"/>
        </w:rPr>
      </w:pPr>
      <w:r>
        <w:rPr>
          <w:szCs w:val="24"/>
        </w:rPr>
        <w:t>12</w:t>
      </w:r>
      <w:r>
        <w:rPr>
          <w:snapToGrid w:val="0"/>
          <w:szCs w:val="24"/>
        </w:rPr>
        <w:t>.</w:t>
      </w:r>
      <w:r>
        <w:rPr>
          <w:snapToGrid w:val="0"/>
          <w:szCs w:val="24"/>
        </w:rPr>
        <w:tab/>
        <w:t>The Registrar and other officers</w:t>
      </w:r>
      <w:r>
        <w:tab/>
      </w:r>
      <w:r>
        <w:fldChar w:fldCharType="begin"/>
      </w:r>
      <w:r>
        <w:instrText xml:space="preserve"> PAGEREF _Toc155600277 \h </w:instrText>
      </w:r>
      <w:r>
        <w:fldChar w:fldCharType="separate"/>
      </w:r>
      <w:r>
        <w:t>12</w:t>
      </w:r>
      <w:r>
        <w:fldChar w:fldCharType="end"/>
      </w:r>
    </w:p>
    <w:p>
      <w:pPr>
        <w:pStyle w:val="TOC8"/>
        <w:rPr>
          <w:sz w:val="24"/>
          <w:szCs w:val="24"/>
        </w:rPr>
      </w:pPr>
      <w:r>
        <w:rPr>
          <w:szCs w:val="24"/>
        </w:rPr>
        <w:t>12A</w:t>
      </w:r>
      <w:r>
        <w:rPr>
          <w:snapToGrid w:val="0"/>
          <w:szCs w:val="24"/>
        </w:rPr>
        <w:t xml:space="preserve">. </w:t>
      </w:r>
      <w:r>
        <w:rPr>
          <w:snapToGrid w:val="0"/>
          <w:szCs w:val="24"/>
        </w:rPr>
        <w:tab/>
        <w:t>Consultants, etc.</w:t>
      </w:r>
      <w:r>
        <w:tab/>
      </w:r>
      <w:r>
        <w:fldChar w:fldCharType="begin"/>
      </w:r>
      <w:r>
        <w:instrText xml:space="preserve"> PAGEREF _Toc155600278 \h </w:instrText>
      </w:r>
      <w:r>
        <w:fldChar w:fldCharType="separate"/>
      </w:r>
      <w:r>
        <w:t>13</w:t>
      </w:r>
      <w:r>
        <w:fldChar w:fldCharType="end"/>
      </w:r>
    </w:p>
    <w:p>
      <w:pPr>
        <w:pStyle w:val="TOC8"/>
        <w:rPr>
          <w:sz w:val="24"/>
          <w:szCs w:val="24"/>
        </w:rPr>
      </w:pPr>
      <w:r>
        <w:rPr>
          <w:szCs w:val="24"/>
        </w:rPr>
        <w:t>12B</w:t>
      </w:r>
      <w:r>
        <w:rPr>
          <w:snapToGrid w:val="0"/>
          <w:szCs w:val="24"/>
        </w:rPr>
        <w:t xml:space="preserve">. </w:t>
      </w:r>
      <w:r>
        <w:rPr>
          <w:snapToGrid w:val="0"/>
          <w:szCs w:val="24"/>
        </w:rPr>
        <w:tab/>
        <w:t>Minister may give directions</w:t>
      </w:r>
      <w:r>
        <w:tab/>
      </w:r>
      <w:r>
        <w:fldChar w:fldCharType="begin"/>
      </w:r>
      <w:r>
        <w:instrText xml:space="preserve"> PAGEREF _Toc155600279 \h </w:instrText>
      </w:r>
      <w:r>
        <w:fldChar w:fldCharType="separate"/>
      </w:r>
      <w:r>
        <w:t>13</w:t>
      </w:r>
      <w:r>
        <w:fldChar w:fldCharType="end"/>
      </w:r>
    </w:p>
    <w:p>
      <w:pPr>
        <w:pStyle w:val="TOC8"/>
        <w:rPr>
          <w:sz w:val="24"/>
          <w:szCs w:val="24"/>
        </w:rPr>
      </w:pPr>
      <w:r>
        <w:rPr>
          <w:szCs w:val="24"/>
        </w:rPr>
        <w:t>12C</w:t>
      </w:r>
      <w:r>
        <w:rPr>
          <w:snapToGrid w:val="0"/>
          <w:szCs w:val="24"/>
        </w:rPr>
        <w:t xml:space="preserve">. </w:t>
      </w:r>
      <w:r>
        <w:rPr>
          <w:snapToGrid w:val="0"/>
          <w:szCs w:val="24"/>
        </w:rPr>
        <w:tab/>
        <w:t>Minister to have access to information</w:t>
      </w:r>
      <w:r>
        <w:tab/>
      </w:r>
      <w:r>
        <w:fldChar w:fldCharType="begin"/>
      </w:r>
      <w:r>
        <w:instrText xml:space="preserve"> PAGEREF _Toc155600280 \h </w:instrText>
      </w:r>
      <w:r>
        <w:fldChar w:fldCharType="separate"/>
      </w:r>
      <w:r>
        <w:t>14</w:t>
      </w:r>
      <w:r>
        <w:fldChar w:fldCharType="end"/>
      </w:r>
    </w:p>
    <w:p>
      <w:pPr>
        <w:pStyle w:val="TOC4"/>
        <w:tabs>
          <w:tab w:val="right" w:leader="dot" w:pos="708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12D</w:t>
      </w:r>
      <w:r>
        <w:rPr>
          <w:snapToGrid w:val="0"/>
          <w:szCs w:val="24"/>
        </w:rPr>
        <w:t xml:space="preserve">. </w:t>
      </w:r>
      <w:r>
        <w:rPr>
          <w:snapToGrid w:val="0"/>
          <w:szCs w:val="24"/>
        </w:rPr>
        <w:tab/>
        <w:t>Corporate plan</w:t>
      </w:r>
      <w:r>
        <w:tab/>
      </w:r>
      <w:r>
        <w:fldChar w:fldCharType="begin"/>
      </w:r>
      <w:r>
        <w:instrText xml:space="preserve"> PAGEREF _Toc155600282 \h </w:instrText>
      </w:r>
      <w:r>
        <w:fldChar w:fldCharType="separate"/>
      </w:r>
      <w:r>
        <w:t>14</w:t>
      </w:r>
      <w:r>
        <w:fldChar w:fldCharType="end"/>
      </w:r>
    </w:p>
    <w:p>
      <w:pPr>
        <w:pStyle w:val="TOC8"/>
        <w:rPr>
          <w:sz w:val="24"/>
          <w:szCs w:val="24"/>
        </w:rPr>
      </w:pPr>
      <w:r>
        <w:rPr>
          <w:szCs w:val="24"/>
        </w:rPr>
        <w:t>12E</w:t>
      </w:r>
      <w:r>
        <w:rPr>
          <w:snapToGrid w:val="0"/>
          <w:szCs w:val="24"/>
        </w:rPr>
        <w:t xml:space="preserve">. </w:t>
      </w:r>
      <w:r>
        <w:rPr>
          <w:snapToGrid w:val="0"/>
          <w:szCs w:val="24"/>
        </w:rPr>
        <w:tab/>
        <w:t>Board to comply with corporate plan</w:t>
      </w:r>
      <w:r>
        <w:tab/>
      </w:r>
      <w:r>
        <w:fldChar w:fldCharType="begin"/>
      </w:r>
      <w:r>
        <w:instrText xml:space="preserve"> PAGEREF _Toc155600283 \h </w:instrText>
      </w:r>
      <w:r>
        <w:fldChar w:fldCharType="separate"/>
      </w:r>
      <w:r>
        <w:t>15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Investigation and inquiry by Registrar and inspectors</w:t>
      </w:r>
      <w:r>
        <w:tab/>
      </w:r>
      <w:r>
        <w:fldChar w:fldCharType="begin"/>
      </w:r>
      <w:r>
        <w:instrText xml:space="preserve"> PAGEREF _Toc155600285 \h </w:instrText>
      </w:r>
      <w:r>
        <w:fldChar w:fldCharType="separate"/>
      </w:r>
      <w:r>
        <w:t>15</w:t>
      </w:r>
      <w:r>
        <w:fldChar w:fldCharType="end"/>
      </w:r>
    </w:p>
    <w:p>
      <w:pPr>
        <w:pStyle w:val="TOC8"/>
        <w:rPr>
          <w:sz w:val="24"/>
          <w:szCs w:val="24"/>
        </w:rPr>
      </w:pPr>
      <w:r>
        <w:rPr>
          <w:szCs w:val="24"/>
        </w:rPr>
        <w:t>14</w:t>
      </w:r>
      <w:r>
        <w:rPr>
          <w:snapToGrid w:val="0"/>
          <w:szCs w:val="24"/>
        </w:rPr>
        <w:t>.</w:t>
      </w:r>
      <w:r>
        <w:rPr>
          <w:snapToGrid w:val="0"/>
          <w:szCs w:val="24"/>
        </w:rPr>
        <w:tab/>
        <w:t>Police investigations</w:t>
      </w:r>
      <w:r>
        <w:tab/>
      </w:r>
      <w:r>
        <w:fldChar w:fldCharType="begin"/>
      </w:r>
      <w:r>
        <w:instrText xml:space="preserve"> PAGEREF _Toc155600286 \h </w:instrText>
      </w:r>
      <w:r>
        <w:fldChar w:fldCharType="separate"/>
      </w:r>
      <w:r>
        <w:t>16</w:t>
      </w:r>
      <w:r>
        <w:fldChar w:fldCharType="end"/>
      </w:r>
    </w:p>
    <w:p>
      <w:pPr>
        <w:pStyle w:val="TOC8"/>
        <w:rPr>
          <w:sz w:val="24"/>
          <w:szCs w:val="24"/>
        </w:rPr>
      </w:pPr>
      <w:r>
        <w:rPr>
          <w:szCs w:val="24"/>
        </w:rPr>
        <w:t>15</w:t>
      </w:r>
      <w:r>
        <w:rPr>
          <w:snapToGrid w:val="0"/>
          <w:szCs w:val="24"/>
        </w:rPr>
        <w:t>.</w:t>
      </w:r>
      <w:r>
        <w:rPr>
          <w:snapToGrid w:val="0"/>
          <w:szCs w:val="24"/>
        </w:rPr>
        <w:tab/>
        <w:t>Power of Registrar and inspector to investigate inquire and obtain information</w:t>
      </w:r>
      <w:r>
        <w:tab/>
      </w:r>
      <w:r>
        <w:fldChar w:fldCharType="begin"/>
      </w:r>
      <w:r>
        <w:instrText xml:space="preserve"> PAGEREF _Toc155600287 \h </w:instrText>
      </w:r>
      <w:r>
        <w:fldChar w:fldCharType="separate"/>
      </w:r>
      <w:r>
        <w:t>16</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_Toc155600288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Failure to comply with requirement</w:t>
      </w:r>
      <w:r>
        <w:tab/>
      </w:r>
      <w:r>
        <w:fldChar w:fldCharType="begin"/>
      </w:r>
      <w:r>
        <w:instrText xml:space="preserve"> PAGEREF _Toc155600289 \h </w:instrText>
      </w:r>
      <w:r>
        <w:fldChar w:fldCharType="separate"/>
      </w:r>
      <w:r>
        <w:t>19</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_Toc155600290 \h </w:instrText>
      </w:r>
      <w:r>
        <w:fldChar w:fldCharType="separate"/>
      </w:r>
      <w:r>
        <w:t>20</w:t>
      </w:r>
      <w:r>
        <w:fldChar w:fldCharType="end"/>
      </w:r>
    </w:p>
    <w:p>
      <w:pPr>
        <w:pStyle w:val="TOC4"/>
        <w:tabs>
          <w:tab w:val="right" w:leader="dot" w:pos="7086"/>
        </w:tabs>
        <w:rPr>
          <w:b w:val="0"/>
          <w:sz w:val="24"/>
          <w:szCs w:val="24"/>
        </w:rPr>
      </w:pPr>
      <w:r>
        <w:rPr>
          <w:szCs w:val="26"/>
        </w:rPr>
        <w:t>Division 3 — Proceedings of, and review of decision of, Board</w:t>
      </w:r>
    </w:p>
    <w:p>
      <w:pPr>
        <w:pStyle w:val="TOC8"/>
        <w:rPr>
          <w:sz w:val="24"/>
          <w:szCs w:val="24"/>
        </w:rPr>
      </w:pPr>
      <w:r>
        <w:rPr>
          <w:szCs w:val="24"/>
        </w:rPr>
        <w:t>19</w:t>
      </w:r>
      <w:r>
        <w:rPr>
          <w:snapToGrid w:val="0"/>
          <w:szCs w:val="24"/>
        </w:rPr>
        <w:t>.</w:t>
      </w:r>
      <w:r>
        <w:rPr>
          <w:snapToGrid w:val="0"/>
          <w:szCs w:val="24"/>
        </w:rPr>
        <w:tab/>
        <w:t>Proceedings before the Board</w:t>
      </w:r>
      <w:r>
        <w:tab/>
      </w:r>
      <w:r>
        <w:fldChar w:fldCharType="begin"/>
      </w:r>
      <w:r>
        <w:instrText xml:space="preserve"> PAGEREF _Toc155600292 \h </w:instrText>
      </w:r>
      <w:r>
        <w:fldChar w:fldCharType="separate"/>
      </w:r>
      <w:r>
        <w:t>20</w:t>
      </w:r>
      <w:r>
        <w:fldChar w:fldCharType="end"/>
      </w:r>
    </w:p>
    <w:p>
      <w:pPr>
        <w:pStyle w:val="TOC8"/>
        <w:rPr>
          <w:sz w:val="24"/>
          <w:szCs w:val="24"/>
        </w:rPr>
      </w:pPr>
      <w:r>
        <w:rPr>
          <w:szCs w:val="24"/>
        </w:rPr>
        <w:t>20</w:t>
      </w:r>
      <w:r>
        <w:rPr>
          <w:snapToGrid w:val="0"/>
          <w:szCs w:val="24"/>
        </w:rPr>
        <w:t>.</w:t>
      </w:r>
      <w:r>
        <w:rPr>
          <w:snapToGrid w:val="0"/>
          <w:szCs w:val="24"/>
        </w:rPr>
        <w:tab/>
        <w:t>Powers of the Board</w:t>
      </w:r>
      <w:r>
        <w:tab/>
      </w:r>
      <w:r>
        <w:fldChar w:fldCharType="begin"/>
      </w:r>
      <w:r>
        <w:instrText xml:space="preserve"> PAGEREF _Toc155600293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Orders for fines or costs</w:t>
      </w:r>
      <w:r>
        <w:tab/>
      </w:r>
      <w:r>
        <w:fldChar w:fldCharType="begin"/>
      </w:r>
      <w:r>
        <w:instrText xml:space="preserve"> PAGEREF _Toc155600294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_Toc155600295 \h </w:instrText>
      </w:r>
      <w:r>
        <w:fldChar w:fldCharType="separate"/>
      </w:r>
      <w:r>
        <w:t>24</w:t>
      </w:r>
      <w:r>
        <w:fldChar w:fldCharType="end"/>
      </w:r>
    </w:p>
    <w:p>
      <w:pPr>
        <w:pStyle w:val="TOC2"/>
        <w:tabs>
          <w:tab w:val="right" w:leader="dot" w:pos="7086"/>
        </w:tabs>
        <w:rPr>
          <w:b w:val="0"/>
          <w:sz w:val="24"/>
          <w:szCs w:val="24"/>
        </w:rPr>
      </w:pPr>
      <w:r>
        <w:rPr>
          <w:szCs w:val="30"/>
        </w:rPr>
        <w:t>Part III — Licensing</w:t>
      </w:r>
    </w:p>
    <w:p>
      <w:pPr>
        <w:pStyle w:val="TOC8"/>
        <w:rPr>
          <w:sz w:val="24"/>
          <w:szCs w:val="24"/>
        </w:rPr>
      </w:pPr>
      <w:r>
        <w:rPr>
          <w:szCs w:val="24"/>
        </w:rPr>
        <w:t>24</w:t>
      </w:r>
      <w:r>
        <w:rPr>
          <w:snapToGrid w:val="0"/>
          <w:szCs w:val="24"/>
        </w:rPr>
        <w:t>.</w:t>
      </w:r>
      <w:r>
        <w:rPr>
          <w:snapToGrid w:val="0"/>
          <w:szCs w:val="24"/>
        </w:rPr>
        <w:tab/>
        <w:t>Application</w:t>
      </w:r>
      <w:r>
        <w:tab/>
      </w:r>
      <w:r>
        <w:fldChar w:fldCharType="begin"/>
      </w:r>
      <w:r>
        <w:instrText xml:space="preserve"> PAGEREF _Toc155600297 \h </w:instrText>
      </w:r>
      <w:r>
        <w:fldChar w:fldCharType="separate"/>
      </w:r>
      <w:r>
        <w:t>26</w:t>
      </w:r>
      <w:r>
        <w:fldChar w:fldCharType="end"/>
      </w:r>
    </w:p>
    <w:p>
      <w:pPr>
        <w:pStyle w:val="TOC8"/>
        <w:rPr>
          <w:sz w:val="24"/>
          <w:szCs w:val="24"/>
        </w:rPr>
      </w:pPr>
      <w:r>
        <w:rPr>
          <w:szCs w:val="24"/>
        </w:rPr>
        <w:t>25</w:t>
      </w:r>
      <w:r>
        <w:rPr>
          <w:snapToGrid w:val="0"/>
          <w:szCs w:val="24"/>
        </w:rPr>
        <w:t>.</w:t>
      </w:r>
      <w:r>
        <w:rPr>
          <w:snapToGrid w:val="0"/>
          <w:szCs w:val="24"/>
        </w:rPr>
        <w:tab/>
        <w:t>Objections</w:t>
      </w:r>
      <w:r>
        <w:tab/>
      </w:r>
      <w:r>
        <w:fldChar w:fldCharType="begin"/>
      </w:r>
      <w:r>
        <w:instrText xml:space="preserve"> PAGEREF _Toc155600298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Settlement agents to be licensed</w:t>
      </w:r>
      <w:r>
        <w:tab/>
      </w:r>
      <w:r>
        <w:fldChar w:fldCharType="begin"/>
      </w:r>
      <w:r>
        <w:instrText xml:space="preserve"> PAGEREF _Toc155600299 \h </w:instrText>
      </w:r>
      <w:r>
        <w:fldChar w:fldCharType="separate"/>
      </w:r>
      <w:r>
        <w:t>27</w:t>
      </w:r>
      <w:r>
        <w:fldChar w:fldCharType="end"/>
      </w:r>
    </w:p>
    <w:p>
      <w:pPr>
        <w:pStyle w:val="TOC8"/>
        <w:rPr>
          <w:sz w:val="24"/>
          <w:szCs w:val="24"/>
        </w:rPr>
      </w:pPr>
      <w:r>
        <w:rPr>
          <w:szCs w:val="24"/>
        </w:rPr>
        <w:t>26A</w:t>
      </w:r>
      <w:r>
        <w:rPr>
          <w:snapToGrid w:val="0"/>
          <w:szCs w:val="24"/>
        </w:rPr>
        <w:t xml:space="preserve">. </w:t>
      </w:r>
      <w:r>
        <w:rPr>
          <w:snapToGrid w:val="0"/>
          <w:szCs w:val="24"/>
        </w:rPr>
        <w:tab/>
        <w:t>Exemptions for real estate agents</w:t>
      </w:r>
      <w:r>
        <w:tab/>
      </w:r>
      <w:r>
        <w:fldChar w:fldCharType="begin"/>
      </w:r>
      <w:r>
        <w:instrText xml:space="preserve"> PAGEREF _Toc155600300 \h </w:instrText>
      </w:r>
      <w:r>
        <w:fldChar w:fldCharType="separate"/>
      </w:r>
      <w:r>
        <w:t>27</w:t>
      </w:r>
      <w:r>
        <w:fldChar w:fldCharType="end"/>
      </w:r>
    </w:p>
    <w:p>
      <w:pPr>
        <w:pStyle w:val="TOC8"/>
        <w:rPr>
          <w:sz w:val="24"/>
          <w:szCs w:val="24"/>
        </w:rPr>
      </w:pPr>
      <w:r>
        <w:rPr>
          <w:szCs w:val="24"/>
        </w:rPr>
        <w:t>26B</w:t>
      </w:r>
      <w:r>
        <w:rPr>
          <w:snapToGrid w:val="0"/>
          <w:szCs w:val="24"/>
        </w:rPr>
        <w:t xml:space="preserve">. </w:t>
      </w:r>
      <w:r>
        <w:rPr>
          <w:snapToGrid w:val="0"/>
          <w:szCs w:val="24"/>
        </w:rPr>
        <w:tab/>
        <w:t>Exemptions for business agents</w:t>
      </w:r>
      <w:r>
        <w:tab/>
      </w:r>
      <w:r>
        <w:fldChar w:fldCharType="begin"/>
      </w:r>
      <w:r>
        <w:instrText xml:space="preserve"> PAGEREF _Toc155600301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Grant of licence to a natural person</w:t>
      </w:r>
      <w:r>
        <w:tab/>
      </w:r>
      <w:r>
        <w:fldChar w:fldCharType="begin"/>
      </w:r>
      <w:r>
        <w:instrText xml:space="preserve"> PAGEREF _Toc155600302 \h </w:instrText>
      </w:r>
      <w:r>
        <w:fldChar w:fldCharType="separate"/>
      </w:r>
      <w:r>
        <w:t>32</w:t>
      </w:r>
      <w:r>
        <w:fldChar w:fldCharType="end"/>
      </w:r>
    </w:p>
    <w:p>
      <w:pPr>
        <w:pStyle w:val="TOC8"/>
        <w:rPr>
          <w:sz w:val="24"/>
          <w:szCs w:val="24"/>
        </w:rPr>
      </w:pPr>
      <w:r>
        <w:rPr>
          <w:szCs w:val="24"/>
        </w:rPr>
        <w:t>28</w:t>
      </w:r>
      <w:r>
        <w:rPr>
          <w:snapToGrid w:val="0"/>
          <w:szCs w:val="24"/>
        </w:rPr>
        <w:t>.</w:t>
      </w:r>
      <w:r>
        <w:rPr>
          <w:snapToGrid w:val="0"/>
          <w:szCs w:val="24"/>
        </w:rPr>
        <w:tab/>
        <w:t>Grant of licence to a firm</w:t>
      </w:r>
      <w:r>
        <w:tab/>
      </w:r>
      <w:r>
        <w:fldChar w:fldCharType="begin"/>
      </w:r>
      <w:r>
        <w:instrText xml:space="preserve"> PAGEREF _Toc155600303 \h </w:instrText>
      </w:r>
      <w:r>
        <w:fldChar w:fldCharType="separate"/>
      </w:r>
      <w:r>
        <w:t>32</w:t>
      </w:r>
      <w:r>
        <w:fldChar w:fldCharType="end"/>
      </w:r>
    </w:p>
    <w:p>
      <w:pPr>
        <w:pStyle w:val="TOC8"/>
        <w:rPr>
          <w:sz w:val="24"/>
          <w:szCs w:val="24"/>
        </w:rPr>
      </w:pPr>
      <w:r>
        <w:rPr>
          <w:szCs w:val="24"/>
        </w:rPr>
        <w:t>29</w:t>
      </w:r>
      <w:r>
        <w:rPr>
          <w:snapToGrid w:val="0"/>
          <w:szCs w:val="24"/>
        </w:rPr>
        <w:t>.</w:t>
      </w:r>
      <w:r>
        <w:rPr>
          <w:snapToGrid w:val="0"/>
          <w:szCs w:val="24"/>
        </w:rPr>
        <w:tab/>
        <w:t>Grant of licence to body corporate</w:t>
      </w:r>
      <w:r>
        <w:tab/>
      </w:r>
      <w:r>
        <w:fldChar w:fldCharType="begin"/>
      </w:r>
      <w:r>
        <w:instrText xml:space="preserve"> PAGEREF _Toc155600304 \h </w:instrText>
      </w:r>
      <w:r>
        <w:fldChar w:fldCharType="separate"/>
      </w:r>
      <w:r>
        <w:t>33</w:t>
      </w:r>
      <w:r>
        <w:fldChar w:fldCharType="end"/>
      </w:r>
    </w:p>
    <w:p>
      <w:pPr>
        <w:pStyle w:val="TOC8"/>
        <w:rPr>
          <w:sz w:val="24"/>
          <w:szCs w:val="24"/>
        </w:rPr>
      </w:pPr>
      <w:r>
        <w:rPr>
          <w:szCs w:val="24"/>
        </w:rPr>
        <w:t>30</w:t>
      </w:r>
      <w:r>
        <w:rPr>
          <w:snapToGrid w:val="0"/>
          <w:szCs w:val="24"/>
        </w:rPr>
        <w:t>.</w:t>
      </w:r>
      <w:r>
        <w:rPr>
          <w:snapToGrid w:val="0"/>
          <w:szCs w:val="24"/>
        </w:rPr>
        <w:tab/>
        <w:t>Effect of licence</w:t>
      </w:r>
      <w:r>
        <w:tab/>
      </w:r>
      <w:r>
        <w:fldChar w:fldCharType="begin"/>
      </w:r>
      <w:r>
        <w:instrText xml:space="preserve"> PAGEREF _Toc155600305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Triennial certificate and renewal thereof</w:t>
      </w:r>
      <w:r>
        <w:tab/>
      </w:r>
      <w:r>
        <w:fldChar w:fldCharType="begin"/>
      </w:r>
      <w:r>
        <w:instrText xml:space="preserve"> PAGEREF _Toc155600306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Periods of grace for renewal of triennial certificate</w:t>
      </w:r>
      <w:r>
        <w:tab/>
      </w:r>
      <w:r>
        <w:fldChar w:fldCharType="begin"/>
      </w:r>
      <w:r>
        <w:instrText xml:space="preserve"> PAGEREF _Toc155600307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Applications for renewal of triennial certificates in certain cases</w:t>
      </w:r>
      <w:r>
        <w:tab/>
      </w:r>
      <w:r>
        <w:fldChar w:fldCharType="begin"/>
      </w:r>
      <w:r>
        <w:instrText xml:space="preserve"> PAGEREF _Toc155600308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_Toc155600309 \h </w:instrText>
      </w:r>
      <w:r>
        <w:fldChar w:fldCharType="separate"/>
      </w:r>
      <w:r>
        <w:t>37</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_Toc155600310 \h </w:instrText>
      </w:r>
      <w:r>
        <w:fldChar w:fldCharType="separate"/>
      </w:r>
      <w:r>
        <w:t>38</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_Toc155600311 \h </w:instrText>
      </w:r>
      <w:r>
        <w:fldChar w:fldCharType="separate"/>
      </w:r>
      <w:r>
        <w:t>38</w:t>
      </w:r>
      <w:r>
        <w:fldChar w:fldCharType="end"/>
      </w:r>
    </w:p>
    <w:p>
      <w:pPr>
        <w:pStyle w:val="TOC8"/>
        <w:rPr>
          <w:sz w:val="24"/>
          <w:szCs w:val="24"/>
        </w:rPr>
      </w:pPr>
      <w:r>
        <w:rPr>
          <w:szCs w:val="24"/>
        </w:rPr>
        <w:t>35</w:t>
      </w:r>
      <w:r>
        <w:rPr>
          <w:snapToGrid w:val="0"/>
          <w:szCs w:val="24"/>
        </w:rPr>
        <w:t>.</w:t>
      </w:r>
      <w:r>
        <w:rPr>
          <w:snapToGrid w:val="0"/>
          <w:szCs w:val="24"/>
        </w:rPr>
        <w:tab/>
        <w:t>Fidelity insurance and professional indemnity insurance in respect of triennial certificate</w:t>
      </w:r>
      <w:r>
        <w:tab/>
      </w:r>
      <w:r>
        <w:fldChar w:fldCharType="begin"/>
      </w:r>
      <w:r>
        <w:instrText xml:space="preserve"> PAGEREF _Toc155600312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Notice to Registrar</w:t>
      </w:r>
      <w:r>
        <w:tab/>
      </w:r>
      <w:r>
        <w:fldChar w:fldCharType="begin"/>
      </w:r>
      <w:r>
        <w:instrText xml:space="preserve"> PAGEREF _Toc155600313 \h </w:instrText>
      </w:r>
      <w:r>
        <w:fldChar w:fldCharType="separate"/>
      </w:r>
      <w:r>
        <w:t>41</w:t>
      </w:r>
      <w:r>
        <w:fldChar w:fldCharType="end"/>
      </w:r>
    </w:p>
    <w:p>
      <w:pPr>
        <w:pStyle w:val="TOC8"/>
        <w:rPr>
          <w:sz w:val="24"/>
          <w:szCs w:val="24"/>
        </w:rPr>
      </w:pPr>
      <w:r>
        <w:rPr>
          <w:szCs w:val="24"/>
        </w:rPr>
        <w:t>37</w:t>
      </w:r>
      <w:r>
        <w:rPr>
          <w:snapToGrid w:val="0"/>
          <w:szCs w:val="24"/>
        </w:rPr>
        <w:t>.</w:t>
      </w:r>
      <w:r>
        <w:rPr>
          <w:snapToGrid w:val="0"/>
          <w:szCs w:val="24"/>
        </w:rPr>
        <w:tab/>
        <w:t>Registered office</w:t>
      </w:r>
      <w:r>
        <w:tab/>
      </w:r>
      <w:r>
        <w:fldChar w:fldCharType="begin"/>
      </w:r>
      <w:r>
        <w:instrText xml:space="preserve"> PAGEREF _Toc155600314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Branch office</w:t>
      </w:r>
      <w:r>
        <w:tab/>
      </w:r>
      <w:r>
        <w:fldChar w:fldCharType="begin"/>
      </w:r>
      <w:r>
        <w:instrText xml:space="preserve"> PAGEREF _Toc155600315 \h </w:instrText>
      </w:r>
      <w:r>
        <w:fldChar w:fldCharType="separate"/>
      </w:r>
      <w:r>
        <w:t>43</w:t>
      </w:r>
      <w:r>
        <w:fldChar w:fldCharType="end"/>
      </w:r>
    </w:p>
    <w:p>
      <w:pPr>
        <w:pStyle w:val="TOC8"/>
        <w:rPr>
          <w:sz w:val="24"/>
          <w:szCs w:val="24"/>
        </w:rPr>
      </w:pPr>
      <w:r>
        <w:rPr>
          <w:szCs w:val="24"/>
        </w:rPr>
        <w:t>39</w:t>
      </w:r>
      <w:r>
        <w:rPr>
          <w:snapToGrid w:val="0"/>
          <w:szCs w:val="24"/>
        </w:rPr>
        <w:t>.</w:t>
      </w:r>
      <w:r>
        <w:rPr>
          <w:snapToGrid w:val="0"/>
          <w:szCs w:val="24"/>
        </w:rPr>
        <w:tab/>
        <w:t>Endorsements on triennial certificates</w:t>
      </w:r>
      <w:r>
        <w:tab/>
      </w:r>
      <w:r>
        <w:fldChar w:fldCharType="begin"/>
      </w:r>
      <w:r>
        <w:instrText xml:space="preserve"> PAGEREF _Toc155600316 \h </w:instrText>
      </w:r>
      <w:r>
        <w:fldChar w:fldCharType="separate"/>
      </w:r>
      <w:r>
        <w:t>43</w:t>
      </w:r>
      <w:r>
        <w:fldChar w:fldCharType="end"/>
      </w:r>
    </w:p>
    <w:p>
      <w:pPr>
        <w:pStyle w:val="TOC8"/>
        <w:rPr>
          <w:sz w:val="24"/>
          <w:szCs w:val="24"/>
        </w:rPr>
      </w:pPr>
      <w:r>
        <w:rPr>
          <w:szCs w:val="24"/>
        </w:rPr>
        <w:t>40</w:t>
      </w:r>
      <w:r>
        <w:rPr>
          <w:snapToGrid w:val="0"/>
          <w:szCs w:val="24"/>
        </w:rPr>
        <w:t>.</w:t>
      </w:r>
      <w:r>
        <w:rPr>
          <w:snapToGrid w:val="0"/>
          <w:szCs w:val="24"/>
        </w:rPr>
        <w:tab/>
        <w:t>Licence and triennial certificate not transferable</w:t>
      </w:r>
      <w:r>
        <w:tab/>
      </w:r>
      <w:r>
        <w:fldChar w:fldCharType="begin"/>
      </w:r>
      <w:r>
        <w:instrText xml:space="preserve"> PAGEREF _Toc155600317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Use of business name</w:t>
      </w:r>
      <w:r>
        <w:tab/>
      </w:r>
      <w:r>
        <w:fldChar w:fldCharType="begin"/>
      </w:r>
      <w:r>
        <w:instrText xml:space="preserve"> PAGEREF _Toc155600318 \h </w:instrText>
      </w:r>
      <w:r>
        <w:fldChar w:fldCharType="separate"/>
      </w:r>
      <w:r>
        <w:t>44</w:t>
      </w:r>
      <w:r>
        <w:fldChar w:fldCharType="end"/>
      </w:r>
    </w:p>
    <w:p>
      <w:pPr>
        <w:pStyle w:val="TOC8"/>
        <w:rPr>
          <w:sz w:val="24"/>
          <w:szCs w:val="24"/>
        </w:rPr>
      </w:pPr>
      <w:r>
        <w:rPr>
          <w:szCs w:val="24"/>
        </w:rPr>
        <w:t>42</w:t>
      </w:r>
      <w:r>
        <w:rPr>
          <w:snapToGrid w:val="0"/>
          <w:szCs w:val="24"/>
        </w:rPr>
        <w:t>.</w:t>
      </w:r>
      <w:r>
        <w:rPr>
          <w:snapToGrid w:val="0"/>
          <w:szCs w:val="24"/>
        </w:rPr>
        <w:tab/>
        <w:t>Notices at offices; particulars on correspondence and documents</w:t>
      </w:r>
      <w:r>
        <w:tab/>
      </w:r>
      <w:r>
        <w:fldChar w:fldCharType="begin"/>
      </w:r>
      <w:r>
        <w:instrText xml:space="preserve"> PAGEREF _Toc155600319 \h </w:instrText>
      </w:r>
      <w:r>
        <w:fldChar w:fldCharType="separate"/>
      </w:r>
      <w:r>
        <w:t>45</w:t>
      </w:r>
      <w:r>
        <w:fldChar w:fldCharType="end"/>
      </w:r>
    </w:p>
    <w:p>
      <w:pPr>
        <w:pStyle w:val="TOC2"/>
        <w:tabs>
          <w:tab w:val="right" w:leader="dot" w:pos="7086"/>
        </w:tabs>
        <w:rPr>
          <w:b w:val="0"/>
          <w:sz w:val="24"/>
          <w:szCs w:val="24"/>
        </w:rPr>
      </w:pPr>
      <w:r>
        <w:rPr>
          <w:szCs w:val="30"/>
        </w:rPr>
        <w:t>Part IV — Controls</w:t>
      </w:r>
    </w:p>
    <w:p>
      <w:pPr>
        <w:pStyle w:val="TOC4"/>
        <w:tabs>
          <w:tab w:val="right" w:leader="dot" w:pos="708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43</w:t>
      </w:r>
      <w:r>
        <w:rPr>
          <w:snapToGrid w:val="0"/>
          <w:szCs w:val="24"/>
        </w:rPr>
        <w:t>.</w:t>
      </w:r>
      <w:r>
        <w:rPr>
          <w:snapToGrid w:val="0"/>
          <w:szCs w:val="24"/>
        </w:rPr>
        <w:tab/>
        <w:t>Entitlement to remuneration</w:t>
      </w:r>
      <w:r>
        <w:tab/>
      </w:r>
      <w:r>
        <w:fldChar w:fldCharType="begin"/>
      </w:r>
      <w:r>
        <w:instrText xml:space="preserve"> PAGEREF _Toc155600322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Remuneration of settlement agents</w:t>
      </w:r>
      <w:r>
        <w:tab/>
      </w:r>
      <w:r>
        <w:fldChar w:fldCharType="begin"/>
      </w:r>
      <w:r>
        <w:instrText xml:space="preserve"> PAGEREF _Toc155600323 \h </w:instrText>
      </w:r>
      <w:r>
        <w:fldChar w:fldCharType="separate"/>
      </w:r>
      <w:r>
        <w:t>48</w:t>
      </w:r>
      <w:r>
        <w:fldChar w:fldCharType="end"/>
      </w:r>
    </w:p>
    <w:p>
      <w:pPr>
        <w:pStyle w:val="TOC8"/>
        <w:rPr>
          <w:sz w:val="24"/>
          <w:szCs w:val="24"/>
        </w:rPr>
      </w:pPr>
      <w:r>
        <w:rPr>
          <w:szCs w:val="24"/>
        </w:rPr>
        <w:t>45</w:t>
      </w:r>
      <w:r>
        <w:rPr>
          <w:snapToGrid w:val="0"/>
          <w:szCs w:val="24"/>
        </w:rPr>
        <w:t>.</w:t>
      </w:r>
      <w:r>
        <w:rPr>
          <w:snapToGrid w:val="0"/>
          <w:szCs w:val="24"/>
        </w:rPr>
        <w:tab/>
        <w:t>Conduct of business</w:t>
      </w:r>
      <w:r>
        <w:tab/>
      </w:r>
      <w:r>
        <w:fldChar w:fldCharType="begin"/>
      </w:r>
      <w:r>
        <w:instrText xml:space="preserve"> PAGEREF _Toc155600324 \h </w:instrText>
      </w:r>
      <w:r>
        <w:fldChar w:fldCharType="separate"/>
      </w:r>
      <w:r>
        <w:t>49</w:t>
      </w:r>
      <w:r>
        <w:fldChar w:fldCharType="end"/>
      </w:r>
    </w:p>
    <w:p>
      <w:pPr>
        <w:pStyle w:val="TOC8"/>
        <w:rPr>
          <w:sz w:val="24"/>
          <w:szCs w:val="24"/>
        </w:rPr>
      </w:pPr>
      <w:r>
        <w:rPr>
          <w:szCs w:val="24"/>
        </w:rPr>
        <w:t>46</w:t>
      </w:r>
      <w:r>
        <w:rPr>
          <w:snapToGrid w:val="0"/>
          <w:szCs w:val="24"/>
        </w:rPr>
        <w:t>.</w:t>
      </w:r>
      <w:r>
        <w:rPr>
          <w:snapToGrid w:val="0"/>
          <w:szCs w:val="24"/>
        </w:rPr>
        <w:tab/>
        <w:t>Functions of a real estate settlement agent</w:t>
      </w:r>
      <w:r>
        <w:tab/>
      </w:r>
      <w:r>
        <w:fldChar w:fldCharType="begin"/>
      </w:r>
      <w:r>
        <w:instrText xml:space="preserve"> PAGEREF _Toc155600325 \h </w:instrText>
      </w:r>
      <w:r>
        <w:fldChar w:fldCharType="separate"/>
      </w:r>
      <w:r>
        <w:t>50</w:t>
      </w:r>
      <w:r>
        <w:fldChar w:fldCharType="end"/>
      </w:r>
    </w:p>
    <w:p>
      <w:pPr>
        <w:pStyle w:val="TOC8"/>
        <w:rPr>
          <w:sz w:val="24"/>
          <w:szCs w:val="24"/>
        </w:rPr>
      </w:pPr>
      <w:r>
        <w:rPr>
          <w:szCs w:val="24"/>
        </w:rPr>
        <w:t>47</w:t>
      </w:r>
      <w:r>
        <w:rPr>
          <w:snapToGrid w:val="0"/>
          <w:szCs w:val="24"/>
        </w:rPr>
        <w:t>.</w:t>
      </w:r>
      <w:r>
        <w:rPr>
          <w:snapToGrid w:val="0"/>
          <w:szCs w:val="24"/>
        </w:rPr>
        <w:tab/>
        <w:t>Functions of a business settlement agent</w:t>
      </w:r>
      <w:r>
        <w:tab/>
      </w:r>
      <w:r>
        <w:fldChar w:fldCharType="begin"/>
      </w:r>
      <w:r>
        <w:instrText xml:space="preserve"> PAGEREF _Toc155600326 \h </w:instrText>
      </w:r>
      <w:r>
        <w:fldChar w:fldCharType="separate"/>
      </w:r>
      <w:r>
        <w:t>51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Trust accounts</w:t>
      </w:r>
    </w:p>
    <w:p>
      <w:pPr>
        <w:pStyle w:val="TOC8"/>
        <w:rPr>
          <w:sz w:val="24"/>
          <w:szCs w:val="24"/>
        </w:rPr>
      </w:pPr>
      <w:r>
        <w:rPr>
          <w:szCs w:val="24"/>
        </w:rPr>
        <w:t>48</w:t>
      </w:r>
      <w:r>
        <w:rPr>
          <w:snapToGrid w:val="0"/>
          <w:szCs w:val="24"/>
        </w:rPr>
        <w:t>.</w:t>
      </w:r>
      <w:r>
        <w:rPr>
          <w:snapToGrid w:val="0"/>
          <w:szCs w:val="24"/>
        </w:rPr>
        <w:tab/>
        <w:t>Interpretation</w:t>
      </w:r>
      <w:r>
        <w:tab/>
      </w:r>
      <w:r>
        <w:fldChar w:fldCharType="begin"/>
      </w:r>
      <w:r>
        <w:instrText xml:space="preserve"> PAGEREF _Toc155600328 \h </w:instrText>
      </w:r>
      <w:r>
        <w:fldChar w:fldCharType="separate"/>
      </w:r>
      <w:r>
        <w:t>52</w:t>
      </w:r>
      <w:r>
        <w:fldChar w:fldCharType="end"/>
      </w:r>
    </w:p>
    <w:p>
      <w:pPr>
        <w:pStyle w:val="TOC8"/>
        <w:rPr>
          <w:sz w:val="24"/>
          <w:szCs w:val="24"/>
        </w:rPr>
      </w:pPr>
      <w:r>
        <w:rPr>
          <w:szCs w:val="24"/>
        </w:rPr>
        <w:t>49</w:t>
      </w:r>
      <w:r>
        <w:rPr>
          <w:snapToGrid w:val="0"/>
          <w:szCs w:val="24"/>
        </w:rPr>
        <w:t>.</w:t>
      </w:r>
      <w:r>
        <w:rPr>
          <w:snapToGrid w:val="0"/>
          <w:szCs w:val="24"/>
        </w:rPr>
        <w:tab/>
        <w:t>Trust accounts</w:t>
      </w:r>
      <w:r>
        <w:tab/>
      </w:r>
      <w:r>
        <w:fldChar w:fldCharType="begin"/>
      </w:r>
      <w:r>
        <w:instrText xml:space="preserve"> PAGEREF _Toc155600329 \h </w:instrText>
      </w:r>
      <w:r>
        <w:fldChar w:fldCharType="separate"/>
      </w:r>
      <w:r>
        <w:t>53</w:t>
      </w:r>
      <w:r>
        <w:fldChar w:fldCharType="end"/>
      </w:r>
    </w:p>
    <w:p>
      <w:pPr>
        <w:pStyle w:val="TOC8"/>
        <w:rPr>
          <w:sz w:val="24"/>
          <w:szCs w:val="24"/>
        </w:rPr>
      </w:pPr>
      <w:r>
        <w:rPr>
          <w:szCs w:val="24"/>
        </w:rPr>
        <w:t>49A</w:t>
      </w:r>
      <w:r>
        <w:rPr>
          <w:snapToGrid w:val="0"/>
          <w:szCs w:val="24"/>
        </w:rPr>
        <w:t xml:space="preserve">. </w:t>
      </w:r>
      <w:r>
        <w:rPr>
          <w:snapToGrid w:val="0"/>
          <w:szCs w:val="24"/>
        </w:rPr>
        <w:tab/>
        <w:t>Person may request separate trust account</w:t>
      </w:r>
      <w:r>
        <w:tab/>
      </w:r>
      <w:r>
        <w:fldChar w:fldCharType="begin"/>
      </w:r>
      <w:r>
        <w:instrText xml:space="preserve"> PAGEREF _Toc155600330 \h </w:instrText>
      </w:r>
      <w:r>
        <w:fldChar w:fldCharType="separate"/>
      </w:r>
      <w:r>
        <w:t>54</w:t>
      </w:r>
      <w:r>
        <w:fldChar w:fldCharType="end"/>
      </w:r>
    </w:p>
    <w:p>
      <w:pPr>
        <w:pStyle w:val="TOC8"/>
        <w:rPr>
          <w:sz w:val="24"/>
          <w:szCs w:val="24"/>
        </w:rPr>
      </w:pPr>
      <w:r>
        <w:rPr>
          <w:szCs w:val="24"/>
        </w:rPr>
        <w:t>49B</w:t>
      </w:r>
      <w:r>
        <w:rPr>
          <w:snapToGrid w:val="0"/>
          <w:szCs w:val="24"/>
        </w:rPr>
        <w:t xml:space="preserve">. </w:t>
      </w:r>
      <w:r>
        <w:rPr>
          <w:snapToGrid w:val="0"/>
          <w:szCs w:val="24"/>
        </w:rPr>
        <w:tab/>
        <w:t>Payment of interest on trust accounts</w:t>
      </w:r>
      <w:r>
        <w:tab/>
      </w:r>
      <w:r>
        <w:fldChar w:fldCharType="begin"/>
      </w:r>
      <w:r>
        <w:instrText xml:space="preserve"> PAGEREF _Toc155600331 \h </w:instrText>
      </w:r>
      <w:r>
        <w:fldChar w:fldCharType="separate"/>
      </w:r>
      <w:r>
        <w:t>55</w:t>
      </w:r>
      <w:r>
        <w:fldChar w:fldCharType="end"/>
      </w:r>
    </w:p>
    <w:p>
      <w:pPr>
        <w:pStyle w:val="TOC8"/>
        <w:rPr>
          <w:sz w:val="24"/>
          <w:szCs w:val="24"/>
        </w:rPr>
      </w:pPr>
      <w:r>
        <w:rPr>
          <w:szCs w:val="24"/>
        </w:rPr>
        <w:t>49C</w:t>
      </w:r>
      <w:r>
        <w:rPr>
          <w:snapToGrid w:val="0"/>
          <w:szCs w:val="24"/>
        </w:rPr>
        <w:t xml:space="preserve">. </w:t>
      </w:r>
      <w:r>
        <w:rPr>
          <w:snapToGrid w:val="0"/>
          <w:szCs w:val="24"/>
        </w:rPr>
        <w:tab/>
        <w:t>Board to be given certain information in relation to trust accounts</w:t>
      </w:r>
      <w:r>
        <w:tab/>
      </w:r>
      <w:r>
        <w:fldChar w:fldCharType="begin"/>
      </w:r>
      <w:r>
        <w:instrText xml:space="preserve"> PAGEREF _Toc155600332 \h </w:instrText>
      </w:r>
      <w:r>
        <w:fldChar w:fldCharType="separate"/>
      </w:r>
      <w:r>
        <w:t>55</w:t>
      </w:r>
      <w:r>
        <w:fldChar w:fldCharType="end"/>
      </w:r>
    </w:p>
    <w:p>
      <w:pPr>
        <w:pStyle w:val="TOC8"/>
        <w:rPr>
          <w:sz w:val="24"/>
          <w:szCs w:val="24"/>
        </w:rPr>
      </w:pPr>
      <w:r>
        <w:rPr>
          <w:szCs w:val="24"/>
        </w:rPr>
        <w:t>50</w:t>
      </w:r>
      <w:r>
        <w:rPr>
          <w:snapToGrid w:val="0"/>
          <w:szCs w:val="24"/>
        </w:rPr>
        <w:t>.</w:t>
      </w:r>
      <w:r>
        <w:rPr>
          <w:snapToGrid w:val="0"/>
          <w:szCs w:val="24"/>
        </w:rPr>
        <w:tab/>
        <w:t>Receipts and accounting to principal</w:t>
      </w:r>
      <w:r>
        <w:tab/>
      </w:r>
      <w:r>
        <w:fldChar w:fldCharType="begin"/>
      </w:r>
      <w:r>
        <w:instrText xml:space="preserve"> PAGEREF _Toc155600333 \h </w:instrText>
      </w:r>
      <w:r>
        <w:fldChar w:fldCharType="separate"/>
      </w:r>
      <w:r>
        <w:t>56</w:t>
      </w:r>
      <w:r>
        <w:fldChar w:fldCharType="end"/>
      </w:r>
    </w:p>
    <w:p>
      <w:pPr>
        <w:pStyle w:val="TOC8"/>
        <w:rPr>
          <w:sz w:val="24"/>
          <w:szCs w:val="24"/>
        </w:rPr>
      </w:pPr>
      <w:r>
        <w:rPr>
          <w:szCs w:val="24"/>
        </w:rPr>
        <w:t>51</w:t>
      </w:r>
      <w:r>
        <w:rPr>
          <w:snapToGrid w:val="0"/>
          <w:szCs w:val="24"/>
        </w:rPr>
        <w:t>.</w:t>
      </w:r>
      <w:r>
        <w:rPr>
          <w:snapToGrid w:val="0"/>
          <w:szCs w:val="24"/>
        </w:rPr>
        <w:tab/>
        <w:t>Duty of settlement agent to have trust accounts audited</w:t>
      </w:r>
      <w:r>
        <w:tab/>
      </w:r>
      <w:r>
        <w:fldChar w:fldCharType="begin"/>
      </w:r>
      <w:r>
        <w:instrText xml:space="preserve"> PAGEREF _Toc155600334 \h </w:instrText>
      </w:r>
      <w:r>
        <w:fldChar w:fldCharType="separate"/>
      </w:r>
      <w:r>
        <w:t>57</w:t>
      </w:r>
      <w:r>
        <w:fldChar w:fldCharType="end"/>
      </w:r>
    </w:p>
    <w:p>
      <w:pPr>
        <w:pStyle w:val="TOC8"/>
        <w:rPr>
          <w:sz w:val="24"/>
          <w:szCs w:val="24"/>
        </w:rPr>
      </w:pPr>
      <w:r>
        <w:rPr>
          <w:szCs w:val="24"/>
        </w:rPr>
        <w:t>52</w:t>
      </w:r>
      <w:r>
        <w:rPr>
          <w:snapToGrid w:val="0"/>
          <w:szCs w:val="24"/>
        </w:rPr>
        <w:t>.</w:t>
      </w:r>
      <w:r>
        <w:rPr>
          <w:snapToGrid w:val="0"/>
          <w:szCs w:val="24"/>
        </w:rPr>
        <w:tab/>
        <w:t>Variation of date of audit</w:t>
      </w:r>
      <w:r>
        <w:tab/>
      </w:r>
      <w:r>
        <w:fldChar w:fldCharType="begin"/>
      </w:r>
      <w:r>
        <w:instrText xml:space="preserve"> PAGEREF _Toc155600335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Qualification and approval of auditors</w:t>
      </w:r>
      <w:r>
        <w:tab/>
      </w:r>
      <w:r>
        <w:fldChar w:fldCharType="begin"/>
      </w:r>
      <w:r>
        <w:instrText xml:space="preserve"> PAGEREF _Toc155600336 \h </w:instrText>
      </w:r>
      <w:r>
        <w:fldChar w:fldCharType="separate"/>
      </w:r>
      <w:r>
        <w:t>59</w:t>
      </w:r>
      <w:r>
        <w:fldChar w:fldCharType="end"/>
      </w:r>
    </w:p>
    <w:p>
      <w:pPr>
        <w:pStyle w:val="TOC8"/>
        <w:rPr>
          <w:sz w:val="24"/>
          <w:szCs w:val="24"/>
        </w:rPr>
      </w:pPr>
      <w:r>
        <w:rPr>
          <w:szCs w:val="24"/>
        </w:rPr>
        <w:t>54</w:t>
      </w:r>
      <w:r>
        <w:rPr>
          <w:snapToGrid w:val="0"/>
          <w:szCs w:val="24"/>
        </w:rPr>
        <w:t>.</w:t>
      </w:r>
      <w:r>
        <w:rPr>
          <w:snapToGrid w:val="0"/>
          <w:szCs w:val="24"/>
        </w:rPr>
        <w:tab/>
        <w:t>Appointment of auditor</w:t>
      </w:r>
      <w:r>
        <w:tab/>
      </w:r>
      <w:r>
        <w:fldChar w:fldCharType="begin"/>
      </w:r>
      <w:r>
        <w:instrText xml:space="preserve"> PAGEREF _Toc155600337 \h </w:instrText>
      </w:r>
      <w:r>
        <w:fldChar w:fldCharType="separate"/>
      </w:r>
      <w:r>
        <w:t>60</w:t>
      </w:r>
      <w:r>
        <w:fldChar w:fldCharType="end"/>
      </w:r>
    </w:p>
    <w:p>
      <w:pPr>
        <w:pStyle w:val="TOC8"/>
        <w:rPr>
          <w:sz w:val="24"/>
          <w:szCs w:val="24"/>
        </w:rPr>
      </w:pPr>
      <w:r>
        <w:rPr>
          <w:szCs w:val="24"/>
        </w:rPr>
        <w:t>55</w:t>
      </w:r>
      <w:r>
        <w:rPr>
          <w:snapToGrid w:val="0"/>
          <w:szCs w:val="24"/>
        </w:rPr>
        <w:t>.</w:t>
      </w:r>
      <w:r>
        <w:rPr>
          <w:snapToGrid w:val="0"/>
          <w:szCs w:val="24"/>
        </w:rPr>
        <w:tab/>
        <w:t>Power to give directions for audit of business carried on at more than one place</w:t>
      </w:r>
      <w:r>
        <w:tab/>
      </w:r>
      <w:r>
        <w:fldChar w:fldCharType="begin"/>
      </w:r>
      <w:r>
        <w:instrText xml:space="preserve"> PAGEREF _Toc155600338 \h </w:instrText>
      </w:r>
      <w:r>
        <w:fldChar w:fldCharType="separate"/>
      </w:r>
      <w:r>
        <w:t>60</w:t>
      </w:r>
      <w:r>
        <w:fldChar w:fldCharType="end"/>
      </w:r>
    </w:p>
    <w:p>
      <w:pPr>
        <w:pStyle w:val="TOC8"/>
        <w:rPr>
          <w:sz w:val="24"/>
          <w:szCs w:val="24"/>
        </w:rPr>
      </w:pPr>
      <w:r>
        <w:rPr>
          <w:szCs w:val="24"/>
        </w:rPr>
        <w:t>56</w:t>
      </w:r>
      <w:r>
        <w:rPr>
          <w:snapToGrid w:val="0"/>
          <w:szCs w:val="24"/>
        </w:rPr>
        <w:t>.</w:t>
      </w:r>
      <w:r>
        <w:rPr>
          <w:snapToGrid w:val="0"/>
          <w:szCs w:val="24"/>
        </w:rPr>
        <w:tab/>
        <w:t>Alteration of rights under this Division</w:t>
      </w:r>
      <w:r>
        <w:tab/>
      </w:r>
      <w:r>
        <w:fldChar w:fldCharType="begin"/>
      </w:r>
      <w:r>
        <w:instrText xml:space="preserve"> PAGEREF _Toc155600339 \h </w:instrText>
      </w:r>
      <w:r>
        <w:fldChar w:fldCharType="separate"/>
      </w:r>
      <w:r>
        <w:t>61</w:t>
      </w:r>
      <w:r>
        <w:fldChar w:fldCharType="end"/>
      </w:r>
    </w:p>
    <w:p>
      <w:pPr>
        <w:pStyle w:val="TOC8"/>
        <w:rPr>
          <w:sz w:val="24"/>
          <w:szCs w:val="24"/>
        </w:rPr>
      </w:pPr>
      <w:r>
        <w:rPr>
          <w:szCs w:val="24"/>
        </w:rPr>
        <w:t>58</w:t>
      </w:r>
      <w:r>
        <w:rPr>
          <w:snapToGrid w:val="0"/>
          <w:szCs w:val="24"/>
        </w:rPr>
        <w:t>.</w:t>
      </w:r>
      <w:r>
        <w:rPr>
          <w:snapToGrid w:val="0"/>
          <w:szCs w:val="24"/>
        </w:rPr>
        <w:tab/>
        <w:t>Duties of settlement agents with respect to audit</w:t>
      </w:r>
      <w:r>
        <w:tab/>
      </w:r>
      <w:r>
        <w:fldChar w:fldCharType="begin"/>
      </w:r>
      <w:r>
        <w:instrText xml:space="preserve"> PAGEREF _Toc155600340 \h </w:instrText>
      </w:r>
      <w:r>
        <w:fldChar w:fldCharType="separate"/>
      </w:r>
      <w:r>
        <w:t>61</w:t>
      </w:r>
      <w:r>
        <w:fldChar w:fldCharType="end"/>
      </w:r>
    </w:p>
    <w:p>
      <w:pPr>
        <w:pStyle w:val="TOC8"/>
        <w:rPr>
          <w:sz w:val="24"/>
          <w:szCs w:val="24"/>
        </w:rPr>
      </w:pPr>
      <w:r>
        <w:rPr>
          <w:szCs w:val="24"/>
        </w:rPr>
        <w:t>59</w:t>
      </w:r>
      <w:r>
        <w:rPr>
          <w:snapToGrid w:val="0"/>
          <w:szCs w:val="24"/>
        </w:rPr>
        <w:t>.</w:t>
      </w:r>
      <w:r>
        <w:rPr>
          <w:snapToGrid w:val="0"/>
          <w:szCs w:val="24"/>
        </w:rPr>
        <w:tab/>
        <w:t>Duty of banker with respect to audit</w:t>
      </w:r>
      <w:r>
        <w:tab/>
      </w:r>
      <w:r>
        <w:fldChar w:fldCharType="begin"/>
      </w:r>
      <w:r>
        <w:instrText xml:space="preserve"> PAGEREF _Toc155600341 \h </w:instrText>
      </w:r>
      <w:r>
        <w:fldChar w:fldCharType="separate"/>
      </w:r>
      <w:r>
        <w:t>61</w:t>
      </w:r>
      <w:r>
        <w:fldChar w:fldCharType="end"/>
      </w:r>
    </w:p>
    <w:p>
      <w:pPr>
        <w:pStyle w:val="TOC8"/>
        <w:rPr>
          <w:sz w:val="24"/>
          <w:szCs w:val="24"/>
        </w:rPr>
      </w:pPr>
      <w:r>
        <w:rPr>
          <w:szCs w:val="24"/>
        </w:rPr>
        <w:t>60</w:t>
      </w:r>
      <w:r>
        <w:rPr>
          <w:snapToGrid w:val="0"/>
          <w:szCs w:val="24"/>
        </w:rPr>
        <w:t>.</w:t>
      </w:r>
      <w:r>
        <w:rPr>
          <w:snapToGrid w:val="0"/>
          <w:szCs w:val="24"/>
        </w:rPr>
        <w:tab/>
        <w:t>Contents of auditor’s report</w:t>
      </w:r>
      <w:r>
        <w:tab/>
      </w:r>
      <w:r>
        <w:fldChar w:fldCharType="begin"/>
      </w:r>
      <w:r>
        <w:instrText xml:space="preserve"> PAGEREF _Toc155600342 \h </w:instrText>
      </w:r>
      <w:r>
        <w:fldChar w:fldCharType="separate"/>
      </w:r>
      <w:r>
        <w:t>62</w:t>
      </w:r>
      <w:r>
        <w:fldChar w:fldCharType="end"/>
      </w:r>
    </w:p>
    <w:p>
      <w:pPr>
        <w:pStyle w:val="TOC8"/>
        <w:rPr>
          <w:sz w:val="24"/>
          <w:szCs w:val="24"/>
        </w:rPr>
      </w:pPr>
      <w:r>
        <w:rPr>
          <w:szCs w:val="24"/>
        </w:rPr>
        <w:t>61</w:t>
      </w:r>
      <w:r>
        <w:rPr>
          <w:snapToGrid w:val="0"/>
          <w:szCs w:val="24"/>
        </w:rPr>
        <w:t>.</w:t>
      </w:r>
      <w:r>
        <w:rPr>
          <w:snapToGrid w:val="0"/>
          <w:szCs w:val="24"/>
        </w:rPr>
        <w:tab/>
        <w:t>Statement of moneys etc., held by settlement agent for or on behalf of other persons</w:t>
      </w:r>
      <w:r>
        <w:tab/>
      </w:r>
      <w:r>
        <w:fldChar w:fldCharType="begin"/>
      </w:r>
      <w:r>
        <w:instrText xml:space="preserve"> PAGEREF _Toc155600343 \h </w:instrText>
      </w:r>
      <w:r>
        <w:fldChar w:fldCharType="separate"/>
      </w:r>
      <w:r>
        <w:t>62</w:t>
      </w:r>
      <w:r>
        <w:fldChar w:fldCharType="end"/>
      </w:r>
    </w:p>
    <w:p>
      <w:pPr>
        <w:pStyle w:val="TOC8"/>
        <w:rPr>
          <w:sz w:val="24"/>
          <w:szCs w:val="24"/>
        </w:rPr>
      </w:pPr>
      <w:r>
        <w:rPr>
          <w:szCs w:val="24"/>
        </w:rPr>
        <w:t>62</w:t>
      </w:r>
      <w:r>
        <w:rPr>
          <w:snapToGrid w:val="0"/>
          <w:szCs w:val="24"/>
        </w:rPr>
        <w:t>.</w:t>
      </w:r>
      <w:r>
        <w:rPr>
          <w:snapToGrid w:val="0"/>
          <w:szCs w:val="24"/>
        </w:rPr>
        <w:tab/>
        <w:t>Auditor’s report where settlement agent has not complied with Act, etc.</w:t>
      </w:r>
      <w:r>
        <w:tab/>
      </w:r>
      <w:r>
        <w:fldChar w:fldCharType="begin"/>
      </w:r>
      <w:r>
        <w:instrText xml:space="preserve"> PAGEREF _Toc155600344 \h </w:instrText>
      </w:r>
      <w:r>
        <w:fldChar w:fldCharType="separate"/>
      </w:r>
      <w:r>
        <w:t>63</w:t>
      </w:r>
      <w:r>
        <w:fldChar w:fldCharType="end"/>
      </w:r>
    </w:p>
    <w:p>
      <w:pPr>
        <w:pStyle w:val="TOC8"/>
        <w:rPr>
          <w:sz w:val="24"/>
          <w:szCs w:val="24"/>
        </w:rPr>
      </w:pPr>
      <w:r>
        <w:rPr>
          <w:szCs w:val="24"/>
        </w:rPr>
        <w:t>63</w:t>
      </w:r>
      <w:r>
        <w:rPr>
          <w:snapToGrid w:val="0"/>
          <w:szCs w:val="24"/>
        </w:rPr>
        <w:t>.</w:t>
      </w:r>
      <w:r>
        <w:rPr>
          <w:snapToGrid w:val="0"/>
          <w:szCs w:val="24"/>
        </w:rPr>
        <w:tab/>
        <w:t>Non</w:t>
      </w:r>
      <w:r>
        <w:rPr>
          <w:snapToGrid w:val="0"/>
          <w:szCs w:val="24"/>
        </w:rPr>
        <w:noBreakHyphen/>
        <w:t>disclosure by auditors</w:t>
      </w:r>
      <w:r>
        <w:tab/>
      </w:r>
      <w:r>
        <w:fldChar w:fldCharType="begin"/>
      </w:r>
      <w:r>
        <w:instrText xml:space="preserve"> PAGEREF _Toc155600345 \h </w:instrText>
      </w:r>
      <w:r>
        <w:fldChar w:fldCharType="separate"/>
      </w:r>
      <w:r>
        <w:t>64</w:t>
      </w:r>
      <w:r>
        <w:fldChar w:fldCharType="end"/>
      </w:r>
    </w:p>
    <w:p>
      <w:pPr>
        <w:pStyle w:val="TOC8"/>
        <w:rPr>
          <w:sz w:val="24"/>
          <w:szCs w:val="24"/>
        </w:rPr>
      </w:pPr>
      <w:r>
        <w:rPr>
          <w:szCs w:val="24"/>
        </w:rPr>
        <w:t>64</w:t>
      </w:r>
      <w:r>
        <w:rPr>
          <w:snapToGrid w:val="0"/>
          <w:szCs w:val="24"/>
        </w:rPr>
        <w:t>.</w:t>
      </w:r>
      <w:r>
        <w:rPr>
          <w:snapToGrid w:val="0"/>
          <w:szCs w:val="24"/>
        </w:rPr>
        <w:tab/>
        <w:t>Right of persons beneficially interested to obtain information</w:t>
      </w:r>
      <w:r>
        <w:tab/>
      </w:r>
      <w:r>
        <w:fldChar w:fldCharType="begin"/>
      </w:r>
      <w:r>
        <w:instrText xml:space="preserve"> PAGEREF _Toc155600346 \h </w:instrText>
      </w:r>
      <w:r>
        <w:fldChar w:fldCharType="separate"/>
      </w:r>
      <w:r>
        <w:t>64</w:t>
      </w:r>
      <w:r>
        <w:fldChar w:fldCharType="end"/>
      </w:r>
    </w:p>
    <w:p>
      <w:pPr>
        <w:pStyle w:val="TOC8"/>
        <w:rPr>
          <w:sz w:val="24"/>
          <w:szCs w:val="24"/>
        </w:rPr>
      </w:pPr>
      <w:r>
        <w:rPr>
          <w:szCs w:val="24"/>
        </w:rPr>
        <w:t>65</w:t>
      </w:r>
      <w:r>
        <w:rPr>
          <w:snapToGrid w:val="0"/>
          <w:szCs w:val="24"/>
        </w:rPr>
        <w:t>.</w:t>
      </w:r>
      <w:r>
        <w:rPr>
          <w:snapToGrid w:val="0"/>
          <w:szCs w:val="24"/>
        </w:rPr>
        <w:tab/>
        <w:t>Penalty for breach</w:t>
      </w:r>
      <w:r>
        <w:tab/>
      </w:r>
      <w:r>
        <w:fldChar w:fldCharType="begin"/>
      </w:r>
      <w:r>
        <w:instrText xml:space="preserve"> PAGEREF _Toc155600347 \h </w:instrText>
      </w:r>
      <w:r>
        <w:fldChar w:fldCharType="separate"/>
      </w:r>
      <w:r>
        <w:t>65</w:t>
      </w:r>
      <w:r>
        <w:fldChar w:fldCharType="end"/>
      </w:r>
    </w:p>
    <w:p>
      <w:pPr>
        <w:pStyle w:val="TOC8"/>
        <w:rPr>
          <w:sz w:val="24"/>
          <w:szCs w:val="24"/>
        </w:rPr>
      </w:pPr>
      <w:r>
        <w:rPr>
          <w:szCs w:val="24"/>
        </w:rPr>
        <w:t>66</w:t>
      </w:r>
      <w:r>
        <w:rPr>
          <w:snapToGrid w:val="0"/>
          <w:szCs w:val="24"/>
        </w:rPr>
        <w:t>.</w:t>
      </w:r>
      <w:r>
        <w:rPr>
          <w:snapToGrid w:val="0"/>
          <w:szCs w:val="24"/>
        </w:rPr>
        <w:tab/>
        <w:t>Remuneration of auditor</w:t>
      </w:r>
      <w:r>
        <w:tab/>
      </w:r>
      <w:r>
        <w:fldChar w:fldCharType="begin"/>
      </w:r>
      <w:r>
        <w:instrText xml:space="preserve"> PAGEREF _Toc155600348 \h </w:instrText>
      </w:r>
      <w:r>
        <w:fldChar w:fldCharType="separate"/>
      </w:r>
      <w:r>
        <w:t>65</w:t>
      </w:r>
      <w:r>
        <w:fldChar w:fldCharType="end"/>
      </w:r>
    </w:p>
    <w:p>
      <w:pPr>
        <w:pStyle w:val="TOC8"/>
        <w:rPr>
          <w:sz w:val="24"/>
          <w:szCs w:val="24"/>
        </w:rPr>
      </w:pPr>
      <w:r>
        <w:rPr>
          <w:szCs w:val="24"/>
        </w:rPr>
        <w:t>67</w:t>
      </w:r>
      <w:r>
        <w:rPr>
          <w:snapToGrid w:val="0"/>
          <w:szCs w:val="24"/>
        </w:rPr>
        <w:t>.</w:t>
      </w:r>
      <w:r>
        <w:rPr>
          <w:snapToGrid w:val="0"/>
          <w:szCs w:val="24"/>
        </w:rPr>
        <w:tab/>
        <w:t>Settlement agents having no accounts to audit</w:t>
      </w:r>
      <w:r>
        <w:tab/>
      </w:r>
      <w:r>
        <w:fldChar w:fldCharType="begin"/>
      </w:r>
      <w:r>
        <w:instrText xml:space="preserve"> PAGEREF _Toc155600349 \h </w:instrText>
      </w:r>
      <w:r>
        <w:fldChar w:fldCharType="separate"/>
      </w:r>
      <w:r>
        <w:t>65</w:t>
      </w:r>
      <w:r>
        <w:fldChar w:fldCharType="end"/>
      </w:r>
    </w:p>
    <w:p>
      <w:pPr>
        <w:pStyle w:val="TOC8"/>
        <w:rPr>
          <w:sz w:val="24"/>
          <w:szCs w:val="24"/>
        </w:rPr>
      </w:pPr>
      <w:r>
        <w:rPr>
          <w:szCs w:val="24"/>
        </w:rPr>
        <w:t>68</w:t>
      </w:r>
      <w:r>
        <w:rPr>
          <w:snapToGrid w:val="0"/>
          <w:szCs w:val="24"/>
        </w:rPr>
        <w:t>.</w:t>
      </w:r>
      <w:r>
        <w:rPr>
          <w:snapToGrid w:val="0"/>
          <w:szCs w:val="24"/>
        </w:rPr>
        <w:tab/>
        <w:t>Accounts of firm or body corporate or settlement agent with branch office</w:t>
      </w:r>
      <w:r>
        <w:tab/>
      </w:r>
      <w:r>
        <w:fldChar w:fldCharType="begin"/>
      </w:r>
      <w:r>
        <w:instrText xml:space="preserve"> PAGEREF _Toc155600350 \h </w:instrText>
      </w:r>
      <w:r>
        <w:fldChar w:fldCharType="separate"/>
      </w:r>
      <w:r>
        <w:t>65</w:t>
      </w:r>
      <w:r>
        <w:fldChar w:fldCharType="end"/>
      </w:r>
    </w:p>
    <w:p>
      <w:pPr>
        <w:pStyle w:val="TOC8"/>
        <w:rPr>
          <w:sz w:val="24"/>
          <w:szCs w:val="24"/>
        </w:rPr>
      </w:pPr>
      <w:r>
        <w:rPr>
          <w:szCs w:val="24"/>
        </w:rPr>
        <w:t>69</w:t>
      </w:r>
      <w:r>
        <w:rPr>
          <w:snapToGrid w:val="0"/>
          <w:szCs w:val="24"/>
        </w:rPr>
        <w:t>.</w:t>
      </w:r>
      <w:r>
        <w:rPr>
          <w:snapToGrid w:val="0"/>
          <w:szCs w:val="24"/>
        </w:rPr>
        <w:tab/>
        <w:t>Power of Board to order audit of trust accounts</w:t>
      </w:r>
      <w:r>
        <w:tab/>
      </w:r>
      <w:r>
        <w:fldChar w:fldCharType="begin"/>
      </w:r>
      <w:r>
        <w:instrText xml:space="preserve"> PAGEREF _Toc155600351 \h </w:instrText>
      </w:r>
      <w:r>
        <w:fldChar w:fldCharType="separate"/>
      </w:r>
      <w:r>
        <w:t>66</w:t>
      </w:r>
      <w:r>
        <w:fldChar w:fldCharType="end"/>
      </w:r>
    </w:p>
    <w:p>
      <w:pPr>
        <w:pStyle w:val="TOC8"/>
        <w:rPr>
          <w:sz w:val="24"/>
          <w:szCs w:val="24"/>
        </w:rPr>
      </w:pPr>
      <w:r>
        <w:rPr>
          <w:szCs w:val="24"/>
        </w:rPr>
        <w:t>70</w:t>
      </w:r>
      <w:r>
        <w:rPr>
          <w:snapToGrid w:val="0"/>
          <w:szCs w:val="24"/>
        </w:rPr>
        <w:t>.</w:t>
      </w:r>
      <w:r>
        <w:rPr>
          <w:snapToGrid w:val="0"/>
          <w:szCs w:val="24"/>
        </w:rPr>
        <w:tab/>
        <w:t>Settlement agent to produce books, etc. to auditor</w:t>
      </w:r>
      <w:r>
        <w:tab/>
      </w:r>
      <w:r>
        <w:fldChar w:fldCharType="begin"/>
      </w:r>
      <w:r>
        <w:instrText xml:space="preserve"> PAGEREF _Toc155600352 \h </w:instrText>
      </w:r>
      <w:r>
        <w:fldChar w:fldCharType="separate"/>
      </w:r>
      <w:r>
        <w:t>66</w:t>
      </w:r>
      <w:r>
        <w:fldChar w:fldCharType="end"/>
      </w:r>
    </w:p>
    <w:p>
      <w:pPr>
        <w:pStyle w:val="TOC8"/>
        <w:rPr>
          <w:sz w:val="24"/>
          <w:szCs w:val="24"/>
        </w:rPr>
      </w:pPr>
      <w:r>
        <w:rPr>
          <w:szCs w:val="24"/>
        </w:rPr>
        <w:t>71</w:t>
      </w:r>
      <w:r>
        <w:rPr>
          <w:snapToGrid w:val="0"/>
          <w:szCs w:val="24"/>
        </w:rPr>
        <w:t>.</w:t>
      </w:r>
      <w:r>
        <w:rPr>
          <w:snapToGrid w:val="0"/>
          <w:szCs w:val="24"/>
        </w:rPr>
        <w:tab/>
        <w:t>Cost of audit</w:t>
      </w:r>
      <w:r>
        <w:tab/>
      </w:r>
      <w:r>
        <w:fldChar w:fldCharType="begin"/>
      </w:r>
      <w:r>
        <w:instrText xml:space="preserve"> PAGEREF _Toc155600353 \h </w:instrText>
      </w:r>
      <w:r>
        <w:fldChar w:fldCharType="separate"/>
      </w:r>
      <w:r>
        <w:t>67</w:t>
      </w:r>
      <w:r>
        <w:fldChar w:fldCharType="end"/>
      </w:r>
    </w:p>
    <w:p>
      <w:pPr>
        <w:pStyle w:val="TOC8"/>
        <w:rPr>
          <w:sz w:val="24"/>
          <w:szCs w:val="24"/>
        </w:rPr>
      </w:pPr>
      <w:r>
        <w:rPr>
          <w:szCs w:val="24"/>
        </w:rPr>
        <w:t>72</w:t>
      </w:r>
      <w:r>
        <w:rPr>
          <w:snapToGrid w:val="0"/>
          <w:szCs w:val="24"/>
        </w:rPr>
        <w:t>.</w:t>
      </w:r>
      <w:r>
        <w:rPr>
          <w:snapToGrid w:val="0"/>
          <w:szCs w:val="24"/>
        </w:rPr>
        <w:tab/>
        <w:t>Application of section 63</w:t>
      </w:r>
      <w:r>
        <w:tab/>
      </w:r>
      <w:r>
        <w:fldChar w:fldCharType="begin"/>
      </w:r>
      <w:r>
        <w:instrText xml:space="preserve"> PAGEREF _Toc155600354 \h </w:instrText>
      </w:r>
      <w:r>
        <w:fldChar w:fldCharType="separate"/>
      </w:r>
      <w:r>
        <w:t>67</w:t>
      </w:r>
      <w:r>
        <w:fldChar w:fldCharType="end"/>
      </w:r>
    </w:p>
    <w:p>
      <w:pPr>
        <w:pStyle w:val="TOC8"/>
        <w:rPr>
          <w:sz w:val="24"/>
          <w:szCs w:val="24"/>
        </w:rPr>
      </w:pPr>
      <w:r>
        <w:rPr>
          <w:szCs w:val="24"/>
        </w:rPr>
        <w:t>73</w:t>
      </w:r>
      <w:r>
        <w:rPr>
          <w:snapToGrid w:val="0"/>
          <w:szCs w:val="24"/>
        </w:rPr>
        <w:t>.</w:t>
      </w:r>
      <w:r>
        <w:rPr>
          <w:snapToGrid w:val="0"/>
          <w:szCs w:val="24"/>
        </w:rPr>
        <w:tab/>
        <w:t>Power of restraining dealing with trust accounts or other accounts</w:t>
      </w:r>
      <w:r>
        <w:tab/>
      </w:r>
      <w:r>
        <w:fldChar w:fldCharType="begin"/>
      </w:r>
      <w:r>
        <w:instrText xml:space="preserve"> PAGEREF _Toc155600355 \h </w:instrText>
      </w:r>
      <w:r>
        <w:fldChar w:fldCharType="separate"/>
      </w:r>
      <w:r>
        <w:t>67</w:t>
      </w:r>
      <w:r>
        <w:fldChar w:fldCharType="end"/>
      </w:r>
    </w:p>
    <w:p>
      <w:pPr>
        <w:pStyle w:val="TOC8"/>
        <w:rPr>
          <w:sz w:val="24"/>
          <w:szCs w:val="24"/>
        </w:rPr>
      </w:pPr>
      <w:r>
        <w:rPr>
          <w:szCs w:val="24"/>
        </w:rPr>
        <w:t>74</w:t>
      </w:r>
      <w:r>
        <w:rPr>
          <w:snapToGrid w:val="0"/>
          <w:szCs w:val="24"/>
        </w:rPr>
        <w:t>.</w:t>
      </w:r>
      <w:r>
        <w:rPr>
          <w:snapToGrid w:val="0"/>
          <w:szCs w:val="24"/>
        </w:rPr>
        <w:tab/>
        <w:t>Appointment of supervisor</w:t>
      </w:r>
      <w:r>
        <w:tab/>
      </w:r>
      <w:r>
        <w:fldChar w:fldCharType="begin"/>
      </w:r>
      <w:r>
        <w:instrText xml:space="preserve"> PAGEREF _Toc155600356 \h </w:instrText>
      </w:r>
      <w:r>
        <w:fldChar w:fldCharType="separate"/>
      </w:r>
      <w:r>
        <w:t>69</w:t>
      </w:r>
      <w:r>
        <w:fldChar w:fldCharType="end"/>
      </w:r>
    </w:p>
    <w:p>
      <w:pPr>
        <w:pStyle w:val="TOC8"/>
        <w:rPr>
          <w:sz w:val="24"/>
          <w:szCs w:val="24"/>
        </w:rPr>
      </w:pPr>
      <w:r>
        <w:rPr>
          <w:szCs w:val="24"/>
        </w:rPr>
        <w:t>75</w:t>
      </w:r>
      <w:r>
        <w:rPr>
          <w:snapToGrid w:val="0"/>
          <w:szCs w:val="24"/>
        </w:rPr>
        <w:t>.</w:t>
      </w:r>
      <w:r>
        <w:rPr>
          <w:snapToGrid w:val="0"/>
          <w:szCs w:val="24"/>
        </w:rPr>
        <w:tab/>
        <w:t>Effect of orders under section 74</w:t>
      </w:r>
      <w:r>
        <w:tab/>
      </w:r>
      <w:r>
        <w:fldChar w:fldCharType="begin"/>
      </w:r>
      <w:r>
        <w:instrText xml:space="preserve"> PAGEREF _Toc155600357 \h </w:instrText>
      </w:r>
      <w:r>
        <w:fldChar w:fldCharType="separate"/>
      </w:r>
      <w:r>
        <w:t>71</w:t>
      </w:r>
      <w:r>
        <w:fldChar w:fldCharType="end"/>
      </w:r>
    </w:p>
    <w:p>
      <w:pPr>
        <w:pStyle w:val="TOC8"/>
        <w:rPr>
          <w:sz w:val="24"/>
          <w:szCs w:val="24"/>
        </w:rPr>
      </w:pPr>
      <w:r>
        <w:rPr>
          <w:szCs w:val="24"/>
        </w:rPr>
        <w:t>76</w:t>
      </w:r>
      <w:r>
        <w:rPr>
          <w:snapToGrid w:val="0"/>
          <w:szCs w:val="24"/>
        </w:rPr>
        <w:t>.</w:t>
      </w:r>
      <w:r>
        <w:rPr>
          <w:snapToGrid w:val="0"/>
          <w:szCs w:val="24"/>
        </w:rPr>
        <w:tab/>
        <w:t>Duties of supervisor</w:t>
      </w:r>
      <w:r>
        <w:tab/>
      </w:r>
      <w:r>
        <w:fldChar w:fldCharType="begin"/>
      </w:r>
      <w:r>
        <w:instrText xml:space="preserve"> PAGEREF _Toc155600358 \h </w:instrText>
      </w:r>
      <w:r>
        <w:fldChar w:fldCharType="separate"/>
      </w:r>
      <w:r>
        <w:t>71</w:t>
      </w:r>
      <w:r>
        <w:fldChar w:fldCharType="end"/>
      </w:r>
    </w:p>
    <w:p>
      <w:pPr>
        <w:pStyle w:val="TOC8"/>
        <w:rPr>
          <w:sz w:val="24"/>
          <w:szCs w:val="24"/>
        </w:rPr>
      </w:pPr>
      <w:r>
        <w:rPr>
          <w:szCs w:val="24"/>
        </w:rPr>
        <w:t>77</w:t>
      </w:r>
      <w:r>
        <w:rPr>
          <w:snapToGrid w:val="0"/>
          <w:szCs w:val="24"/>
        </w:rPr>
        <w:t>.</w:t>
      </w:r>
      <w:r>
        <w:rPr>
          <w:snapToGrid w:val="0"/>
          <w:szCs w:val="24"/>
        </w:rPr>
        <w:tab/>
        <w:t>Offence</w:t>
      </w:r>
      <w:r>
        <w:tab/>
      </w:r>
      <w:r>
        <w:fldChar w:fldCharType="begin"/>
      </w:r>
      <w:r>
        <w:instrText xml:space="preserve"> PAGEREF _Toc155600359 \h </w:instrText>
      </w:r>
      <w:r>
        <w:fldChar w:fldCharType="separate"/>
      </w:r>
      <w:r>
        <w:t>73</w:t>
      </w:r>
      <w:r>
        <w:fldChar w:fldCharType="end"/>
      </w:r>
    </w:p>
    <w:p>
      <w:pPr>
        <w:pStyle w:val="TOC8"/>
        <w:rPr>
          <w:sz w:val="24"/>
          <w:szCs w:val="24"/>
        </w:rPr>
      </w:pPr>
      <w:r>
        <w:rPr>
          <w:szCs w:val="24"/>
        </w:rPr>
        <w:t>78</w:t>
      </w:r>
      <w:r>
        <w:rPr>
          <w:snapToGrid w:val="0"/>
          <w:szCs w:val="24"/>
        </w:rPr>
        <w:t>.</w:t>
      </w:r>
      <w:r>
        <w:rPr>
          <w:snapToGrid w:val="0"/>
          <w:szCs w:val="24"/>
        </w:rPr>
        <w:tab/>
        <w:t>Power of settlement agent to apply for discharge or variation of order</w:t>
      </w:r>
      <w:r>
        <w:tab/>
      </w:r>
      <w:r>
        <w:fldChar w:fldCharType="begin"/>
      </w:r>
      <w:r>
        <w:instrText xml:space="preserve"> PAGEREF _Toc155600360 \h </w:instrText>
      </w:r>
      <w:r>
        <w:fldChar w:fldCharType="separate"/>
      </w:r>
      <w:r>
        <w:t>73</w:t>
      </w:r>
      <w:r>
        <w:fldChar w:fldCharType="end"/>
      </w:r>
    </w:p>
    <w:p>
      <w:pPr>
        <w:pStyle w:val="TOC8"/>
        <w:rPr>
          <w:sz w:val="24"/>
          <w:szCs w:val="24"/>
        </w:rPr>
      </w:pPr>
      <w:r>
        <w:rPr>
          <w:szCs w:val="24"/>
        </w:rPr>
        <w:t>79</w:t>
      </w:r>
      <w:r>
        <w:rPr>
          <w:snapToGrid w:val="0"/>
          <w:szCs w:val="24"/>
        </w:rPr>
        <w:t>.</w:t>
      </w:r>
      <w:r>
        <w:rPr>
          <w:snapToGrid w:val="0"/>
          <w:szCs w:val="24"/>
        </w:rPr>
        <w:tab/>
        <w:t>Power of State Administrative Tribunal to make further orders and give directions</w:t>
      </w:r>
      <w:r>
        <w:tab/>
      </w:r>
      <w:r>
        <w:fldChar w:fldCharType="begin"/>
      </w:r>
      <w:r>
        <w:instrText xml:space="preserve"> PAGEREF _Toc155600361 \h </w:instrText>
      </w:r>
      <w:r>
        <w:fldChar w:fldCharType="separate"/>
      </w:r>
      <w:r>
        <w:t>73</w:t>
      </w:r>
      <w:r>
        <w:fldChar w:fldCharType="end"/>
      </w:r>
    </w:p>
    <w:p>
      <w:pPr>
        <w:pStyle w:val="TOC8"/>
        <w:rPr>
          <w:sz w:val="24"/>
          <w:szCs w:val="24"/>
        </w:rPr>
      </w:pPr>
      <w:r>
        <w:rPr>
          <w:szCs w:val="24"/>
        </w:rPr>
        <w:t>80</w:t>
      </w:r>
      <w:r>
        <w:rPr>
          <w:snapToGrid w:val="0"/>
          <w:szCs w:val="24"/>
        </w:rPr>
        <w:t>.</w:t>
      </w:r>
      <w:r>
        <w:rPr>
          <w:snapToGrid w:val="0"/>
          <w:szCs w:val="24"/>
        </w:rPr>
        <w:tab/>
        <w:t>Service of orders. Penalty for non</w:t>
      </w:r>
      <w:r>
        <w:rPr>
          <w:snapToGrid w:val="0"/>
          <w:szCs w:val="24"/>
        </w:rPr>
        <w:noBreakHyphen/>
        <w:t>compliance therewith</w:t>
      </w:r>
      <w:r>
        <w:tab/>
      </w:r>
      <w:r>
        <w:fldChar w:fldCharType="begin"/>
      </w:r>
      <w:r>
        <w:instrText xml:space="preserve"> PAGEREF _Toc155600362 \h </w:instrText>
      </w:r>
      <w:r>
        <w:fldChar w:fldCharType="separate"/>
      </w:r>
      <w:r>
        <w:t>75</w:t>
      </w:r>
      <w:r>
        <w:fldChar w:fldCharType="end"/>
      </w:r>
    </w:p>
    <w:p>
      <w:pPr>
        <w:pStyle w:val="TOC8"/>
        <w:rPr>
          <w:sz w:val="24"/>
          <w:szCs w:val="24"/>
        </w:rPr>
      </w:pPr>
      <w:r>
        <w:rPr>
          <w:szCs w:val="24"/>
        </w:rPr>
        <w:t>81</w:t>
      </w:r>
      <w:r>
        <w:rPr>
          <w:snapToGrid w:val="0"/>
          <w:szCs w:val="24"/>
        </w:rPr>
        <w:t>.</w:t>
      </w:r>
      <w:r>
        <w:rPr>
          <w:snapToGrid w:val="0"/>
          <w:szCs w:val="24"/>
        </w:rPr>
        <w:tab/>
        <w:t>Duty of managers of financial institutions</w:t>
      </w:r>
      <w:r>
        <w:tab/>
      </w:r>
      <w:r>
        <w:fldChar w:fldCharType="begin"/>
      </w:r>
      <w:r>
        <w:instrText xml:space="preserve"> PAGEREF _Toc155600363 \h </w:instrText>
      </w:r>
      <w:r>
        <w:fldChar w:fldCharType="separate"/>
      </w:r>
      <w:r>
        <w:t>76</w:t>
      </w:r>
      <w:r>
        <w:fldChar w:fldCharType="end"/>
      </w:r>
    </w:p>
    <w:p>
      <w:pPr>
        <w:pStyle w:val="TOC8"/>
        <w:rPr>
          <w:sz w:val="24"/>
          <w:szCs w:val="24"/>
        </w:rPr>
      </w:pPr>
      <w:r>
        <w:rPr>
          <w:szCs w:val="24"/>
        </w:rPr>
        <w:t>81A</w:t>
      </w:r>
      <w:r>
        <w:rPr>
          <w:snapToGrid w:val="0"/>
          <w:szCs w:val="24"/>
        </w:rPr>
        <w:t xml:space="preserve">. </w:t>
      </w:r>
      <w:r>
        <w:rPr>
          <w:snapToGrid w:val="0"/>
          <w:szCs w:val="24"/>
        </w:rPr>
        <w:tab/>
        <w:t>Power of Registrar to obtain information relating to trust accounts</w:t>
      </w:r>
      <w:r>
        <w:tab/>
      </w:r>
      <w:r>
        <w:fldChar w:fldCharType="begin"/>
      </w:r>
      <w:r>
        <w:instrText xml:space="preserve"> PAGEREF _Toc155600364 \h </w:instrText>
      </w:r>
      <w:r>
        <w:fldChar w:fldCharType="separate"/>
      </w:r>
      <w:r>
        <w:t>77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Discipline</w:t>
      </w:r>
    </w:p>
    <w:p>
      <w:pPr>
        <w:pStyle w:val="TOC8"/>
        <w:rPr>
          <w:sz w:val="24"/>
          <w:szCs w:val="24"/>
        </w:rPr>
      </w:pPr>
      <w:r>
        <w:rPr>
          <w:szCs w:val="24"/>
        </w:rPr>
        <w:t>82</w:t>
      </w:r>
      <w:r>
        <w:rPr>
          <w:snapToGrid w:val="0"/>
          <w:szCs w:val="24"/>
        </w:rPr>
        <w:t>.</w:t>
      </w:r>
      <w:r>
        <w:rPr>
          <w:snapToGrid w:val="0"/>
          <w:szCs w:val="24"/>
        </w:rPr>
        <w:tab/>
        <w:t>Settlement agents’ code</w:t>
      </w:r>
      <w:r>
        <w:tab/>
      </w:r>
      <w:r>
        <w:fldChar w:fldCharType="begin"/>
      </w:r>
      <w:r>
        <w:instrText xml:space="preserve"> PAGEREF _Toc155600366 \h </w:instrText>
      </w:r>
      <w:r>
        <w:fldChar w:fldCharType="separate"/>
      </w:r>
      <w:r>
        <w:t>79</w:t>
      </w:r>
      <w:r>
        <w:fldChar w:fldCharType="end"/>
      </w:r>
    </w:p>
    <w:p>
      <w:pPr>
        <w:pStyle w:val="TOC8"/>
        <w:rPr>
          <w:sz w:val="24"/>
          <w:szCs w:val="24"/>
        </w:rPr>
      </w:pPr>
      <w:r>
        <w:rPr>
          <w:szCs w:val="24"/>
        </w:rPr>
        <w:t>83</w:t>
      </w:r>
      <w:r>
        <w:rPr>
          <w:snapToGrid w:val="0"/>
          <w:szCs w:val="24"/>
        </w:rPr>
        <w:t>.</w:t>
      </w:r>
      <w:r>
        <w:rPr>
          <w:snapToGrid w:val="0"/>
          <w:szCs w:val="24"/>
        </w:rPr>
        <w:tab/>
        <w:t>Disciplinary proceedings against settlement agents</w:t>
      </w:r>
      <w:r>
        <w:tab/>
      </w:r>
      <w:r>
        <w:fldChar w:fldCharType="begin"/>
      </w:r>
      <w:r>
        <w:instrText xml:space="preserve"> PAGEREF _Toc155600367 \h </w:instrText>
      </w:r>
      <w:r>
        <w:fldChar w:fldCharType="separate"/>
      </w:r>
      <w:r>
        <w:t>79</w:t>
      </w:r>
      <w:r>
        <w:fldChar w:fldCharType="end"/>
      </w:r>
    </w:p>
    <w:p>
      <w:pPr>
        <w:pStyle w:val="TOC8"/>
        <w:rPr>
          <w:sz w:val="24"/>
          <w:szCs w:val="24"/>
        </w:rPr>
      </w:pPr>
      <w:r>
        <w:rPr>
          <w:szCs w:val="24"/>
        </w:rPr>
        <w:t>84</w:t>
      </w:r>
      <w:r>
        <w:rPr>
          <w:snapToGrid w:val="0"/>
          <w:szCs w:val="24"/>
        </w:rPr>
        <w:t>.</w:t>
      </w:r>
      <w:r>
        <w:rPr>
          <w:snapToGrid w:val="0"/>
          <w:szCs w:val="24"/>
        </w:rPr>
        <w:tab/>
        <w:t>Powers on inquiry</w:t>
      </w:r>
      <w:r>
        <w:tab/>
      </w:r>
      <w:r>
        <w:fldChar w:fldCharType="begin"/>
      </w:r>
      <w:r>
        <w:instrText xml:space="preserve"> PAGEREF _Toc155600368 \h </w:instrText>
      </w:r>
      <w:r>
        <w:fldChar w:fldCharType="separate"/>
      </w:r>
      <w:r>
        <w:t>79</w:t>
      </w:r>
      <w:r>
        <w:fldChar w:fldCharType="end"/>
      </w:r>
    </w:p>
    <w:p>
      <w:pPr>
        <w:pStyle w:val="TOC8"/>
        <w:rPr>
          <w:sz w:val="24"/>
          <w:szCs w:val="24"/>
        </w:rPr>
      </w:pPr>
      <w:r>
        <w:rPr>
          <w:szCs w:val="24"/>
        </w:rPr>
        <w:t>85</w:t>
      </w:r>
      <w:r>
        <w:rPr>
          <w:snapToGrid w:val="0"/>
          <w:szCs w:val="24"/>
        </w:rPr>
        <w:t>.</w:t>
      </w:r>
      <w:r>
        <w:rPr>
          <w:snapToGrid w:val="0"/>
          <w:szCs w:val="24"/>
        </w:rPr>
        <w:tab/>
        <w:t>Automatic cancellation of licence and triennial certificate</w:t>
      </w:r>
      <w:r>
        <w:tab/>
      </w:r>
      <w:r>
        <w:fldChar w:fldCharType="begin"/>
      </w:r>
      <w:r>
        <w:instrText xml:space="preserve"> PAGEREF _Toc155600369 \h </w:instrText>
      </w:r>
      <w:r>
        <w:fldChar w:fldCharType="separate"/>
      </w:r>
      <w:r>
        <w:t>81</w:t>
      </w:r>
      <w:r>
        <w:fldChar w:fldCharType="end"/>
      </w:r>
    </w:p>
    <w:p>
      <w:pPr>
        <w:pStyle w:val="TOC8"/>
        <w:rPr>
          <w:sz w:val="24"/>
          <w:szCs w:val="24"/>
        </w:rPr>
      </w:pPr>
      <w:r>
        <w:rPr>
          <w:szCs w:val="24"/>
        </w:rPr>
        <w:t>86</w:t>
      </w:r>
      <w:r>
        <w:rPr>
          <w:snapToGrid w:val="0"/>
          <w:szCs w:val="24"/>
        </w:rPr>
        <w:t>.</w:t>
      </w:r>
      <w:r>
        <w:rPr>
          <w:snapToGrid w:val="0"/>
          <w:szCs w:val="24"/>
        </w:rPr>
        <w:tab/>
        <w:t>Special offence</w:t>
      </w:r>
      <w:r>
        <w:tab/>
      </w:r>
      <w:r>
        <w:fldChar w:fldCharType="begin"/>
      </w:r>
      <w:r>
        <w:instrText xml:space="preserve"> PAGEREF _Toc155600370 \h </w:instrText>
      </w:r>
      <w:r>
        <w:fldChar w:fldCharType="separate"/>
      </w:r>
      <w:r>
        <w:t>81</w:t>
      </w:r>
      <w:r>
        <w:fldChar w:fldCharType="end"/>
      </w:r>
    </w:p>
    <w:p>
      <w:pPr>
        <w:pStyle w:val="TOC2"/>
        <w:tabs>
          <w:tab w:val="right" w:leader="dot" w:pos="7086"/>
        </w:tabs>
        <w:rPr>
          <w:b w:val="0"/>
          <w:sz w:val="24"/>
          <w:szCs w:val="24"/>
        </w:rPr>
      </w:pPr>
      <w:r>
        <w:rPr>
          <w:szCs w:val="30"/>
        </w:rPr>
        <w:t>Part V — Fidelity Guarantee Fund</w:t>
      </w:r>
    </w:p>
    <w:p>
      <w:pPr>
        <w:pStyle w:val="TOC8"/>
        <w:rPr>
          <w:sz w:val="24"/>
          <w:szCs w:val="24"/>
        </w:rPr>
      </w:pPr>
      <w:r>
        <w:rPr>
          <w:szCs w:val="24"/>
        </w:rPr>
        <w:t>87</w:t>
      </w:r>
      <w:r>
        <w:rPr>
          <w:snapToGrid w:val="0"/>
          <w:szCs w:val="24"/>
        </w:rPr>
        <w:t>.</w:t>
      </w:r>
      <w:r>
        <w:rPr>
          <w:snapToGrid w:val="0"/>
          <w:szCs w:val="24"/>
        </w:rPr>
        <w:tab/>
        <w:t>Settlement Agents Fidelity Guarantee Fund</w:t>
      </w:r>
      <w:r>
        <w:tab/>
      </w:r>
      <w:r>
        <w:fldChar w:fldCharType="begin"/>
      </w:r>
      <w:r>
        <w:instrText xml:space="preserve"> PAGEREF _Toc155600372 \h </w:instrText>
      </w:r>
      <w:r>
        <w:fldChar w:fldCharType="separate"/>
      </w:r>
      <w:r>
        <w:t>83</w:t>
      </w:r>
      <w:r>
        <w:fldChar w:fldCharType="end"/>
      </w:r>
    </w:p>
    <w:p>
      <w:pPr>
        <w:pStyle w:val="TOC8"/>
        <w:rPr>
          <w:sz w:val="24"/>
          <w:szCs w:val="24"/>
        </w:rPr>
      </w:pPr>
      <w:r>
        <w:rPr>
          <w:szCs w:val="24"/>
        </w:rPr>
        <w:t>88</w:t>
      </w:r>
      <w:r>
        <w:rPr>
          <w:snapToGrid w:val="0"/>
          <w:szCs w:val="24"/>
        </w:rPr>
        <w:t>.</w:t>
      </w:r>
      <w:r>
        <w:rPr>
          <w:snapToGrid w:val="0"/>
          <w:szCs w:val="24"/>
        </w:rPr>
        <w:tab/>
        <w:t>Moneys constituting Fidelity Guarantee Fund</w:t>
      </w:r>
      <w:r>
        <w:tab/>
      </w:r>
      <w:r>
        <w:fldChar w:fldCharType="begin"/>
      </w:r>
      <w:r>
        <w:instrText xml:space="preserve"> PAGEREF _Toc155600373 \h </w:instrText>
      </w:r>
      <w:r>
        <w:fldChar w:fldCharType="separate"/>
      </w:r>
      <w:r>
        <w:t>83</w:t>
      </w:r>
      <w:r>
        <w:fldChar w:fldCharType="end"/>
      </w:r>
    </w:p>
    <w:p>
      <w:pPr>
        <w:pStyle w:val="TOC8"/>
        <w:rPr>
          <w:sz w:val="24"/>
          <w:szCs w:val="24"/>
        </w:rPr>
      </w:pPr>
      <w:r>
        <w:rPr>
          <w:szCs w:val="24"/>
        </w:rPr>
        <w:t>89</w:t>
      </w:r>
      <w:r>
        <w:rPr>
          <w:snapToGrid w:val="0"/>
          <w:szCs w:val="24"/>
        </w:rPr>
        <w:t>.</w:t>
      </w:r>
      <w:r>
        <w:rPr>
          <w:snapToGrid w:val="0"/>
          <w:szCs w:val="24"/>
        </w:rPr>
        <w:tab/>
        <w:t>Investment of Fidelity Guarantee Fund</w:t>
      </w:r>
      <w:r>
        <w:tab/>
      </w:r>
      <w:r>
        <w:fldChar w:fldCharType="begin"/>
      </w:r>
      <w:r>
        <w:instrText xml:space="preserve"> PAGEREF _Toc155600374 \h </w:instrText>
      </w:r>
      <w:r>
        <w:fldChar w:fldCharType="separate"/>
      </w:r>
      <w:r>
        <w:t>84</w:t>
      </w:r>
      <w:r>
        <w:fldChar w:fldCharType="end"/>
      </w:r>
    </w:p>
    <w:p>
      <w:pPr>
        <w:pStyle w:val="TOC8"/>
        <w:rPr>
          <w:sz w:val="24"/>
          <w:szCs w:val="24"/>
        </w:rPr>
      </w:pPr>
      <w:r>
        <w:rPr>
          <w:szCs w:val="24"/>
        </w:rPr>
        <w:t>90</w:t>
      </w:r>
      <w:r>
        <w:rPr>
          <w:snapToGrid w:val="0"/>
          <w:szCs w:val="24"/>
        </w:rPr>
        <w:t>.</w:t>
      </w:r>
      <w:r>
        <w:rPr>
          <w:snapToGrid w:val="0"/>
          <w:szCs w:val="24"/>
        </w:rPr>
        <w:tab/>
        <w:t>Expenditure from the Fund</w:t>
      </w:r>
      <w:r>
        <w:tab/>
      </w:r>
      <w:r>
        <w:fldChar w:fldCharType="begin"/>
      </w:r>
      <w:r>
        <w:instrText xml:space="preserve"> PAGEREF _Toc155600375 \h </w:instrText>
      </w:r>
      <w:r>
        <w:fldChar w:fldCharType="separate"/>
      </w:r>
      <w:r>
        <w:t>84</w:t>
      </w:r>
      <w:r>
        <w:fldChar w:fldCharType="end"/>
      </w:r>
    </w:p>
    <w:p>
      <w:pPr>
        <w:pStyle w:val="TOC8"/>
        <w:rPr>
          <w:sz w:val="24"/>
          <w:szCs w:val="24"/>
        </w:rPr>
      </w:pPr>
      <w:r>
        <w:rPr>
          <w:szCs w:val="24"/>
        </w:rPr>
        <w:t>92</w:t>
      </w:r>
      <w:r>
        <w:rPr>
          <w:snapToGrid w:val="0"/>
          <w:szCs w:val="24"/>
        </w:rPr>
        <w:t>.</w:t>
      </w:r>
      <w:r>
        <w:rPr>
          <w:snapToGrid w:val="0"/>
          <w:szCs w:val="24"/>
        </w:rPr>
        <w:tab/>
        <w:t>Contribution to Fund</w:t>
      </w:r>
      <w:r>
        <w:tab/>
      </w:r>
      <w:r>
        <w:fldChar w:fldCharType="begin"/>
      </w:r>
      <w:r>
        <w:instrText xml:space="preserve"> PAGEREF _Toc155600376 \h </w:instrText>
      </w:r>
      <w:r>
        <w:fldChar w:fldCharType="separate"/>
      </w:r>
      <w:r>
        <w:t>85</w:t>
      </w:r>
      <w:r>
        <w:fldChar w:fldCharType="end"/>
      </w:r>
    </w:p>
    <w:p>
      <w:pPr>
        <w:pStyle w:val="TOC8"/>
        <w:rPr>
          <w:sz w:val="24"/>
          <w:szCs w:val="24"/>
        </w:rPr>
      </w:pPr>
      <w:r>
        <w:rPr>
          <w:szCs w:val="24"/>
        </w:rPr>
        <w:t>93</w:t>
      </w:r>
      <w:r>
        <w:rPr>
          <w:snapToGrid w:val="0"/>
          <w:szCs w:val="24"/>
        </w:rPr>
        <w:t>.</w:t>
      </w:r>
      <w:r>
        <w:rPr>
          <w:snapToGrid w:val="0"/>
          <w:szCs w:val="24"/>
        </w:rPr>
        <w:tab/>
        <w:t>Application of Fund and notice of claim</w:t>
      </w:r>
      <w:r>
        <w:tab/>
      </w:r>
      <w:r>
        <w:fldChar w:fldCharType="begin"/>
      </w:r>
      <w:r>
        <w:instrText xml:space="preserve"> PAGEREF _Toc155600377 \h </w:instrText>
      </w:r>
      <w:r>
        <w:fldChar w:fldCharType="separate"/>
      </w:r>
      <w:r>
        <w:t>85</w:t>
      </w:r>
      <w:r>
        <w:fldChar w:fldCharType="end"/>
      </w:r>
    </w:p>
    <w:p>
      <w:pPr>
        <w:pStyle w:val="TOC8"/>
        <w:rPr>
          <w:sz w:val="24"/>
          <w:szCs w:val="24"/>
        </w:rPr>
      </w:pPr>
      <w:r>
        <w:rPr>
          <w:szCs w:val="24"/>
        </w:rPr>
        <w:t>94</w:t>
      </w:r>
      <w:r>
        <w:rPr>
          <w:snapToGrid w:val="0"/>
          <w:szCs w:val="24"/>
        </w:rPr>
        <w:t>.</w:t>
      </w:r>
      <w:r>
        <w:rPr>
          <w:snapToGrid w:val="0"/>
          <w:szCs w:val="24"/>
        </w:rPr>
        <w:tab/>
        <w:t>Levies</w:t>
      </w:r>
      <w:r>
        <w:tab/>
      </w:r>
      <w:r>
        <w:fldChar w:fldCharType="begin"/>
      </w:r>
      <w:r>
        <w:instrText xml:space="preserve"> PAGEREF _Toc155600378 \h </w:instrText>
      </w:r>
      <w:r>
        <w:fldChar w:fldCharType="separate"/>
      </w:r>
      <w:r>
        <w:t>86</w:t>
      </w:r>
      <w:r>
        <w:fldChar w:fldCharType="end"/>
      </w:r>
    </w:p>
    <w:p>
      <w:pPr>
        <w:pStyle w:val="TOC8"/>
        <w:rPr>
          <w:sz w:val="24"/>
          <w:szCs w:val="24"/>
        </w:rPr>
      </w:pPr>
      <w:r>
        <w:rPr>
          <w:szCs w:val="24"/>
        </w:rPr>
        <w:t>95</w:t>
      </w:r>
      <w:r>
        <w:rPr>
          <w:snapToGrid w:val="0"/>
          <w:szCs w:val="24"/>
        </w:rPr>
        <w:t>.</w:t>
      </w:r>
      <w:r>
        <w:rPr>
          <w:snapToGrid w:val="0"/>
          <w:szCs w:val="24"/>
        </w:rPr>
        <w:tab/>
        <w:t>Claims against Fund</w:t>
      </w:r>
      <w:r>
        <w:tab/>
      </w:r>
      <w:r>
        <w:fldChar w:fldCharType="begin"/>
      </w:r>
      <w:r>
        <w:instrText xml:space="preserve"> PAGEREF _Toc155600379 \h </w:instrText>
      </w:r>
      <w:r>
        <w:fldChar w:fldCharType="separate"/>
      </w:r>
      <w:r>
        <w:t>86</w:t>
      </w:r>
      <w:r>
        <w:fldChar w:fldCharType="end"/>
      </w:r>
    </w:p>
    <w:p>
      <w:pPr>
        <w:pStyle w:val="TOC8"/>
        <w:rPr>
          <w:sz w:val="24"/>
          <w:szCs w:val="24"/>
        </w:rPr>
      </w:pPr>
      <w:r>
        <w:rPr>
          <w:szCs w:val="24"/>
        </w:rPr>
        <w:t>96</w:t>
      </w:r>
      <w:r>
        <w:rPr>
          <w:snapToGrid w:val="0"/>
          <w:szCs w:val="24"/>
        </w:rPr>
        <w:t>.</w:t>
      </w:r>
      <w:r>
        <w:rPr>
          <w:snapToGrid w:val="0"/>
          <w:szCs w:val="24"/>
        </w:rPr>
        <w:tab/>
        <w:t>Defences to claims against Fund</w:t>
      </w:r>
      <w:r>
        <w:tab/>
      </w:r>
      <w:r>
        <w:fldChar w:fldCharType="begin"/>
      </w:r>
      <w:r>
        <w:instrText xml:space="preserve"> PAGEREF _Toc155600380 \h </w:instrText>
      </w:r>
      <w:r>
        <w:fldChar w:fldCharType="separate"/>
      </w:r>
      <w:r>
        <w:t>87</w:t>
      </w:r>
      <w:r>
        <w:fldChar w:fldCharType="end"/>
      </w:r>
    </w:p>
    <w:p>
      <w:pPr>
        <w:pStyle w:val="TOC8"/>
        <w:rPr>
          <w:sz w:val="24"/>
          <w:szCs w:val="24"/>
        </w:rPr>
      </w:pPr>
      <w:r>
        <w:rPr>
          <w:szCs w:val="24"/>
        </w:rPr>
        <w:t>97</w:t>
      </w:r>
      <w:r>
        <w:rPr>
          <w:snapToGrid w:val="0"/>
          <w:szCs w:val="24"/>
        </w:rPr>
        <w:t>.</w:t>
      </w:r>
      <w:r>
        <w:rPr>
          <w:snapToGrid w:val="0"/>
          <w:szCs w:val="24"/>
        </w:rPr>
        <w:tab/>
        <w:t>Subrogation of rights</w:t>
      </w:r>
      <w:r>
        <w:tab/>
      </w:r>
      <w:r>
        <w:fldChar w:fldCharType="begin"/>
      </w:r>
      <w:r>
        <w:instrText xml:space="preserve"> PAGEREF _Toc155600381 \h </w:instrText>
      </w:r>
      <w:r>
        <w:fldChar w:fldCharType="separate"/>
      </w:r>
      <w:r>
        <w:t>87</w:t>
      </w:r>
      <w:r>
        <w:fldChar w:fldCharType="end"/>
      </w:r>
    </w:p>
    <w:p>
      <w:pPr>
        <w:pStyle w:val="TOC8"/>
        <w:rPr>
          <w:sz w:val="24"/>
          <w:szCs w:val="24"/>
        </w:rPr>
      </w:pPr>
      <w:r>
        <w:rPr>
          <w:szCs w:val="24"/>
        </w:rPr>
        <w:t>98</w:t>
      </w:r>
      <w:r>
        <w:rPr>
          <w:snapToGrid w:val="0"/>
          <w:szCs w:val="24"/>
        </w:rPr>
        <w:t>.</w:t>
      </w:r>
      <w:r>
        <w:rPr>
          <w:snapToGrid w:val="0"/>
          <w:szCs w:val="24"/>
        </w:rPr>
        <w:tab/>
        <w:t>Insufficiency in Fund</w:t>
      </w:r>
      <w:r>
        <w:tab/>
      </w:r>
      <w:r>
        <w:fldChar w:fldCharType="begin"/>
      </w:r>
      <w:r>
        <w:instrText xml:space="preserve"> PAGEREF _Toc155600382 \h </w:instrText>
      </w:r>
      <w:r>
        <w:fldChar w:fldCharType="separate"/>
      </w:r>
      <w:r>
        <w:t>88</w:t>
      </w:r>
      <w:r>
        <w:fldChar w:fldCharType="end"/>
      </w:r>
    </w:p>
    <w:p>
      <w:pPr>
        <w:pStyle w:val="TOC8"/>
        <w:rPr>
          <w:sz w:val="24"/>
          <w:szCs w:val="24"/>
        </w:rPr>
      </w:pPr>
      <w:r>
        <w:rPr>
          <w:szCs w:val="24"/>
        </w:rPr>
        <w:t>99</w:t>
      </w:r>
      <w:r>
        <w:rPr>
          <w:snapToGrid w:val="0"/>
          <w:szCs w:val="24"/>
        </w:rPr>
        <w:t>.</w:t>
      </w:r>
      <w:r>
        <w:rPr>
          <w:snapToGrid w:val="0"/>
          <w:szCs w:val="24"/>
        </w:rPr>
        <w:tab/>
        <w:t>Power of Board to enter into contracts of insurance</w:t>
      </w:r>
      <w:r>
        <w:tab/>
      </w:r>
      <w:r>
        <w:fldChar w:fldCharType="begin"/>
      </w:r>
      <w:r>
        <w:instrText xml:space="preserve"> PAGEREF _Toc155600383 \h </w:instrText>
      </w:r>
      <w:r>
        <w:fldChar w:fldCharType="separate"/>
      </w:r>
      <w:r>
        <w:t>89</w:t>
      </w:r>
      <w:r>
        <w:fldChar w:fldCharType="end"/>
      </w:r>
    </w:p>
    <w:p>
      <w:pPr>
        <w:pStyle w:val="TOC8"/>
        <w:rPr>
          <w:sz w:val="24"/>
          <w:szCs w:val="24"/>
        </w:rPr>
      </w:pPr>
      <w:r>
        <w:rPr>
          <w:szCs w:val="24"/>
        </w:rPr>
        <w:t>100</w:t>
      </w:r>
      <w:r>
        <w:rPr>
          <w:snapToGrid w:val="0"/>
          <w:szCs w:val="24"/>
        </w:rPr>
        <w:t>.</w:t>
      </w:r>
      <w:r>
        <w:rPr>
          <w:snapToGrid w:val="0"/>
          <w:szCs w:val="24"/>
        </w:rPr>
        <w:tab/>
        <w:t>Application of insurance money</w:t>
      </w:r>
      <w:r>
        <w:tab/>
      </w:r>
      <w:r>
        <w:fldChar w:fldCharType="begin"/>
      </w:r>
      <w:r>
        <w:instrText xml:space="preserve"> PAGEREF _Toc155600384 \h </w:instrText>
      </w:r>
      <w:r>
        <w:fldChar w:fldCharType="separate"/>
      </w:r>
      <w:r>
        <w:t>89</w:t>
      </w:r>
      <w:r>
        <w:fldChar w:fldCharType="end"/>
      </w:r>
    </w:p>
    <w:p>
      <w:pPr>
        <w:pStyle w:val="TOC8"/>
        <w:rPr>
          <w:sz w:val="24"/>
          <w:szCs w:val="24"/>
        </w:rPr>
      </w:pPr>
      <w:r>
        <w:rPr>
          <w:szCs w:val="24"/>
        </w:rPr>
        <w:t>101</w:t>
      </w:r>
      <w:r>
        <w:rPr>
          <w:snapToGrid w:val="0"/>
          <w:szCs w:val="24"/>
        </w:rPr>
        <w:t>.</w:t>
      </w:r>
      <w:r>
        <w:rPr>
          <w:snapToGrid w:val="0"/>
          <w:szCs w:val="24"/>
        </w:rPr>
        <w:tab/>
        <w:t>Advertisement relating to defaulting settlement agent and claims</w:t>
      </w:r>
      <w:r>
        <w:tab/>
      </w:r>
      <w:r>
        <w:fldChar w:fldCharType="begin"/>
      </w:r>
      <w:r>
        <w:instrText xml:space="preserve"> PAGEREF _Toc155600385 \h </w:instrText>
      </w:r>
      <w:r>
        <w:fldChar w:fldCharType="separate"/>
      </w:r>
      <w:r>
        <w:t>90</w:t>
      </w:r>
      <w:r>
        <w:fldChar w:fldCharType="end"/>
      </w:r>
    </w:p>
    <w:p>
      <w:pPr>
        <w:pStyle w:val="TOC8"/>
        <w:rPr>
          <w:sz w:val="24"/>
          <w:szCs w:val="24"/>
        </w:rPr>
      </w:pPr>
      <w:r>
        <w:rPr>
          <w:szCs w:val="24"/>
        </w:rPr>
        <w:t>102</w:t>
      </w:r>
      <w:r>
        <w:rPr>
          <w:snapToGrid w:val="0"/>
          <w:szCs w:val="24"/>
        </w:rPr>
        <w:t>.</w:t>
      </w:r>
      <w:r>
        <w:rPr>
          <w:snapToGrid w:val="0"/>
          <w:szCs w:val="24"/>
        </w:rPr>
        <w:tab/>
        <w:t>Power of Board to demand securities, and documents</w:t>
      </w:r>
      <w:r>
        <w:tab/>
      </w:r>
      <w:r>
        <w:fldChar w:fldCharType="begin"/>
      </w:r>
      <w:r>
        <w:instrText xml:space="preserve"> PAGEREF _Toc155600386 \h </w:instrText>
      </w:r>
      <w:r>
        <w:fldChar w:fldCharType="separate"/>
      </w:r>
      <w:r>
        <w:t>90</w:t>
      </w:r>
      <w:r>
        <w:fldChar w:fldCharType="end"/>
      </w:r>
    </w:p>
    <w:p>
      <w:pPr>
        <w:pStyle w:val="TOC2"/>
        <w:tabs>
          <w:tab w:val="right" w:leader="dot" w:pos="7086"/>
        </w:tabs>
        <w:rPr>
          <w:b w:val="0"/>
          <w:sz w:val="24"/>
          <w:szCs w:val="24"/>
        </w:rPr>
      </w:pPr>
      <w:r>
        <w:rPr>
          <w:szCs w:val="30"/>
        </w:rPr>
        <w:t>Part VA — Education and General Purpose Fund</w:t>
      </w:r>
    </w:p>
    <w:p>
      <w:pPr>
        <w:pStyle w:val="TOC8"/>
        <w:rPr>
          <w:sz w:val="24"/>
          <w:szCs w:val="24"/>
        </w:rPr>
      </w:pPr>
      <w:r>
        <w:rPr>
          <w:szCs w:val="24"/>
        </w:rPr>
        <w:t>102A</w:t>
      </w:r>
      <w:r>
        <w:rPr>
          <w:snapToGrid w:val="0"/>
          <w:szCs w:val="24"/>
        </w:rPr>
        <w:t xml:space="preserve">. </w:t>
      </w:r>
      <w:r>
        <w:rPr>
          <w:snapToGrid w:val="0"/>
          <w:szCs w:val="24"/>
        </w:rPr>
        <w:tab/>
        <w:t>Education and General Purpose Fund established</w:t>
      </w:r>
      <w:r>
        <w:tab/>
      </w:r>
      <w:r>
        <w:fldChar w:fldCharType="begin"/>
      </w:r>
      <w:r>
        <w:instrText xml:space="preserve"> PAGEREF _Toc155600388 \h </w:instrText>
      </w:r>
      <w:r>
        <w:fldChar w:fldCharType="separate"/>
      </w:r>
      <w:r>
        <w:t>91</w:t>
      </w:r>
      <w:r>
        <w:fldChar w:fldCharType="end"/>
      </w:r>
    </w:p>
    <w:p>
      <w:pPr>
        <w:pStyle w:val="TOC8"/>
        <w:rPr>
          <w:sz w:val="24"/>
          <w:szCs w:val="24"/>
        </w:rPr>
      </w:pPr>
      <w:r>
        <w:rPr>
          <w:szCs w:val="24"/>
        </w:rPr>
        <w:t>102B</w:t>
      </w:r>
      <w:r>
        <w:rPr>
          <w:snapToGrid w:val="0"/>
          <w:szCs w:val="24"/>
        </w:rPr>
        <w:t xml:space="preserve">. </w:t>
      </w:r>
      <w:r>
        <w:rPr>
          <w:snapToGrid w:val="0"/>
          <w:szCs w:val="24"/>
        </w:rPr>
        <w:tab/>
        <w:t>Moneys credited to General Purpose Fund</w:t>
      </w:r>
      <w:r>
        <w:tab/>
      </w:r>
      <w:r>
        <w:fldChar w:fldCharType="begin"/>
      </w:r>
      <w:r>
        <w:instrText xml:space="preserve"> PAGEREF _Toc155600389 \h </w:instrText>
      </w:r>
      <w:r>
        <w:fldChar w:fldCharType="separate"/>
      </w:r>
      <w:r>
        <w:t>91</w:t>
      </w:r>
      <w:r>
        <w:fldChar w:fldCharType="end"/>
      </w:r>
    </w:p>
    <w:p>
      <w:pPr>
        <w:pStyle w:val="TOC8"/>
        <w:rPr>
          <w:sz w:val="24"/>
          <w:szCs w:val="24"/>
        </w:rPr>
      </w:pPr>
      <w:r>
        <w:rPr>
          <w:szCs w:val="24"/>
        </w:rPr>
        <w:t>102C</w:t>
      </w:r>
      <w:r>
        <w:rPr>
          <w:snapToGrid w:val="0"/>
          <w:szCs w:val="24"/>
        </w:rPr>
        <w:t xml:space="preserve">. </w:t>
      </w:r>
      <w:r>
        <w:rPr>
          <w:snapToGrid w:val="0"/>
          <w:szCs w:val="24"/>
        </w:rPr>
        <w:tab/>
        <w:t>Application of General Purpose Fund</w:t>
      </w:r>
      <w:r>
        <w:tab/>
      </w:r>
      <w:r>
        <w:fldChar w:fldCharType="begin"/>
      </w:r>
      <w:r>
        <w:instrText xml:space="preserve"> PAGEREF _Toc155600390 \h </w:instrText>
      </w:r>
      <w:r>
        <w:fldChar w:fldCharType="separate"/>
      </w:r>
      <w:r>
        <w:t>92</w:t>
      </w:r>
      <w:r>
        <w:fldChar w:fldCharType="end"/>
      </w:r>
    </w:p>
    <w:p>
      <w:pPr>
        <w:pStyle w:val="TOC8"/>
        <w:rPr>
          <w:sz w:val="24"/>
          <w:szCs w:val="24"/>
        </w:rPr>
      </w:pPr>
      <w:r>
        <w:rPr>
          <w:szCs w:val="24"/>
        </w:rPr>
        <w:t>102D</w:t>
      </w:r>
      <w:r>
        <w:rPr>
          <w:snapToGrid w:val="0"/>
          <w:szCs w:val="24"/>
        </w:rPr>
        <w:t xml:space="preserve">. </w:t>
      </w:r>
      <w:r>
        <w:rPr>
          <w:snapToGrid w:val="0"/>
          <w:szCs w:val="24"/>
        </w:rPr>
        <w:tab/>
        <w:t>Investment of General Purpose Fund</w:t>
      </w:r>
      <w:r>
        <w:tab/>
      </w:r>
      <w:r>
        <w:fldChar w:fldCharType="begin"/>
      </w:r>
      <w:r>
        <w:instrText xml:space="preserve"> PAGEREF _Toc155600391 \h </w:instrText>
      </w:r>
      <w:r>
        <w:fldChar w:fldCharType="separate"/>
      </w:r>
      <w:r>
        <w:t>92</w:t>
      </w:r>
      <w:r>
        <w:fldChar w:fldCharType="end"/>
      </w:r>
    </w:p>
    <w:p>
      <w:pPr>
        <w:pStyle w:val="TOC2"/>
        <w:tabs>
          <w:tab w:val="right" w:leader="dot" w:pos="7086"/>
        </w:tabs>
        <w:rPr>
          <w:b w:val="0"/>
          <w:sz w:val="24"/>
          <w:szCs w:val="24"/>
        </w:rPr>
      </w:pPr>
      <w:r>
        <w:rPr>
          <w:szCs w:val="30"/>
        </w:rPr>
        <w:t>Part VI — Board Interest Account</w:t>
      </w:r>
    </w:p>
    <w:p>
      <w:pPr>
        <w:pStyle w:val="TOC8"/>
        <w:rPr>
          <w:sz w:val="24"/>
          <w:szCs w:val="24"/>
        </w:rPr>
      </w:pPr>
      <w:r>
        <w:rPr>
          <w:szCs w:val="24"/>
        </w:rPr>
        <w:t>103</w:t>
      </w:r>
      <w:r>
        <w:rPr>
          <w:snapToGrid w:val="0"/>
          <w:szCs w:val="24"/>
        </w:rPr>
        <w:t>.</w:t>
      </w:r>
      <w:r>
        <w:rPr>
          <w:snapToGrid w:val="0"/>
          <w:szCs w:val="24"/>
        </w:rPr>
        <w:tab/>
        <w:t>Board Interest Account established</w:t>
      </w:r>
      <w:r>
        <w:tab/>
      </w:r>
      <w:r>
        <w:fldChar w:fldCharType="begin"/>
      </w:r>
      <w:r>
        <w:instrText xml:space="preserve"> PAGEREF _Toc155600393 \h </w:instrText>
      </w:r>
      <w:r>
        <w:fldChar w:fldCharType="separate"/>
      </w:r>
      <w:r>
        <w:t>93</w:t>
      </w:r>
      <w:r>
        <w:fldChar w:fldCharType="end"/>
      </w:r>
    </w:p>
    <w:p>
      <w:pPr>
        <w:pStyle w:val="TOC8"/>
        <w:rPr>
          <w:sz w:val="24"/>
          <w:szCs w:val="24"/>
        </w:rPr>
      </w:pPr>
      <w:r>
        <w:rPr>
          <w:szCs w:val="24"/>
        </w:rPr>
        <w:t>104</w:t>
      </w:r>
      <w:r>
        <w:rPr>
          <w:snapToGrid w:val="0"/>
          <w:szCs w:val="24"/>
        </w:rPr>
        <w:t>.</w:t>
      </w:r>
      <w:r>
        <w:rPr>
          <w:snapToGrid w:val="0"/>
          <w:szCs w:val="24"/>
        </w:rPr>
        <w:tab/>
        <w:t>Moneys credited to Account</w:t>
      </w:r>
      <w:r>
        <w:tab/>
      </w:r>
      <w:r>
        <w:fldChar w:fldCharType="begin"/>
      </w:r>
      <w:r>
        <w:instrText xml:space="preserve"> PAGEREF _Toc155600394 \h </w:instrText>
      </w:r>
      <w:r>
        <w:fldChar w:fldCharType="separate"/>
      </w:r>
      <w:r>
        <w:t>93</w:t>
      </w:r>
      <w:r>
        <w:fldChar w:fldCharType="end"/>
      </w:r>
    </w:p>
    <w:p>
      <w:pPr>
        <w:pStyle w:val="TOC8"/>
        <w:rPr>
          <w:sz w:val="24"/>
          <w:szCs w:val="24"/>
        </w:rPr>
      </w:pPr>
      <w:r>
        <w:rPr>
          <w:szCs w:val="24"/>
        </w:rPr>
        <w:t>105</w:t>
      </w:r>
      <w:r>
        <w:rPr>
          <w:snapToGrid w:val="0"/>
          <w:szCs w:val="24"/>
        </w:rPr>
        <w:t>.</w:t>
      </w:r>
      <w:r>
        <w:rPr>
          <w:snapToGrid w:val="0"/>
          <w:szCs w:val="24"/>
        </w:rPr>
        <w:tab/>
        <w:t>Application of Account</w:t>
      </w:r>
      <w:r>
        <w:tab/>
      </w:r>
      <w:r>
        <w:fldChar w:fldCharType="begin"/>
      </w:r>
      <w:r>
        <w:instrText xml:space="preserve"> PAGEREF _Toc155600395 \h </w:instrText>
      </w:r>
      <w:r>
        <w:fldChar w:fldCharType="separate"/>
      </w:r>
      <w:r>
        <w:t>93</w:t>
      </w:r>
      <w:r>
        <w:fldChar w:fldCharType="end"/>
      </w:r>
    </w:p>
    <w:p>
      <w:pPr>
        <w:pStyle w:val="TOC8"/>
        <w:rPr>
          <w:sz w:val="24"/>
          <w:szCs w:val="24"/>
        </w:rPr>
      </w:pPr>
      <w:r>
        <w:rPr>
          <w:szCs w:val="24"/>
        </w:rPr>
        <w:t>106</w:t>
      </w:r>
      <w:r>
        <w:rPr>
          <w:snapToGrid w:val="0"/>
          <w:szCs w:val="24"/>
        </w:rPr>
        <w:t>.</w:t>
      </w:r>
      <w:r>
        <w:rPr>
          <w:snapToGrid w:val="0"/>
          <w:szCs w:val="24"/>
        </w:rPr>
        <w:tab/>
        <w:t>Investment of Account</w:t>
      </w:r>
      <w:r>
        <w:tab/>
      </w:r>
      <w:r>
        <w:fldChar w:fldCharType="begin"/>
      </w:r>
      <w:r>
        <w:instrText xml:space="preserve"> PAGEREF _Toc155600396 \h </w:instrText>
      </w:r>
      <w:r>
        <w:fldChar w:fldCharType="separate"/>
      </w:r>
      <w:r>
        <w:t>94</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110</w:t>
      </w:r>
      <w:r>
        <w:rPr>
          <w:snapToGrid w:val="0"/>
          <w:szCs w:val="24"/>
        </w:rPr>
        <w:t>.</w:t>
      </w:r>
      <w:r>
        <w:rPr>
          <w:snapToGrid w:val="0"/>
          <w:szCs w:val="24"/>
        </w:rPr>
        <w:tab/>
        <w:t>Registers</w:t>
      </w:r>
      <w:r>
        <w:tab/>
      </w:r>
      <w:r>
        <w:fldChar w:fldCharType="begin"/>
      </w:r>
      <w:r>
        <w:instrText xml:space="preserve"> PAGEREF _Toc155600398 \h </w:instrText>
      </w:r>
      <w:r>
        <w:fldChar w:fldCharType="separate"/>
      </w:r>
      <w:r>
        <w:t>95</w:t>
      </w:r>
      <w:r>
        <w:fldChar w:fldCharType="end"/>
      </w:r>
    </w:p>
    <w:p>
      <w:pPr>
        <w:pStyle w:val="TOC8"/>
        <w:rPr>
          <w:sz w:val="24"/>
          <w:szCs w:val="24"/>
        </w:rPr>
      </w:pPr>
      <w:r>
        <w:rPr>
          <w:szCs w:val="24"/>
        </w:rPr>
        <w:t>111</w:t>
      </w:r>
      <w:r>
        <w:rPr>
          <w:snapToGrid w:val="0"/>
          <w:szCs w:val="24"/>
        </w:rPr>
        <w:t>.</w:t>
      </w:r>
      <w:r>
        <w:rPr>
          <w:snapToGrid w:val="0"/>
          <w:szCs w:val="24"/>
        </w:rPr>
        <w:tab/>
        <w:t>Lists and certificates</w:t>
      </w:r>
      <w:r>
        <w:tab/>
      </w:r>
      <w:r>
        <w:fldChar w:fldCharType="begin"/>
      </w:r>
      <w:r>
        <w:instrText xml:space="preserve"> PAGEREF _Toc155600399 \h </w:instrText>
      </w:r>
      <w:r>
        <w:fldChar w:fldCharType="separate"/>
      </w:r>
      <w:r>
        <w:t>95</w:t>
      </w:r>
      <w:r>
        <w:fldChar w:fldCharType="end"/>
      </w:r>
    </w:p>
    <w:p>
      <w:pPr>
        <w:pStyle w:val="TOC8"/>
        <w:rPr>
          <w:sz w:val="24"/>
          <w:szCs w:val="24"/>
        </w:rPr>
      </w:pPr>
      <w:r>
        <w:rPr>
          <w:szCs w:val="24"/>
        </w:rPr>
        <w:t>112</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_Toc155600400 \h </w:instrText>
      </w:r>
      <w:r>
        <w:fldChar w:fldCharType="separate"/>
      </w:r>
      <w:r>
        <w:t>96</w:t>
      </w:r>
      <w:r>
        <w:fldChar w:fldCharType="end"/>
      </w:r>
    </w:p>
    <w:p>
      <w:pPr>
        <w:pStyle w:val="TOC8"/>
        <w:rPr>
          <w:sz w:val="24"/>
          <w:szCs w:val="24"/>
        </w:rPr>
      </w:pPr>
      <w:r>
        <w:rPr>
          <w:szCs w:val="24"/>
        </w:rPr>
        <w:t>113</w:t>
      </w:r>
      <w:r>
        <w:rPr>
          <w:snapToGrid w:val="0"/>
          <w:szCs w:val="24"/>
        </w:rPr>
        <w:t>.</w:t>
      </w:r>
      <w:r>
        <w:rPr>
          <w:snapToGrid w:val="0"/>
          <w:szCs w:val="24"/>
        </w:rPr>
        <w:tab/>
        <w:t>Further reports</w:t>
      </w:r>
      <w:r>
        <w:tab/>
      </w:r>
      <w:r>
        <w:fldChar w:fldCharType="begin"/>
      </w:r>
      <w:r>
        <w:instrText xml:space="preserve"> PAGEREF _Toc155600401 \h </w:instrText>
      </w:r>
      <w:r>
        <w:fldChar w:fldCharType="separate"/>
      </w:r>
      <w:r>
        <w:t>96</w:t>
      </w:r>
      <w:r>
        <w:fldChar w:fldCharType="end"/>
      </w:r>
    </w:p>
    <w:p>
      <w:pPr>
        <w:pStyle w:val="TOC8"/>
        <w:rPr>
          <w:sz w:val="24"/>
          <w:szCs w:val="24"/>
        </w:rPr>
      </w:pPr>
      <w:r>
        <w:rPr>
          <w:szCs w:val="24"/>
        </w:rPr>
        <w:t>114</w:t>
      </w:r>
      <w:r>
        <w:rPr>
          <w:snapToGrid w:val="0"/>
          <w:szCs w:val="24"/>
        </w:rPr>
        <w:t>.</w:t>
      </w:r>
      <w:r>
        <w:rPr>
          <w:snapToGrid w:val="0"/>
          <w:szCs w:val="24"/>
        </w:rPr>
        <w:tab/>
        <w:t>Refund of fees</w:t>
      </w:r>
      <w:r>
        <w:tab/>
      </w:r>
      <w:r>
        <w:fldChar w:fldCharType="begin"/>
      </w:r>
      <w:r>
        <w:instrText xml:space="preserve"> PAGEREF _Toc155600402 \h </w:instrText>
      </w:r>
      <w:r>
        <w:fldChar w:fldCharType="separate"/>
      </w:r>
      <w:r>
        <w:t>97</w:t>
      </w:r>
      <w:r>
        <w:fldChar w:fldCharType="end"/>
      </w:r>
    </w:p>
    <w:p>
      <w:pPr>
        <w:pStyle w:val="TOC8"/>
        <w:rPr>
          <w:sz w:val="24"/>
          <w:szCs w:val="24"/>
        </w:rPr>
      </w:pPr>
      <w:r>
        <w:rPr>
          <w:szCs w:val="24"/>
        </w:rPr>
        <w:t>115</w:t>
      </w:r>
      <w:r>
        <w:rPr>
          <w:snapToGrid w:val="0"/>
          <w:szCs w:val="24"/>
        </w:rPr>
        <w:t>.</w:t>
      </w:r>
      <w:r>
        <w:rPr>
          <w:snapToGrid w:val="0"/>
          <w:szCs w:val="24"/>
        </w:rPr>
        <w:tab/>
        <w:t>Immunity of Board and officers</w:t>
      </w:r>
      <w:r>
        <w:tab/>
      </w:r>
      <w:r>
        <w:fldChar w:fldCharType="begin"/>
      </w:r>
      <w:r>
        <w:instrText xml:space="preserve"> PAGEREF _Toc155600403 \h </w:instrText>
      </w:r>
      <w:r>
        <w:fldChar w:fldCharType="separate"/>
      </w:r>
      <w:r>
        <w:t>97</w:t>
      </w:r>
      <w:r>
        <w:fldChar w:fldCharType="end"/>
      </w:r>
    </w:p>
    <w:p>
      <w:pPr>
        <w:pStyle w:val="TOC8"/>
        <w:rPr>
          <w:sz w:val="24"/>
          <w:szCs w:val="24"/>
        </w:rPr>
      </w:pPr>
      <w:r>
        <w:rPr>
          <w:szCs w:val="24"/>
        </w:rPr>
        <w:t>116</w:t>
      </w:r>
      <w:r>
        <w:rPr>
          <w:snapToGrid w:val="0"/>
          <w:szCs w:val="24"/>
        </w:rPr>
        <w:t>.</w:t>
      </w:r>
      <w:r>
        <w:rPr>
          <w:snapToGrid w:val="0"/>
          <w:szCs w:val="24"/>
        </w:rPr>
        <w:tab/>
        <w:t>Secrecy</w:t>
      </w:r>
      <w:r>
        <w:tab/>
      </w:r>
      <w:r>
        <w:fldChar w:fldCharType="begin"/>
      </w:r>
      <w:r>
        <w:instrText xml:space="preserve"> PAGEREF _Toc155600404 \h </w:instrText>
      </w:r>
      <w:r>
        <w:fldChar w:fldCharType="separate"/>
      </w:r>
      <w:r>
        <w:t>97</w:t>
      </w:r>
      <w:r>
        <w:fldChar w:fldCharType="end"/>
      </w:r>
    </w:p>
    <w:p>
      <w:pPr>
        <w:pStyle w:val="TOC8"/>
        <w:rPr>
          <w:sz w:val="24"/>
          <w:szCs w:val="24"/>
        </w:rPr>
      </w:pPr>
      <w:r>
        <w:rPr>
          <w:szCs w:val="24"/>
        </w:rPr>
        <w:t>117</w:t>
      </w:r>
      <w:r>
        <w:rPr>
          <w:snapToGrid w:val="0"/>
          <w:szCs w:val="24"/>
        </w:rPr>
        <w:t>.</w:t>
      </w:r>
      <w:r>
        <w:rPr>
          <w:snapToGrid w:val="0"/>
          <w:szCs w:val="24"/>
        </w:rPr>
        <w:tab/>
        <w:t>Liability of directors of body corporate</w:t>
      </w:r>
      <w:r>
        <w:tab/>
      </w:r>
      <w:r>
        <w:fldChar w:fldCharType="begin"/>
      </w:r>
      <w:r>
        <w:instrText xml:space="preserve"> PAGEREF _Toc155600405 \h </w:instrText>
      </w:r>
      <w:r>
        <w:fldChar w:fldCharType="separate"/>
      </w:r>
      <w:r>
        <w:t>97</w:t>
      </w:r>
      <w:r>
        <w:fldChar w:fldCharType="end"/>
      </w:r>
    </w:p>
    <w:p>
      <w:pPr>
        <w:pStyle w:val="TOC8"/>
        <w:rPr>
          <w:sz w:val="24"/>
          <w:szCs w:val="24"/>
        </w:rPr>
      </w:pPr>
      <w:r>
        <w:rPr>
          <w:szCs w:val="24"/>
        </w:rPr>
        <w:t>118</w:t>
      </w:r>
      <w:r>
        <w:rPr>
          <w:snapToGrid w:val="0"/>
          <w:szCs w:val="24"/>
        </w:rPr>
        <w:t>.</w:t>
      </w:r>
      <w:r>
        <w:rPr>
          <w:snapToGrid w:val="0"/>
          <w:szCs w:val="24"/>
        </w:rPr>
        <w:tab/>
        <w:t>Other rights or remedies</w:t>
      </w:r>
      <w:r>
        <w:tab/>
      </w:r>
      <w:r>
        <w:fldChar w:fldCharType="begin"/>
      </w:r>
      <w:r>
        <w:instrText xml:space="preserve"> PAGEREF _Toc155600406 \h </w:instrText>
      </w:r>
      <w:r>
        <w:fldChar w:fldCharType="separate"/>
      </w:r>
      <w:r>
        <w:t>98</w:t>
      </w:r>
      <w:r>
        <w:fldChar w:fldCharType="end"/>
      </w:r>
    </w:p>
    <w:p>
      <w:pPr>
        <w:pStyle w:val="TOC8"/>
        <w:rPr>
          <w:sz w:val="24"/>
          <w:szCs w:val="24"/>
        </w:rPr>
      </w:pPr>
      <w:r>
        <w:rPr>
          <w:szCs w:val="24"/>
        </w:rPr>
        <w:t>119</w:t>
      </w:r>
      <w:r>
        <w:rPr>
          <w:snapToGrid w:val="0"/>
          <w:szCs w:val="24"/>
        </w:rPr>
        <w:t>.</w:t>
      </w:r>
      <w:r>
        <w:rPr>
          <w:snapToGrid w:val="0"/>
          <w:szCs w:val="24"/>
        </w:rPr>
        <w:tab/>
        <w:t>No waiver of rights</w:t>
      </w:r>
      <w:r>
        <w:tab/>
      </w:r>
      <w:r>
        <w:fldChar w:fldCharType="begin"/>
      </w:r>
      <w:r>
        <w:instrText xml:space="preserve"> PAGEREF _Toc155600407 \h </w:instrText>
      </w:r>
      <w:r>
        <w:fldChar w:fldCharType="separate"/>
      </w:r>
      <w:r>
        <w:t>98</w:t>
      </w:r>
      <w:r>
        <w:fldChar w:fldCharType="end"/>
      </w:r>
    </w:p>
    <w:p>
      <w:pPr>
        <w:pStyle w:val="TOC8"/>
        <w:rPr>
          <w:sz w:val="24"/>
          <w:szCs w:val="24"/>
        </w:rPr>
      </w:pPr>
      <w:r>
        <w:rPr>
          <w:szCs w:val="24"/>
        </w:rPr>
        <w:t>120</w:t>
      </w:r>
      <w:r>
        <w:rPr>
          <w:snapToGrid w:val="0"/>
          <w:szCs w:val="24"/>
        </w:rPr>
        <w:t>.</w:t>
      </w:r>
      <w:r>
        <w:rPr>
          <w:snapToGrid w:val="0"/>
          <w:szCs w:val="24"/>
        </w:rPr>
        <w:tab/>
        <w:t>General penalty</w:t>
      </w:r>
      <w:r>
        <w:tab/>
      </w:r>
      <w:r>
        <w:fldChar w:fldCharType="begin"/>
      </w:r>
      <w:r>
        <w:instrText xml:space="preserve"> PAGEREF _Toc155600408 \h </w:instrText>
      </w:r>
      <w:r>
        <w:fldChar w:fldCharType="separate"/>
      </w:r>
      <w:r>
        <w:t>98</w:t>
      </w:r>
      <w:r>
        <w:fldChar w:fldCharType="end"/>
      </w:r>
    </w:p>
    <w:p>
      <w:pPr>
        <w:pStyle w:val="TOC8"/>
        <w:rPr>
          <w:sz w:val="24"/>
          <w:szCs w:val="24"/>
        </w:rPr>
      </w:pPr>
      <w:r>
        <w:rPr>
          <w:szCs w:val="24"/>
        </w:rPr>
        <w:t>121</w:t>
      </w:r>
      <w:r>
        <w:rPr>
          <w:snapToGrid w:val="0"/>
          <w:szCs w:val="24"/>
        </w:rPr>
        <w:t>.</w:t>
      </w:r>
      <w:r>
        <w:rPr>
          <w:snapToGrid w:val="0"/>
          <w:szCs w:val="24"/>
        </w:rPr>
        <w:tab/>
        <w:t>Proceedings</w:t>
      </w:r>
      <w:r>
        <w:tab/>
      </w:r>
      <w:r>
        <w:fldChar w:fldCharType="begin"/>
      </w:r>
      <w:r>
        <w:instrText xml:space="preserve"> PAGEREF _Toc155600409 \h </w:instrText>
      </w:r>
      <w:r>
        <w:fldChar w:fldCharType="separate"/>
      </w:r>
      <w:r>
        <w:t>98</w:t>
      </w:r>
      <w:r>
        <w:fldChar w:fldCharType="end"/>
      </w:r>
    </w:p>
    <w:p>
      <w:pPr>
        <w:pStyle w:val="TOC8"/>
        <w:rPr>
          <w:sz w:val="24"/>
          <w:szCs w:val="24"/>
        </w:rPr>
      </w:pPr>
      <w:r>
        <w:rPr>
          <w:szCs w:val="24"/>
        </w:rPr>
        <w:t>122</w:t>
      </w:r>
      <w:r>
        <w:rPr>
          <w:snapToGrid w:val="0"/>
          <w:szCs w:val="24"/>
        </w:rPr>
        <w:t>.</w:t>
      </w:r>
      <w:r>
        <w:rPr>
          <w:snapToGrid w:val="0"/>
          <w:szCs w:val="24"/>
        </w:rPr>
        <w:tab/>
        <w:t>Forms</w:t>
      </w:r>
      <w:r>
        <w:tab/>
      </w:r>
      <w:r>
        <w:fldChar w:fldCharType="begin"/>
      </w:r>
      <w:r>
        <w:instrText xml:space="preserve"> PAGEREF _Toc155600410 \h </w:instrText>
      </w:r>
      <w:r>
        <w:fldChar w:fldCharType="separate"/>
      </w:r>
      <w:r>
        <w:t>99</w:t>
      </w:r>
      <w:r>
        <w:fldChar w:fldCharType="end"/>
      </w:r>
    </w:p>
    <w:p>
      <w:pPr>
        <w:pStyle w:val="TOC8"/>
        <w:rPr>
          <w:sz w:val="24"/>
          <w:szCs w:val="24"/>
        </w:rPr>
      </w:pPr>
      <w:r>
        <w:rPr>
          <w:szCs w:val="24"/>
        </w:rPr>
        <w:t>123</w:t>
      </w:r>
      <w:r>
        <w:rPr>
          <w:snapToGrid w:val="0"/>
          <w:szCs w:val="24"/>
        </w:rPr>
        <w:t>.</w:t>
      </w:r>
      <w:r>
        <w:rPr>
          <w:snapToGrid w:val="0"/>
          <w:szCs w:val="24"/>
        </w:rPr>
        <w:tab/>
        <w:t>Regulations</w:t>
      </w:r>
      <w:r>
        <w:tab/>
      </w:r>
      <w:r>
        <w:fldChar w:fldCharType="begin"/>
      </w:r>
      <w:r>
        <w:instrText xml:space="preserve"> PAGEREF _Toc155600411 \h </w:instrText>
      </w:r>
      <w:r>
        <w:fldChar w:fldCharType="separate"/>
      </w:r>
      <w:r>
        <w:t>99</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zCs w:val="22"/>
        </w:rPr>
        <w:t>1</w:t>
      </w:r>
      <w:r>
        <w:rPr>
          <w:snapToGrid w:val="0"/>
          <w:szCs w:val="22"/>
        </w:rPr>
        <w:t>.</w:t>
      </w:r>
      <w:r>
        <w:rPr>
          <w:snapToGrid w:val="0"/>
          <w:szCs w:val="22"/>
        </w:rPr>
        <w:tab/>
        <w:t>Real estate settlement agent</w:t>
      </w:r>
      <w:r>
        <w:tab/>
      </w:r>
      <w:r>
        <w:fldChar w:fldCharType="begin"/>
      </w:r>
      <w:r>
        <w:instrText xml:space="preserve"> PAGEREF _Toc155600413 \h </w:instrText>
      </w:r>
      <w:r>
        <w:fldChar w:fldCharType="separate"/>
      </w:r>
      <w:r>
        <w:t>101</w:t>
      </w:r>
      <w:r>
        <w:fldChar w:fldCharType="end"/>
      </w:r>
    </w:p>
    <w:p>
      <w:pPr>
        <w:pStyle w:val="TOC8"/>
        <w:rPr>
          <w:sz w:val="24"/>
          <w:szCs w:val="24"/>
        </w:rPr>
      </w:pPr>
      <w:r>
        <w:rPr>
          <w:szCs w:val="22"/>
        </w:rPr>
        <w:t>2</w:t>
      </w:r>
      <w:r>
        <w:rPr>
          <w:snapToGrid w:val="0"/>
          <w:szCs w:val="22"/>
        </w:rPr>
        <w:t xml:space="preserve">. </w:t>
      </w:r>
      <w:r>
        <w:rPr>
          <w:snapToGrid w:val="0"/>
          <w:szCs w:val="22"/>
        </w:rPr>
        <w:tab/>
        <w:t>Business settlement agent</w:t>
      </w:r>
      <w:r>
        <w:tab/>
      </w:r>
      <w:r>
        <w:fldChar w:fldCharType="begin"/>
      </w:r>
      <w:r>
        <w:instrText xml:space="preserve"> PAGEREF _Toc155600414 \h </w:instrText>
      </w:r>
      <w:r>
        <w:fldChar w:fldCharType="separate"/>
      </w:r>
      <w:r>
        <w:t>102</w:t>
      </w:r>
      <w:r>
        <w:fldChar w:fldCharType="end"/>
      </w:r>
    </w:p>
    <w:p>
      <w:pPr>
        <w:pStyle w:val="TOC8"/>
        <w:rPr>
          <w:sz w:val="24"/>
          <w:szCs w:val="24"/>
        </w:rPr>
      </w:pPr>
      <w:r>
        <w:rPr>
          <w:szCs w:val="22"/>
        </w:rPr>
        <w:t>3</w:t>
      </w:r>
      <w:r>
        <w:rPr>
          <w:snapToGrid w:val="0"/>
          <w:szCs w:val="22"/>
        </w:rPr>
        <w:t xml:space="preserve">. </w:t>
      </w:r>
      <w:r>
        <w:rPr>
          <w:snapToGrid w:val="0"/>
          <w:szCs w:val="22"/>
        </w:rPr>
        <w:tab/>
        <w:t>Licence by reason of qualification under clauses 1(1)(c) and 2(1)(c)</w:t>
      </w:r>
      <w:r>
        <w:tab/>
      </w:r>
      <w:r>
        <w:fldChar w:fldCharType="begin"/>
      </w:r>
      <w:r>
        <w:instrText xml:space="preserve"> PAGEREF _Toc155600415 \h </w:instrText>
      </w:r>
      <w:r>
        <w:fldChar w:fldCharType="separate"/>
      </w:r>
      <w:r>
        <w:t>103</w:t>
      </w:r>
      <w:r>
        <w:fldChar w:fldCharType="end"/>
      </w:r>
    </w:p>
    <w:p>
      <w:pPr>
        <w:pStyle w:val="TOC8"/>
        <w:rPr>
          <w:sz w:val="24"/>
          <w:szCs w:val="24"/>
        </w:rPr>
      </w:pPr>
      <w:r>
        <w:rPr>
          <w:szCs w:val="22"/>
        </w:rPr>
        <w:t>4</w:t>
      </w:r>
      <w:r>
        <w:rPr>
          <w:snapToGrid w:val="0"/>
          <w:szCs w:val="22"/>
        </w:rPr>
        <w:t>.</w:t>
      </w:r>
      <w:r>
        <w:rPr>
          <w:snapToGrid w:val="0"/>
          <w:szCs w:val="22"/>
        </w:rPr>
        <w:tab/>
        <w:t>Licence by reason of qualification under clauses 1(1)(d) and 2(1)(d)</w:t>
      </w:r>
      <w:r>
        <w:tab/>
      </w:r>
      <w:r>
        <w:fldChar w:fldCharType="begin"/>
      </w:r>
      <w:r>
        <w:instrText xml:space="preserve"> PAGEREF _Toc155600416 \h </w:instrText>
      </w:r>
      <w:r>
        <w:fldChar w:fldCharType="separate"/>
      </w:r>
      <w:r>
        <w:t>103</w:t>
      </w:r>
      <w:r>
        <w:fldChar w:fldCharType="end"/>
      </w:r>
    </w:p>
    <w:p>
      <w:pPr>
        <w:pStyle w:val="TOC8"/>
        <w:rPr>
          <w:sz w:val="24"/>
          <w:szCs w:val="24"/>
        </w:rPr>
      </w:pPr>
      <w:r>
        <w:rPr>
          <w:szCs w:val="22"/>
        </w:rPr>
        <w:t>5</w:t>
      </w:r>
      <w:r>
        <w:rPr>
          <w:snapToGrid w:val="0"/>
          <w:szCs w:val="22"/>
        </w:rPr>
        <w:t xml:space="preserve">. </w:t>
      </w:r>
      <w:r>
        <w:rPr>
          <w:snapToGrid w:val="0"/>
          <w:szCs w:val="22"/>
        </w:rPr>
        <w:tab/>
        <w:t>Death or incapacity of agent</w:t>
      </w:r>
      <w:r>
        <w:tab/>
      </w:r>
      <w:r>
        <w:fldChar w:fldCharType="begin"/>
      </w:r>
      <w:r>
        <w:instrText xml:space="preserve"> PAGEREF _Toc155600417 \h </w:instrText>
      </w:r>
      <w:r>
        <w:fldChar w:fldCharType="separate"/>
      </w:r>
      <w:r>
        <w:t>104</w:t>
      </w:r>
      <w:r>
        <w:fldChar w:fldCharType="end"/>
      </w:r>
    </w:p>
    <w:p>
      <w:pPr>
        <w:pStyle w:val="TOC8"/>
        <w:rPr>
          <w:sz w:val="24"/>
          <w:szCs w:val="24"/>
        </w:rPr>
      </w:pPr>
      <w:r>
        <w:rPr>
          <w:szCs w:val="22"/>
        </w:rPr>
        <w:t>6</w:t>
      </w:r>
      <w:r>
        <w:rPr>
          <w:snapToGrid w:val="0"/>
          <w:szCs w:val="22"/>
        </w:rPr>
        <w:t xml:space="preserve">. </w:t>
      </w:r>
      <w:r>
        <w:rPr>
          <w:snapToGrid w:val="0"/>
          <w:szCs w:val="22"/>
        </w:rPr>
        <w:tab/>
        <w:t>Definition of “business licence”</w:t>
      </w:r>
      <w:r>
        <w:tab/>
      </w:r>
      <w:r>
        <w:fldChar w:fldCharType="begin"/>
      </w:r>
      <w:r>
        <w:instrText xml:space="preserve"> PAGEREF _Toc155600418 \h </w:instrText>
      </w:r>
      <w:r>
        <w:fldChar w:fldCharType="separate"/>
      </w:r>
      <w:r>
        <w:t>105</w:t>
      </w:r>
      <w:r>
        <w:fldChar w:fldCharType="end"/>
      </w:r>
    </w:p>
    <w:p>
      <w:pPr>
        <w:pStyle w:val="TOC8"/>
        <w:rPr>
          <w:sz w:val="24"/>
          <w:szCs w:val="24"/>
        </w:rPr>
      </w:pPr>
      <w:r>
        <w:rPr>
          <w:szCs w:val="22"/>
        </w:rPr>
        <w:t>7</w:t>
      </w:r>
      <w:r>
        <w:rPr>
          <w:snapToGrid w:val="0"/>
          <w:szCs w:val="22"/>
        </w:rPr>
        <w:t xml:space="preserve">. </w:t>
      </w:r>
      <w:r>
        <w:rPr>
          <w:snapToGrid w:val="0"/>
          <w:szCs w:val="22"/>
        </w:rPr>
        <w:tab/>
        <w:t>Disqualification of natural persons</w:t>
      </w:r>
      <w:r>
        <w:tab/>
      </w:r>
      <w:r>
        <w:fldChar w:fldCharType="begin"/>
      </w:r>
      <w:r>
        <w:instrText xml:space="preserve"> PAGEREF _Toc155600419 \h </w:instrText>
      </w:r>
      <w:r>
        <w:fldChar w:fldCharType="separate"/>
      </w:r>
      <w:r>
        <w:t>105</w:t>
      </w:r>
      <w:r>
        <w:fldChar w:fldCharType="end"/>
      </w:r>
    </w:p>
    <w:p>
      <w:pPr>
        <w:pStyle w:val="TOC8"/>
        <w:rPr>
          <w:sz w:val="24"/>
          <w:szCs w:val="24"/>
        </w:rPr>
      </w:pPr>
      <w:r>
        <w:rPr>
          <w:szCs w:val="22"/>
        </w:rPr>
        <w:t>8</w:t>
      </w:r>
      <w:r>
        <w:rPr>
          <w:snapToGrid w:val="0"/>
          <w:szCs w:val="22"/>
        </w:rPr>
        <w:t xml:space="preserve">. </w:t>
      </w:r>
      <w:r>
        <w:rPr>
          <w:snapToGrid w:val="0"/>
          <w:szCs w:val="22"/>
        </w:rPr>
        <w:tab/>
        <w:t>Disqualification of bodies corporate</w:t>
      </w:r>
      <w:r>
        <w:tab/>
      </w:r>
      <w:r>
        <w:fldChar w:fldCharType="begin"/>
      </w:r>
      <w:r>
        <w:instrText xml:space="preserve"> PAGEREF _Toc155600420 \h </w:instrText>
      </w:r>
      <w:r>
        <w:fldChar w:fldCharType="separate"/>
      </w:r>
      <w:r>
        <w:t>105</w:t>
      </w:r>
      <w:r>
        <w:fldChar w:fldCharType="end"/>
      </w:r>
    </w:p>
    <w:p>
      <w:pPr>
        <w:pStyle w:val="TOC8"/>
        <w:rPr>
          <w:sz w:val="24"/>
          <w:szCs w:val="24"/>
        </w:rPr>
      </w:pPr>
      <w:r>
        <w:rPr>
          <w:szCs w:val="22"/>
        </w:rPr>
        <w:t>9</w:t>
      </w:r>
      <w:r>
        <w:rPr>
          <w:snapToGrid w:val="0"/>
          <w:szCs w:val="22"/>
        </w:rPr>
        <w:t xml:space="preserve">. </w:t>
      </w:r>
      <w:r>
        <w:rPr>
          <w:snapToGrid w:val="0"/>
          <w:szCs w:val="22"/>
        </w:rPr>
        <w:tab/>
        <w:t>Disqualification of firms</w:t>
      </w:r>
      <w:r>
        <w:tab/>
      </w:r>
      <w:r>
        <w:fldChar w:fldCharType="begin"/>
      </w:r>
      <w:r>
        <w:instrText xml:space="preserve"> PAGEREF _Toc155600421 \h </w:instrText>
      </w:r>
      <w:r>
        <w:fldChar w:fldCharType="separate"/>
      </w:r>
      <w:r>
        <w:t>106</w:t>
      </w:r>
      <w:r>
        <w:fldChar w:fldCharType="end"/>
      </w:r>
    </w:p>
    <w:p>
      <w:pPr>
        <w:pStyle w:val="TOC8"/>
        <w:rPr>
          <w:sz w:val="24"/>
          <w:szCs w:val="24"/>
        </w:rPr>
      </w:pPr>
      <w:r>
        <w:rPr>
          <w:szCs w:val="22"/>
        </w:rPr>
        <w:t>10</w:t>
      </w:r>
      <w:r>
        <w:rPr>
          <w:snapToGrid w:val="0"/>
          <w:szCs w:val="22"/>
        </w:rPr>
        <w:t xml:space="preserve">. </w:t>
      </w:r>
      <w:r>
        <w:rPr>
          <w:snapToGrid w:val="0"/>
          <w:szCs w:val="22"/>
        </w:rPr>
        <w:tab/>
        <w:t>Death or withdrawal of partner in a firm or director of a body corporate</w:t>
      </w:r>
      <w:r>
        <w:tab/>
      </w:r>
      <w:r>
        <w:fldChar w:fldCharType="begin"/>
      </w:r>
      <w:r>
        <w:instrText xml:space="preserve"> PAGEREF _Toc155600422 \h </w:instrText>
      </w:r>
      <w:r>
        <w:fldChar w:fldCharType="separate"/>
      </w:r>
      <w:r>
        <w:t>106</w:t>
      </w:r>
      <w:r>
        <w:fldChar w:fldCharType="end"/>
      </w:r>
    </w:p>
    <w:p>
      <w:pPr>
        <w:pStyle w:val="TOC2"/>
        <w:tabs>
          <w:tab w:val="right" w:leader="dot" w:pos="7086"/>
        </w:tabs>
        <w:rPr>
          <w:b w:val="0"/>
          <w:sz w:val="24"/>
          <w:szCs w:val="24"/>
        </w:rPr>
      </w:pPr>
      <w:r>
        <w:rPr>
          <w:szCs w:val="28"/>
        </w:rPr>
        <w:t>Schedule 2</w:t>
      </w:r>
    </w:p>
    <w:p>
      <w:pPr>
        <w:pStyle w:val="TOC8"/>
        <w:rPr>
          <w:sz w:val="24"/>
          <w:szCs w:val="24"/>
        </w:rPr>
      </w:pPr>
      <w:r>
        <w:rPr>
          <w:szCs w:val="22"/>
        </w:rPr>
        <w:t>1</w:t>
      </w:r>
      <w:r>
        <w:rPr>
          <w:snapToGrid w:val="0"/>
          <w:szCs w:val="22"/>
        </w:rPr>
        <w:t>.</w:t>
      </w:r>
      <w:r>
        <w:rPr>
          <w:snapToGrid w:val="0"/>
          <w:szCs w:val="22"/>
        </w:rPr>
        <w:tab/>
        <w:t>Real estate settlement agent</w:t>
      </w:r>
      <w:r>
        <w:tab/>
      </w:r>
      <w:r>
        <w:fldChar w:fldCharType="begin"/>
      </w:r>
      <w:r>
        <w:instrText xml:space="preserve"> PAGEREF _Toc155600424 \h </w:instrText>
      </w:r>
      <w:r>
        <w:fldChar w:fldCharType="separate"/>
      </w:r>
      <w:r>
        <w:t>108</w:t>
      </w:r>
      <w:r>
        <w:fldChar w:fldCharType="end"/>
      </w:r>
    </w:p>
    <w:p>
      <w:pPr>
        <w:pStyle w:val="TOC8"/>
        <w:rPr>
          <w:sz w:val="24"/>
          <w:szCs w:val="24"/>
        </w:rPr>
      </w:pPr>
      <w:r>
        <w:rPr>
          <w:szCs w:val="22"/>
        </w:rPr>
        <w:t>2</w:t>
      </w:r>
      <w:r>
        <w:rPr>
          <w:snapToGrid w:val="0"/>
          <w:szCs w:val="22"/>
        </w:rPr>
        <w:t xml:space="preserve">. </w:t>
      </w:r>
      <w:r>
        <w:rPr>
          <w:snapToGrid w:val="0"/>
          <w:szCs w:val="22"/>
        </w:rPr>
        <w:tab/>
        <w:t>Business settlement agent</w:t>
      </w:r>
      <w:r>
        <w:tab/>
      </w:r>
      <w:r>
        <w:fldChar w:fldCharType="begin"/>
      </w:r>
      <w:r>
        <w:instrText xml:space="preserve"> PAGEREF _Toc155600425 \h </w:instrText>
      </w:r>
      <w:r>
        <w:fldChar w:fldCharType="separate"/>
      </w:r>
      <w:r>
        <w:t>109</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_Toc155600427 \h </w:instrText>
      </w:r>
      <w:r>
        <w:fldChar w:fldCharType="separate"/>
      </w:r>
      <w:r>
        <w:t>111</w:t>
      </w:r>
      <w:r>
        <w:fldChar w:fldCharType="end"/>
      </w:r>
    </w:p>
    <w:p>
      <w:pPr>
        <w:pStyle w:val="TOC8"/>
        <w:rPr>
          <w:sz w:val="24"/>
        </w:rPr>
      </w:pPr>
      <w:r>
        <w:rPr>
          <w:snapToGrid w:val="0"/>
        </w:rPr>
        <w:tab/>
        <w:t>Provisions that have not come into operation</w:t>
      </w:r>
      <w:r>
        <w:tab/>
      </w:r>
      <w:r>
        <w:fldChar w:fldCharType="begin"/>
      </w:r>
      <w:r>
        <w:instrText xml:space="preserve"> PAGEREF _Toc155600428 \h </w:instrText>
      </w:r>
      <w:r>
        <w:fldChar w:fldCharType="separate"/>
      </w:r>
      <w:r>
        <w:t>113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Settlement Agents Act 1981 </w:t>
      </w:r>
    </w:p>
    <w:p>
      <w:pPr>
        <w:pStyle w:val="LongTitle"/>
        <w:spacing w:before="1440"/>
        <w:rPr>
          <w:snapToGrid w:val="0"/>
        </w:rPr>
      </w:pPr>
      <w:r>
        <w:rPr>
          <w:snapToGrid w:val="0"/>
        </w:rPr>
        <w:t xml:space="preserve">An Act to make provision with respect to the licensing, regulation, and supervision of settlement agents, and for related purposes. </w:t>
      </w:r>
    </w:p>
    <w:p>
      <w:pPr>
        <w:pStyle w:val="Heading2"/>
      </w:pPr>
      <w:bookmarkStart w:id="1" w:name="_Toc89514432"/>
      <w:bookmarkStart w:id="2" w:name="_Toc89753189"/>
      <w:bookmarkStart w:id="3" w:name="_Toc91307452"/>
      <w:bookmarkStart w:id="4" w:name="_Toc92705688"/>
      <w:bookmarkStart w:id="5" w:name="_Toc96932762"/>
      <w:bookmarkStart w:id="6" w:name="_Toc101079167"/>
      <w:bookmarkStart w:id="7" w:name="_Toc101080771"/>
      <w:bookmarkStart w:id="8" w:name="_Toc104782055"/>
      <w:bookmarkStart w:id="9" w:name="_Toc108238541"/>
      <w:bookmarkStart w:id="10" w:name="_Toc108238708"/>
      <w:bookmarkStart w:id="11" w:name="_Toc110324986"/>
      <w:bookmarkStart w:id="12" w:name="_Toc110325288"/>
      <w:bookmarkStart w:id="13" w:name="_Toc121566689"/>
      <w:bookmarkStart w:id="14" w:name="_Toc124125536"/>
      <w:bookmarkStart w:id="15" w:name="_Toc124141002"/>
      <w:bookmarkStart w:id="16" w:name="_Toc131414667"/>
      <w:bookmarkStart w:id="17" w:name="_Toc15560026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480623057"/>
      <w:bookmarkStart w:id="19" w:name="_Toc520186063"/>
      <w:bookmarkStart w:id="20" w:name="_Toc108238542"/>
      <w:bookmarkStart w:id="21" w:name="_Toc124125537"/>
      <w:bookmarkStart w:id="22" w:name="_Toc155600264"/>
      <w:r>
        <w:rPr>
          <w:rStyle w:val="CharSectno"/>
        </w:rPr>
        <w:t>1</w:t>
      </w:r>
      <w:r>
        <w:rPr>
          <w:snapToGrid w:val="0"/>
        </w:rPr>
        <w:t>.</w:t>
      </w:r>
      <w:r>
        <w:rPr>
          <w:snapToGrid w:val="0"/>
        </w:rPr>
        <w:tab/>
        <w:t>Short title</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 xml:space="preserve"> </w:t>
      </w:r>
      <w:r>
        <w:rPr>
          <w:snapToGrid w:val="0"/>
          <w:vertAlign w:val="superscript"/>
        </w:rPr>
        <w:t>1</w:t>
      </w:r>
      <w:r>
        <w:rPr>
          <w:snapToGrid w:val="0"/>
        </w:rPr>
        <w:t>.</w:t>
      </w:r>
    </w:p>
    <w:p>
      <w:pPr>
        <w:pStyle w:val="Heading5"/>
        <w:rPr>
          <w:snapToGrid w:val="0"/>
        </w:rPr>
      </w:pPr>
      <w:bookmarkStart w:id="23" w:name="_Toc480623058"/>
      <w:bookmarkStart w:id="24" w:name="_Toc520186064"/>
      <w:bookmarkStart w:id="25" w:name="_Toc108238543"/>
      <w:bookmarkStart w:id="26" w:name="_Toc124125538"/>
      <w:bookmarkStart w:id="27" w:name="_Toc155600265"/>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28" w:name="_Toc480623059"/>
      <w:bookmarkStart w:id="29" w:name="_Toc520186065"/>
      <w:bookmarkStart w:id="30" w:name="_Toc108238544"/>
      <w:bookmarkStart w:id="31" w:name="_Toc124125539"/>
      <w:bookmarkStart w:id="32" w:name="_Toc155600266"/>
      <w:r>
        <w:rPr>
          <w:rStyle w:val="CharSectno"/>
        </w:rPr>
        <w:t>3</w:t>
      </w:r>
      <w:r>
        <w:rPr>
          <w:snapToGrid w:val="0"/>
        </w:rPr>
        <w:t>.</w:t>
      </w:r>
      <w:r>
        <w:rPr>
          <w:snapToGrid w:val="0"/>
        </w:rPr>
        <w:tab/>
        <w:t>Interpretation</w:t>
      </w:r>
      <w:bookmarkEnd w:id="28"/>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103(1);</w:t>
      </w:r>
    </w:p>
    <w:p>
      <w:pPr>
        <w:pStyle w:val="Defstart"/>
      </w:pPr>
      <w:r>
        <w:rPr>
          <w:b/>
        </w:rPr>
        <w:tab/>
        <w:t>“</w:t>
      </w:r>
      <w:r>
        <w:rPr>
          <w:rStyle w:val="CharDefText"/>
        </w:rPr>
        <w:t>appointed day</w:t>
      </w:r>
      <w:r>
        <w:rPr>
          <w:b/>
        </w:rPr>
        <w:t>”</w:t>
      </w:r>
      <w:r>
        <w:rPr>
          <w:vertAlign w:val="superscript"/>
        </w:rPr>
        <w:t> 2</w:t>
      </w:r>
      <w:r>
        <w:t xml:space="preserve"> means the day fixed by the Minister pursuant to section 26(2);</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auditor</w:t>
      </w:r>
      <w:r>
        <w:rPr>
          <w:b/>
        </w:rPr>
        <w:t>”</w:t>
      </w:r>
      <w:r>
        <w:t xml:space="preserve"> means a person appointed under this Act to audit the trust accounts of a settlement agent;</w:t>
      </w:r>
    </w:p>
    <w:p>
      <w:pPr>
        <w:pStyle w:val="Defstar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t>“</w:t>
      </w:r>
      <w:r>
        <w:rPr>
          <w:rStyle w:val="CharDefText"/>
        </w:rPr>
        <w:t>Board</w:t>
      </w:r>
      <w:r>
        <w:rPr>
          <w:b/>
        </w:rPr>
        <w:t>”</w:t>
      </w:r>
      <w:r>
        <w:t xml:space="preserve"> means the Settlement Agents Supervisory Board;</w:t>
      </w:r>
    </w:p>
    <w:p>
      <w:pPr>
        <w:pStyle w:val="Defstart"/>
      </w:pPr>
      <w:r>
        <w:rPr>
          <w:b/>
        </w:rPr>
        <w:tab/>
        <w:t>“</w:t>
      </w:r>
      <w:r>
        <w:rPr>
          <w:rStyle w:val="CharDefText"/>
        </w:rPr>
        <w:t>business</w:t>
      </w:r>
      <w:r>
        <w:rPr>
          <w:b/>
        </w:rPr>
        <w:t>”</w:t>
      </w:r>
      <w:r>
        <w:t xml:space="preserve"> means the business of a settlement agent but does not have that meaning in paragraph (a) of the definition of “business transaction”, in paragraph (b) of the definition of “reward” or in section 45(a);</w:t>
      </w:r>
    </w:p>
    <w:p>
      <w:pPr>
        <w:pStyle w:val="Defstart"/>
      </w:pPr>
      <w:r>
        <w:rPr>
          <w:b/>
        </w:rPr>
        <w:tab/>
        <w:t>“</w:t>
      </w:r>
      <w:r>
        <w:rPr>
          <w:rStyle w:val="CharDefText"/>
        </w:rPr>
        <w:t>business</w:t>
      </w:r>
      <w:r>
        <w:rPr>
          <w:b/>
        </w:rPr>
        <w:t>”</w:t>
      </w:r>
      <w:r>
        <w:t xml:space="preserve"> in paragraph (a) of the definition of “business transaction” in paragraph (b) of the definition of “reward” and in section 45(a) means any commercial undertaking or enterprise in respect of any profession, trade, employment, vocation, or calling within the State;</w:t>
      </w:r>
    </w:p>
    <w:p>
      <w:pPr>
        <w:pStyle w:val="Defstart"/>
      </w:pPr>
      <w:r>
        <w:rPr>
          <w:b/>
        </w:rPr>
        <w:tab/>
        <w:t>“</w:t>
      </w:r>
      <w:r>
        <w:rPr>
          <w:rStyle w:val="CharDefText"/>
        </w:rPr>
        <w:t>business settlement agent</w:t>
      </w:r>
      <w:r>
        <w:rPr>
          <w:b/>
        </w:rPr>
        <w:t>”</w:t>
      </w:r>
      <w:r>
        <w:t xml:space="preserve"> means any person who arranges or effects a settlement of a business transaction for reward or who, whether for reward or otherwise, carries on business arranging or effecting settlements of business transactions and whether or not that business is carried on in conjunction with or as part of or associated with any other profession, trade, occupation or employment, but does not include the exceptions specified in section 4(1);</w:t>
      </w:r>
    </w:p>
    <w:p>
      <w:pPr>
        <w:pStyle w:val="Defstart"/>
      </w:pPr>
      <w:r>
        <w:rPr>
          <w:b/>
        </w:rPr>
        <w:tab/>
        <w:t>“</w:t>
      </w:r>
      <w:r>
        <w:rPr>
          <w:rStyle w:val="CharDefText"/>
        </w:rPr>
        <w:t>business transaction</w:t>
      </w:r>
      <w:r>
        <w:rPr>
          <w:b/>
        </w:rPr>
        <w:t>”</w:t>
      </w:r>
      <w:r>
        <w:t>— </w:t>
      </w:r>
    </w:p>
    <w:p>
      <w:pPr>
        <w:pStyle w:val="Defpara"/>
      </w:pPr>
      <w:r>
        <w:tab/>
        <w:t>(a)</w:t>
      </w:r>
      <w:r>
        <w:tab/>
        <w:t>means the disposal by sale or exchange, and the acquisition by purchase or exchange of a business and any share or interest in a business or the goodwill thereof within the State; and</w:t>
      </w:r>
    </w:p>
    <w:p>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pPr>
        <w:pStyle w:val="Defstart"/>
      </w:pPr>
      <w:r>
        <w:tab/>
      </w:r>
      <w:r>
        <w:tab/>
        <w:t>but does not include — </w:t>
      </w:r>
    </w:p>
    <w:p>
      <w:pPr>
        <w:pStyle w:val="Defpara"/>
      </w:pPr>
      <w:r>
        <w:tab/>
        <w:t>(c)</w:t>
      </w:r>
      <w:r>
        <w:tab/>
        <w:t>the sale, exchange, or other disposal or a purchase, exchange, or other acquisition of a share in the capital of a body corporate or an option in respect thereof;</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fidelity guarantee fee</w:t>
      </w:r>
      <w:r>
        <w:rPr>
          <w:b/>
        </w:rPr>
        <w:t>”</w:t>
      </w:r>
      <w:r>
        <w:t xml:space="preserve"> means the fee prescribed pursuant to section 92(1);</w:t>
      </w:r>
    </w:p>
    <w:p>
      <w:pPr>
        <w:pStyle w:val="Defstart"/>
      </w:pPr>
      <w:r>
        <w:rPr>
          <w:b/>
        </w:rPr>
        <w:tab/>
        <w:t>“</w:t>
      </w:r>
      <w:r>
        <w:rPr>
          <w:rStyle w:val="CharDefText"/>
        </w:rPr>
        <w:t>Fidelity Guarantee Fund</w:t>
      </w:r>
      <w:r>
        <w:rPr>
          <w:b/>
        </w:rPr>
        <w:t>”</w:t>
      </w:r>
      <w:r>
        <w:t xml:space="preserve"> or </w:t>
      </w:r>
      <w:r>
        <w:rPr>
          <w:b/>
        </w:rPr>
        <w:t>“</w:t>
      </w:r>
      <w:r>
        <w:rPr>
          <w:rStyle w:val="CharDefText"/>
        </w:rPr>
        <w:t>Fund</w:t>
      </w:r>
      <w:r>
        <w:rPr>
          <w:b/>
        </w:rPr>
        <w:t>”</w:t>
      </w:r>
      <w:r>
        <w:t xml:space="preserve"> means the fund established by section 87;</w:t>
      </w:r>
    </w:p>
    <w:p>
      <w:pPr>
        <w:pStyle w:val="Defstart"/>
      </w:pPr>
      <w:r>
        <w:rPr>
          <w:b/>
        </w:rPr>
        <w:tab/>
        <w:t>“</w:t>
      </w:r>
      <w:r>
        <w:rPr>
          <w:rStyle w:val="CharDefText"/>
        </w:rPr>
        <w:t>General Purpose Fund</w:t>
      </w:r>
      <w:r>
        <w:rPr>
          <w:b/>
        </w:rPr>
        <w:t>”</w:t>
      </w:r>
      <w:r>
        <w:t xml:space="preserve"> means the Education and General Purpose Fund established under section 102A(1);</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 real estate settlement agent or of a business settlement agent under this Act;</w:t>
      </w:r>
    </w:p>
    <w:p>
      <w:pPr>
        <w:pStyle w:val="Defstart"/>
      </w:pPr>
      <w:r>
        <w:rPr>
          <w:b/>
        </w:rPr>
        <w:tab/>
        <w:t>“</w:t>
      </w:r>
      <w:r>
        <w:rPr>
          <w:rStyle w:val="CharDefText"/>
        </w:rPr>
        <w:t>licensed</w:t>
      </w:r>
      <w:r>
        <w:rPr>
          <w:b/>
        </w:rPr>
        <w:t>”</w:t>
      </w:r>
      <w:r>
        <w:t xml:space="preserve"> means licensed as a settlement agent under this Act;</w:t>
      </w:r>
    </w:p>
    <w:p>
      <w:pPr>
        <w:pStyle w:val="Defstart"/>
      </w:pPr>
      <w:r>
        <w:rPr>
          <w:b/>
        </w:rPr>
        <w:tab/>
        <w:t>“</w:t>
      </w:r>
      <w:r>
        <w:rPr>
          <w:rStyle w:val="CharDefText"/>
        </w:rPr>
        <w:t>licensee</w:t>
      </w:r>
      <w:r>
        <w:rPr>
          <w:b/>
        </w:rPr>
        <w:t>”</w:t>
      </w:r>
      <w:r>
        <w:t xml:space="preserve"> means a person licensed under this Act;</w:t>
      </w:r>
    </w:p>
    <w:p>
      <w:pPr>
        <w:pStyle w:val="Defstart"/>
      </w:pPr>
      <w:r>
        <w:rPr>
          <w:b/>
        </w:rPr>
        <w:tab/>
        <w:t>“</w:t>
      </w:r>
      <w:r>
        <w:rPr>
          <w:rStyle w:val="CharDefText"/>
        </w:rPr>
        <w:t>member</w:t>
      </w:r>
      <w:r>
        <w:rPr>
          <w:b/>
        </w:rPr>
        <w:t>”</w:t>
      </w:r>
      <w:r>
        <w:t xml:space="preserve"> means a member of the Board;</w:t>
      </w:r>
    </w:p>
    <w:p>
      <w:pPr>
        <w:pStyle w:val="Defstart"/>
      </w:pPr>
      <w:r>
        <w:rPr>
          <w:b/>
        </w:rPr>
        <w:tab/>
        <w:t>“</w:t>
      </w:r>
      <w:r>
        <w:rPr>
          <w:rStyle w:val="CharDefText"/>
        </w:rPr>
        <w:t>real estate</w:t>
      </w:r>
      <w:r>
        <w:rPr>
          <w:b/>
        </w:rPr>
        <w:t>”</w:t>
      </w:r>
      <w:r>
        <w:t xml:space="preserve"> or </w:t>
      </w:r>
      <w:r>
        <w:rPr>
          <w:b/>
        </w:rPr>
        <w:t>“</w:t>
      </w:r>
      <w:r>
        <w:rPr>
          <w:rStyle w:val="CharDefText"/>
        </w:rPr>
        <w:t>land</w:t>
      </w:r>
      <w:r>
        <w:rPr>
          <w:b/>
        </w:rPr>
        <w:t>”</w:t>
      </w:r>
      <w:r>
        <w:t xml:space="preserve"> means land within the State and includes buildings or parts of buildings within the State;</w:t>
      </w:r>
    </w:p>
    <w:p>
      <w:pPr>
        <w:pStyle w:val="Defstart"/>
      </w:pPr>
      <w:r>
        <w:rPr>
          <w:b/>
        </w:rPr>
        <w:tab/>
        <w:t>“</w:t>
      </w:r>
      <w:r>
        <w:rPr>
          <w:rStyle w:val="CharDefText"/>
        </w:rPr>
        <w:t>real estate settlement agent</w:t>
      </w:r>
      <w:r>
        <w:rPr>
          <w:b/>
        </w:rPr>
        <w: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pPr>
        <w:pStyle w:val="Defstart"/>
        <w:keepNext/>
      </w:pPr>
      <w:r>
        <w:rPr>
          <w:b/>
        </w:rPr>
        <w:tab/>
        <w:t>“</w:t>
      </w:r>
      <w:r>
        <w:rPr>
          <w:rStyle w:val="CharDefText"/>
        </w:rPr>
        <w:t>real estate transaction</w:t>
      </w:r>
      <w:r>
        <w:rPr>
          <w:b/>
        </w:rPr>
        <w:t>”</w:t>
      </w:r>
      <w:r>
        <w:t> — </w:t>
      </w:r>
    </w:p>
    <w:p>
      <w:pPr>
        <w:pStyle w:val="Defpara"/>
      </w:pPr>
      <w:r>
        <w:tab/>
        <w:t>(a)</w:t>
      </w:r>
      <w:r>
        <w:tab/>
        <w:t>means the disposal by sale or exchange, and the acquisition by purchase or exchange of real estate; and</w:t>
      </w:r>
    </w:p>
    <w:p>
      <w:pPr>
        <w:pStyle w:val="Defpara"/>
      </w:pPr>
      <w:r>
        <w:tab/>
        <w:t>(b)</w:t>
      </w:r>
      <w:r>
        <w:tab/>
        <w:t>includes any disposal by sale or exchange, or any acquisition by purchase or exchange of goods, chattels or other property relating to a real estate transaction of a kind specified in paragraph (a);</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renewal</w:t>
      </w:r>
      <w:r>
        <w:rPr>
          <w:b/>
        </w:rPr>
        <w:t>”</w:t>
      </w:r>
      <w:r>
        <w:t xml:space="preserve"> means renewal of a triennial certificate;</w:t>
      </w:r>
    </w:p>
    <w:p>
      <w:pPr>
        <w:pStyle w:val="Defstart"/>
      </w:pPr>
      <w:r>
        <w:rPr>
          <w:b/>
        </w:rPr>
        <w:tab/>
        <w:t>“</w:t>
      </w:r>
      <w:r>
        <w:rPr>
          <w:rStyle w:val="CharDefText"/>
        </w:rPr>
        <w:t>reward</w:t>
      </w:r>
      <w:r>
        <w:rPr>
          <w:b/>
        </w:rPr>
        <w:t>”</w:t>
      </w:r>
      <w:r>
        <w:t xml:space="preserve"> means any valuable consideration in money or moneys worth paid or received as commission or remuneration — </w:t>
      </w:r>
    </w:p>
    <w:p>
      <w:pPr>
        <w:pStyle w:val="Defpara"/>
      </w:pPr>
      <w:r>
        <w:tab/>
        <w:t>(a)</w:t>
      </w:r>
      <w:r>
        <w:tab/>
        <w:t>whether payable in cash or kind;</w:t>
      </w:r>
    </w:p>
    <w:p>
      <w:pPr>
        <w:pStyle w:val="Defpara"/>
      </w:pPr>
      <w:r>
        <w:tab/>
        <w:t>(b)</w:t>
      </w:r>
      <w:r>
        <w:tab/>
        <w:t>whether paid or received directly or indirectly; and</w:t>
      </w:r>
    </w:p>
    <w:p>
      <w:pPr>
        <w:pStyle w:val="Defpara"/>
      </w:pPr>
      <w:r>
        <w:tab/>
        <w:t>(c)</w:t>
      </w:r>
      <w:r>
        <w:tab/>
        <w:t>whether paid or received separately or as a component of a composite price or fee paid or received in respect of any transaction or service;</w:t>
      </w:r>
    </w:p>
    <w:p>
      <w:pPr>
        <w:pStyle w:val="Defstart"/>
      </w:pPr>
      <w:r>
        <w:rPr>
          <w:b/>
        </w:rPr>
        <w:tab/>
        <w:t>“</w:t>
      </w:r>
      <w:r>
        <w:rPr>
          <w:rStyle w:val="CharDefText"/>
        </w:rPr>
        <w:t>settlement</w:t>
      </w:r>
      <w:r>
        <w:rPr>
          <w:b/>
        </w:rPr>
        <w:t>”</w:t>
      </w:r>
      <w:r>
        <w:t xml:space="preserve"> means the completion of a real estate transaction or a business transaction (as the case may be) by payment of the balance of purchase price in respect to such real estate transaction or business transaction;</w:t>
      </w:r>
    </w:p>
    <w:p>
      <w:pPr>
        <w:pStyle w:val="Defstart"/>
      </w:pPr>
      <w:r>
        <w:rPr>
          <w:b/>
        </w:rPr>
        <w:tab/>
        <w:t>“</w:t>
      </w:r>
      <w:r>
        <w:rPr>
          <w:rStyle w:val="CharDefText"/>
        </w:rPr>
        <w:t>settlement agent</w:t>
      </w:r>
      <w:r>
        <w:rPr>
          <w:b/>
        </w:rPr>
        <w:t>”</w:t>
      </w:r>
      <w:r>
        <w:t xml:space="preserve"> means a person who is a real estate settlement agent or a business settlement agent or both a real estate settlement agent and a business settlement agent but does not include the exceptions specified in section 4(1);</w:t>
      </w:r>
    </w:p>
    <w:p>
      <w:pPr>
        <w:pStyle w:val="Defstart"/>
      </w:pPr>
      <w:r>
        <w:rPr>
          <w:b/>
        </w:rPr>
        <w:tab/>
        <w:t>“</w:t>
      </w:r>
      <w:r>
        <w:rPr>
          <w:rStyle w:val="CharDefText"/>
        </w:rPr>
        <w:t>settlement agents’ code of conduct</w:t>
      </w:r>
      <w:r>
        <w:rPr>
          <w:b/>
        </w:rPr>
        <w:t>”</w:t>
      </w:r>
      <w:r>
        <w:t xml:space="preserve"> or </w:t>
      </w:r>
      <w:r>
        <w:rPr>
          <w:b/>
        </w:rPr>
        <w:t>“</w:t>
      </w:r>
      <w:r>
        <w:rPr>
          <w:rStyle w:val="CharDefText"/>
        </w:rPr>
        <w:t>code of conduct</w:t>
      </w:r>
      <w:r>
        <w:rPr>
          <w:b/>
        </w:rPr>
        <w:t>”</w:t>
      </w:r>
      <w:r>
        <w:t xml:space="preserve"> means the code prescribed under section 82;</w:t>
      </w:r>
    </w:p>
    <w:p>
      <w:pPr>
        <w:pStyle w:val="Defstart"/>
      </w:pPr>
      <w:r>
        <w:rPr>
          <w:b/>
        </w:rPr>
        <w:tab/>
        <w:t>“</w:t>
      </w:r>
      <w:r>
        <w:rPr>
          <w:rStyle w:val="CharDefText"/>
        </w:rPr>
        <w:t>supervisor</w:t>
      </w:r>
      <w:r>
        <w:rPr>
          <w:b/>
        </w:rPr>
        <w:t>”</w:t>
      </w:r>
      <w:r>
        <w:t xml:space="preserve"> means a person appointed by the Board as supervisor of the business of a settlement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 settlement agent;</w:t>
      </w:r>
    </w:p>
    <w:p>
      <w:pPr>
        <w:pStyle w:val="Defstart"/>
      </w:pPr>
      <w:r>
        <w:rPr>
          <w:b/>
        </w:rPr>
        <w:tab/>
        <w:t>“</w:t>
      </w:r>
      <w:r>
        <w:rPr>
          <w:rStyle w:val="CharDefText"/>
        </w:rPr>
        <w:t>trustee company</w:t>
      </w:r>
      <w:r>
        <w:rPr>
          <w:b/>
        </w:rPr>
        <w:t>”</w:t>
      </w:r>
      <w:r>
        <w:t xml:space="preserve"> means a body corporate authorised by the law of any State or Territory of the Commonwealth to apply for and obtain, in its own name, a grant of probate or of letters of administration of the estate of a deceased person.</w:t>
      </w:r>
    </w:p>
    <w:p>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pPr>
        <w:pStyle w:val="Footnotesection"/>
      </w:pPr>
      <w:r>
        <w:tab/>
        <w:t xml:space="preserve">[Section 3 amended by No. 98 of 1985 s. 3; No. 59 of 1995 s. 58; No. 26 of 1999 s. 102(2); No. 65 of 2003 s. 66(2); No. 55 of 2004 s. 1081.] </w:t>
      </w:r>
    </w:p>
    <w:p>
      <w:pPr>
        <w:pStyle w:val="Heading5"/>
        <w:rPr>
          <w:snapToGrid w:val="0"/>
        </w:rPr>
      </w:pPr>
      <w:bookmarkStart w:id="33" w:name="_Toc480623060"/>
      <w:bookmarkStart w:id="34" w:name="_Toc520186066"/>
      <w:bookmarkStart w:id="35" w:name="_Toc108238545"/>
      <w:bookmarkStart w:id="36" w:name="_Toc124125540"/>
      <w:bookmarkStart w:id="37" w:name="_Toc155600267"/>
      <w:r>
        <w:rPr>
          <w:rStyle w:val="CharSectno"/>
        </w:rPr>
        <w:t>4</w:t>
      </w:r>
      <w:r>
        <w:rPr>
          <w:snapToGrid w:val="0"/>
        </w:rPr>
        <w:t>.</w:t>
      </w:r>
      <w:r>
        <w:rPr>
          <w:snapToGrid w:val="0"/>
        </w:rPr>
        <w:tab/>
        <w:t>Application and construction</w:t>
      </w:r>
      <w:bookmarkEnd w:id="33"/>
      <w:bookmarkEnd w:id="34"/>
      <w:bookmarkEnd w:id="35"/>
      <w:bookmarkEnd w:id="36"/>
      <w:bookmarkEnd w:id="37"/>
      <w:r>
        <w:rPr>
          <w:snapToGrid w:val="0"/>
        </w:rPr>
        <w:t xml:space="preserve"> </w:t>
      </w:r>
    </w:p>
    <w:p>
      <w:pPr>
        <w:pStyle w:val="Subsection"/>
        <w:keepNext/>
        <w:rPr>
          <w:snapToGrid w:val="0"/>
        </w:rPr>
      </w:pPr>
      <w:r>
        <w:rPr>
          <w:snapToGrid w:val="0"/>
        </w:rPr>
        <w:tab/>
        <w:t>(1)</w:t>
      </w:r>
      <w:r>
        <w:rPr>
          <w:snapToGrid w:val="0"/>
        </w:rPr>
        <w:tab/>
        <w:t xml:space="preserve">Exceptions to the meaning of </w:t>
      </w:r>
      <w:r>
        <w:rPr>
          <w:b/>
          <w:snapToGrid w:val="0"/>
        </w:rPr>
        <w:t>“</w:t>
      </w:r>
      <w:r>
        <w:rPr>
          <w:rStyle w:val="CharDefText"/>
        </w:rPr>
        <w:t>settlement agent</w:t>
      </w:r>
      <w:r>
        <w:rPr>
          <w:b/>
          <w:snapToGrid w:val="0"/>
        </w:rPr>
        <w:t>”</w:t>
      </w:r>
      <w:r>
        <w:rPr>
          <w:snapToGrid w:val="0"/>
        </w:rPr>
        <w:t xml:space="preserve"> in and for the purposes of this Act are as follows — </w:t>
      </w:r>
    </w:p>
    <w:p>
      <w:pPr>
        <w:pStyle w:val="Indenta"/>
        <w:rPr>
          <w:snapToGrid w:val="0"/>
        </w:rPr>
      </w:pPr>
      <w:r>
        <w:rPr>
          <w:snapToGrid w:val="0"/>
        </w:rPr>
        <w:tab/>
        <w:t>(a)</w:t>
      </w:r>
      <w:r>
        <w:rPr>
          <w:snapToGrid w:val="0"/>
        </w:rPr>
        <w:tab/>
        <w:t>legal practitioners, when acting in the course of the practice of their profession as such;</w:t>
      </w:r>
    </w:p>
    <w:p>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which a current exemption under section 26A or 26B, as the case may be, applies; </w:t>
      </w:r>
    </w:p>
    <w:p>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pPr>
        <w:pStyle w:val="Subsection"/>
        <w:keepNext/>
        <w:rPr>
          <w:snapToGrid w:val="0"/>
        </w:rPr>
      </w:pPr>
      <w:r>
        <w:rPr>
          <w:snapToGrid w:val="0"/>
        </w:rPr>
        <w:tab/>
        <w:t>(2)</w:t>
      </w:r>
      <w:r>
        <w:rPr>
          <w:snapToGrid w:val="0"/>
        </w:rPr>
        <w:tab/>
        <w:t xml:space="preserve">The provisions of section 29(1)(c), section 34(2)(a) and (b), section 35, Division 2 of Part IV, and Part V shall not </w:t>
      </w:r>
      <w:r>
        <w:t>apply to a bank in its capacity as a settlement agent, or to a trustee company.</w:t>
      </w:r>
    </w:p>
    <w:p>
      <w:pPr>
        <w:pStyle w:val="Footnotesection"/>
      </w:pPr>
      <w:r>
        <w:tab/>
        <w:t xml:space="preserve">[Section 4 amended by No. 10 of 1982 s. 28; No. 64 of 1982 s. 2; No. 59 of 1995 s. 59; No. 26 of 1999 s. 102(3); No. 10 of 2001 s. 222; No. 21 of 2003 s. 22.] </w:t>
      </w:r>
    </w:p>
    <w:p>
      <w:pPr>
        <w:pStyle w:val="Heading2"/>
      </w:pPr>
      <w:bookmarkStart w:id="38" w:name="_Toc89514437"/>
      <w:bookmarkStart w:id="39" w:name="_Toc89753194"/>
      <w:bookmarkStart w:id="40" w:name="_Toc91307457"/>
      <w:bookmarkStart w:id="41" w:name="_Toc92705693"/>
      <w:bookmarkStart w:id="42" w:name="_Toc96932767"/>
      <w:bookmarkStart w:id="43" w:name="_Toc101079172"/>
      <w:bookmarkStart w:id="44" w:name="_Toc101080776"/>
      <w:bookmarkStart w:id="45" w:name="_Toc104782060"/>
      <w:bookmarkStart w:id="46" w:name="_Toc108238546"/>
      <w:bookmarkStart w:id="47" w:name="_Toc108238713"/>
      <w:bookmarkStart w:id="48" w:name="_Toc110324991"/>
      <w:bookmarkStart w:id="49" w:name="_Toc110325293"/>
      <w:bookmarkStart w:id="50" w:name="_Toc121566694"/>
      <w:bookmarkStart w:id="51" w:name="_Toc124125541"/>
      <w:bookmarkStart w:id="52" w:name="_Toc124141007"/>
      <w:bookmarkStart w:id="53" w:name="_Toc131414672"/>
      <w:bookmarkStart w:id="54" w:name="_Toc155600268"/>
      <w:r>
        <w:rPr>
          <w:rStyle w:val="CharPartNo"/>
        </w:rPr>
        <w:t>Part II</w:t>
      </w:r>
      <w:r>
        <w:t> — </w:t>
      </w:r>
      <w:r>
        <w:rPr>
          <w:rStyle w:val="CharPartText"/>
        </w:rPr>
        <w:t>Settlement Agents Supervisory Board</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Pr>
          <w:rStyle w:val="CharPartText"/>
        </w:rPr>
        <w:t xml:space="preserve"> </w:t>
      </w:r>
    </w:p>
    <w:p>
      <w:pPr>
        <w:pStyle w:val="Heading3"/>
        <w:rPr>
          <w:snapToGrid w:val="0"/>
        </w:rPr>
      </w:pPr>
      <w:bookmarkStart w:id="55" w:name="_Toc89514438"/>
      <w:bookmarkStart w:id="56" w:name="_Toc89753195"/>
      <w:bookmarkStart w:id="57" w:name="_Toc91307458"/>
      <w:bookmarkStart w:id="58" w:name="_Toc92705694"/>
      <w:bookmarkStart w:id="59" w:name="_Toc96932768"/>
      <w:bookmarkStart w:id="60" w:name="_Toc101079173"/>
      <w:bookmarkStart w:id="61" w:name="_Toc101080777"/>
      <w:bookmarkStart w:id="62" w:name="_Toc104782061"/>
      <w:bookmarkStart w:id="63" w:name="_Toc108238547"/>
      <w:bookmarkStart w:id="64" w:name="_Toc108238714"/>
      <w:bookmarkStart w:id="65" w:name="_Toc110324992"/>
      <w:bookmarkStart w:id="66" w:name="_Toc110325294"/>
      <w:bookmarkStart w:id="67" w:name="_Toc121566695"/>
      <w:bookmarkStart w:id="68" w:name="_Toc124125542"/>
      <w:bookmarkStart w:id="69" w:name="_Toc124141008"/>
      <w:bookmarkStart w:id="70" w:name="_Toc131414673"/>
      <w:bookmarkStart w:id="71" w:name="_Toc155600269"/>
      <w:r>
        <w:rPr>
          <w:rStyle w:val="CharDivNo"/>
        </w:rPr>
        <w:t>Division 1</w:t>
      </w:r>
      <w:r>
        <w:rPr>
          <w:snapToGrid w:val="0"/>
        </w:rPr>
        <w:t> — </w:t>
      </w:r>
      <w:r>
        <w:rPr>
          <w:rStyle w:val="CharDivText"/>
        </w:rPr>
        <w:t>General</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DivText"/>
        </w:rPr>
        <w:t xml:space="preserve"> </w:t>
      </w:r>
    </w:p>
    <w:p>
      <w:pPr>
        <w:pStyle w:val="Heading5"/>
        <w:rPr>
          <w:snapToGrid w:val="0"/>
        </w:rPr>
      </w:pPr>
      <w:bookmarkStart w:id="72" w:name="_Toc480623061"/>
      <w:bookmarkStart w:id="73" w:name="_Toc520186067"/>
      <w:bookmarkStart w:id="74" w:name="_Toc108238548"/>
      <w:bookmarkStart w:id="75" w:name="_Toc124125543"/>
      <w:bookmarkStart w:id="76" w:name="_Toc155600270"/>
      <w:r>
        <w:rPr>
          <w:rStyle w:val="CharSectno"/>
        </w:rPr>
        <w:t>5</w:t>
      </w:r>
      <w:r>
        <w:rPr>
          <w:snapToGrid w:val="0"/>
        </w:rPr>
        <w:t>.</w:t>
      </w:r>
      <w:r>
        <w:rPr>
          <w:snapToGrid w:val="0"/>
        </w:rPr>
        <w:tab/>
        <w:t>The Board</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For the purposes of this Act there shall be a board to be known as the “Settlement Agents Supervisory Board”.</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77" w:name="_Toc480623062"/>
      <w:bookmarkStart w:id="78" w:name="_Toc520186068"/>
      <w:bookmarkStart w:id="79" w:name="_Toc108238549"/>
      <w:bookmarkStart w:id="80" w:name="_Toc124125544"/>
      <w:bookmarkStart w:id="81" w:name="_Toc155600271"/>
      <w:r>
        <w:rPr>
          <w:rStyle w:val="CharSectno"/>
        </w:rPr>
        <w:t>6</w:t>
      </w:r>
      <w:r>
        <w:rPr>
          <w:snapToGrid w:val="0"/>
        </w:rPr>
        <w:t>.</w:t>
      </w:r>
      <w:r>
        <w:rPr>
          <w:snapToGrid w:val="0"/>
        </w:rPr>
        <w:tab/>
        <w:t>Composition of Board</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settlement agent, shall be appointed to be a member and Chairman of the Board;</w:t>
      </w:r>
    </w:p>
    <w:p>
      <w:pPr>
        <w:pStyle w:val="Indenta"/>
        <w:rPr>
          <w:snapToGrid w:val="0"/>
        </w:rPr>
      </w:pPr>
      <w:r>
        <w:rPr>
          <w:snapToGrid w:val="0"/>
        </w:rPr>
        <w:tab/>
        <w:t>(b)</w:t>
      </w:r>
      <w:r>
        <w:rPr>
          <w:snapToGrid w:val="0"/>
        </w:rPr>
        <w:tab/>
        <w:t>one, being a person who is not a licensed settlement agent, shall be a person who is a legal practitioner;</w:t>
      </w:r>
    </w:p>
    <w:p>
      <w:pPr>
        <w:pStyle w:val="Indenta"/>
        <w:rPr>
          <w:snapToGrid w:val="0"/>
        </w:rPr>
      </w:pPr>
      <w:r>
        <w:rPr>
          <w:snapToGrid w:val="0"/>
        </w:rPr>
        <w:tab/>
        <w:t>(c)</w:t>
      </w:r>
      <w:r>
        <w:rPr>
          <w:snapToGrid w:val="0"/>
        </w:rPr>
        <w:tab/>
        <w:t>one, being a person who is not a licensed settlement agent, shall be a person who is experienced in commercial practice; and</w:t>
      </w:r>
    </w:p>
    <w:p>
      <w:pPr>
        <w:pStyle w:val="Indenta"/>
        <w:rPr>
          <w:snapToGrid w:val="0"/>
        </w:rPr>
      </w:pPr>
      <w:r>
        <w:rPr>
          <w:snapToGrid w:val="0"/>
        </w:rPr>
        <w:tab/>
        <w:t>(d)</w:t>
      </w:r>
      <w:r>
        <w:rPr>
          <w:snapToGrid w:val="0"/>
        </w:rPr>
        <w:tab/>
        <w:t>2 shall be persons who are licensed settlement agents and elected for appointment by licensed settlement agents (hereinafter called elective members).</w:t>
      </w:r>
    </w:p>
    <w:p>
      <w:pPr>
        <w:pStyle w:val="Subsection"/>
        <w:rPr>
          <w:snapToGrid w:val="0"/>
        </w:rPr>
      </w:pPr>
      <w:r>
        <w:rPr>
          <w:snapToGrid w:val="0"/>
        </w:rPr>
        <w:tab/>
        <w:t>(2)</w:t>
      </w:r>
      <w:r>
        <w:rPr>
          <w:snapToGrid w:val="0"/>
        </w:rPr>
        <w:tab/>
        <w:t>Notwithstanding subsection 1(d), the Board as first constituted shall not include any member of the kind referred to in that paragraph, but shall include 2 persons who are settlement agents nominated for appointment by the Minister.</w:t>
      </w:r>
    </w:p>
    <w:p>
      <w:pPr>
        <w:pStyle w:val="Subsection"/>
        <w:rPr>
          <w:snapToGrid w:val="0"/>
        </w:rPr>
      </w:pPr>
      <w:r>
        <w:rPr>
          <w:snapToGrid w:val="0"/>
        </w:rPr>
        <w:tab/>
        <w:t>(3)</w:t>
      </w:r>
      <w:r>
        <w:rPr>
          <w:snapToGrid w:val="0"/>
        </w:rPr>
        <w:tab/>
        <w:t>The Minister shall appoint a returning officer for each election of an elective member.</w:t>
      </w:r>
    </w:p>
    <w:p>
      <w:pPr>
        <w:pStyle w:val="Subsection"/>
        <w:rPr>
          <w:snapToGrid w:val="0"/>
        </w:rPr>
      </w:pPr>
      <w:r>
        <w:rPr>
          <w:snapToGrid w:val="0"/>
        </w:rPr>
        <w:tab/>
        <w:t>(4)</w:t>
      </w:r>
      <w:r>
        <w:rPr>
          <w:snapToGrid w:val="0"/>
        </w:rPr>
        <w:tab/>
        <w:t>The election of an elective member shall be held and conducted in such manner and at such times as may be prescribed.</w:t>
      </w:r>
    </w:p>
    <w:p>
      <w:pPr>
        <w:pStyle w:val="Subsection"/>
        <w:rPr>
          <w:snapToGrid w:val="0"/>
        </w:rPr>
      </w:pPr>
      <w:r>
        <w:rPr>
          <w:snapToGrid w:val="0"/>
        </w:rPr>
        <w:tab/>
        <w:t>(5)</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(6)</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(7)</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82" w:name="_Toc480623063"/>
      <w:bookmarkStart w:id="83" w:name="_Toc520186069"/>
      <w:bookmarkStart w:id="84" w:name="_Toc108238550"/>
      <w:bookmarkStart w:id="85" w:name="_Toc124125545"/>
      <w:bookmarkStart w:id="86" w:name="_Toc155600272"/>
      <w:r>
        <w:rPr>
          <w:rStyle w:val="CharSectno"/>
        </w:rPr>
        <w:t>7</w:t>
      </w:r>
      <w:r>
        <w:rPr>
          <w:snapToGrid w:val="0"/>
        </w:rPr>
        <w:t>.</w:t>
      </w:r>
      <w:r>
        <w:rPr>
          <w:snapToGrid w:val="0"/>
        </w:rPr>
        <w:tab/>
        <w:t>Term of office</w:t>
      </w:r>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For the purposes of subsection (1) a person nominated for appointment by the Minister pursuant to section 6(2) is not an elective member.</w:t>
      </w:r>
    </w:p>
    <w:p>
      <w:pPr>
        <w:pStyle w:val="Subsection"/>
        <w:rPr>
          <w:snapToGrid w:val="0"/>
        </w:rPr>
      </w:pPr>
      <w:r>
        <w:rPr>
          <w:snapToGrid w:val="0"/>
        </w:rPr>
        <w:tab/>
        <w:t>(3)</w:t>
      </w:r>
      <w:r>
        <w:rPr>
          <w:snapToGrid w:val="0"/>
        </w:rPr>
        <w:tab/>
        <w:t>The Minister may grant leave of absence to a member on such terms and conditions as the Minister determines.</w:t>
      </w:r>
    </w:p>
    <w:p>
      <w:pPr>
        <w:pStyle w:val="Subsection"/>
        <w:rPr>
          <w:snapToGrid w:val="0"/>
        </w:rPr>
      </w:pPr>
      <w:r>
        <w:rPr>
          <w:snapToGrid w:val="0"/>
        </w:rPr>
        <w:tab/>
        <w:t>(4)</w:t>
      </w:r>
      <w:r>
        <w:rPr>
          <w:snapToGrid w:val="0"/>
        </w:rPr>
        <w:tab/>
        <w:t>The Governor may terminate the appointment of a member for inability, inefficiency, or misbehaviour.</w:t>
      </w:r>
    </w:p>
    <w:p>
      <w:pPr>
        <w:pStyle w:val="Subsection"/>
        <w:rPr>
          <w:snapToGrid w:val="0"/>
        </w:rPr>
      </w:pPr>
      <w:r>
        <w:rPr>
          <w:snapToGrid w:val="0"/>
        </w:rPr>
        <w:tab/>
        <w:t>(5)</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appointed or elected in the manner in which the member was appointed or elected.</w:t>
      </w:r>
    </w:p>
    <w:p>
      <w:pPr>
        <w:pStyle w:val="Heading5"/>
        <w:rPr>
          <w:snapToGrid w:val="0"/>
        </w:rPr>
      </w:pPr>
      <w:bookmarkStart w:id="87" w:name="_Toc480623064"/>
      <w:bookmarkStart w:id="88" w:name="_Toc520186070"/>
      <w:bookmarkStart w:id="89" w:name="_Toc108238551"/>
      <w:bookmarkStart w:id="90" w:name="_Toc124125546"/>
      <w:bookmarkStart w:id="91" w:name="_Toc155600273"/>
      <w:r>
        <w:rPr>
          <w:rStyle w:val="CharSectno"/>
        </w:rPr>
        <w:t>8</w:t>
      </w:r>
      <w:r>
        <w:rPr>
          <w:snapToGrid w:val="0"/>
        </w:rPr>
        <w:t>.</w:t>
      </w:r>
      <w:r>
        <w:rPr>
          <w:snapToGrid w:val="0"/>
        </w:rPr>
        <w:tab/>
        <w:t>Functions of the Board</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rPr>
          <w:snapToGrid w:val="0"/>
        </w:rPr>
      </w:pPr>
      <w:r>
        <w:rPr>
          <w:snapToGrid w:val="0"/>
        </w:rPr>
        <w:tab/>
        <w:t>(ca)</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settlement agents; or</w:t>
      </w:r>
    </w:p>
    <w:p>
      <w:pPr>
        <w:pStyle w:val="Indenti"/>
        <w:rPr>
          <w:snapToGrid w:val="0"/>
        </w:rPr>
      </w:pPr>
      <w:r>
        <w:rPr>
          <w:snapToGrid w:val="0"/>
        </w:rPr>
        <w:tab/>
        <w:t>(iv)</w:t>
      </w:r>
      <w:r>
        <w:rPr>
          <w:snapToGrid w:val="0"/>
        </w:rPr>
        <w:tab/>
        <w:t>any other prescribed matter;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carry out such other functions as are conferred upon the Board under this Act.</w:t>
      </w:r>
    </w:p>
    <w:p>
      <w:pPr>
        <w:pStyle w:val="Subsection"/>
        <w:rPr>
          <w:snapToGrid w:val="0"/>
        </w:rPr>
      </w:pPr>
      <w:r>
        <w:rPr>
          <w:snapToGrid w:val="0"/>
        </w:rPr>
        <w:tab/>
        <w:t>(2)</w:t>
      </w:r>
      <w:r>
        <w:rPr>
          <w:snapToGrid w:val="0"/>
        </w:rPr>
        <w:tab/>
        <w:t>The Board has power to do all things as are necessary or convenient for or in connection with the performance of its functions.</w:t>
      </w:r>
    </w:p>
    <w:p>
      <w:pPr>
        <w:pStyle w:val="Footnotesection"/>
      </w:pPr>
      <w:r>
        <w:tab/>
        <w:t xml:space="preserve">[Section 8 amended by No. 59 of 1995 s. 60.] </w:t>
      </w:r>
    </w:p>
    <w:p>
      <w:pPr>
        <w:pStyle w:val="Heading5"/>
        <w:rPr>
          <w:snapToGrid w:val="0"/>
        </w:rPr>
      </w:pPr>
      <w:bookmarkStart w:id="92" w:name="_Toc480623065"/>
      <w:bookmarkStart w:id="93" w:name="_Toc520186071"/>
      <w:bookmarkStart w:id="94" w:name="_Toc108238552"/>
      <w:bookmarkStart w:id="95" w:name="_Toc124125547"/>
      <w:bookmarkStart w:id="96" w:name="_Toc155600274"/>
      <w:r>
        <w:rPr>
          <w:rStyle w:val="CharSectno"/>
        </w:rPr>
        <w:t>9</w:t>
      </w:r>
      <w:r>
        <w:rPr>
          <w:snapToGrid w:val="0"/>
        </w:rPr>
        <w:t>.</w:t>
      </w:r>
      <w:r>
        <w:rPr>
          <w:snapToGrid w:val="0"/>
        </w:rPr>
        <w:tab/>
        <w:t>Meetings of the Board</w:t>
      </w:r>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of that meeting.</w:t>
      </w:r>
    </w:p>
    <w:p>
      <w:pPr>
        <w:pStyle w:val="Subsection"/>
        <w:rPr>
          <w:snapToGrid w:val="0"/>
        </w:rPr>
      </w:pPr>
      <w:r>
        <w:rPr>
          <w:snapToGrid w:val="0"/>
        </w:rPr>
        <w:tab/>
        <w:t>(3)</w:t>
      </w:r>
      <w:r>
        <w:rPr>
          <w:snapToGrid w:val="0"/>
        </w:rPr>
        <w:tab/>
        <w:t>At a meeting of the Board, 3 members constitutes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spacing w:before="100"/>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spacing w:before="100"/>
        <w:rPr>
          <w:snapToGrid w:val="0"/>
        </w:rPr>
      </w:pPr>
      <w:r>
        <w:rPr>
          <w:snapToGrid w:val="0"/>
        </w:rPr>
        <w:tab/>
        <w:t>(6)</w:t>
      </w:r>
      <w:r>
        <w:rPr>
          <w:snapToGrid w:val="0"/>
        </w:rPr>
        <w:tab/>
        <w:t>The Board shall cause accurate minutes to be kept of its proceedings at its meetings.</w:t>
      </w:r>
    </w:p>
    <w:p>
      <w:pPr>
        <w:pStyle w:val="Subsection"/>
        <w:spacing w:before="100"/>
        <w:rPr>
          <w:snapToGrid w:val="0"/>
        </w:rPr>
      </w:pPr>
      <w:r>
        <w:rPr>
          <w:snapToGrid w:val="0"/>
        </w:rPr>
        <w:tab/>
        <w:t>(7)</w:t>
      </w:r>
      <w:r>
        <w:rPr>
          <w:snapToGrid w:val="0"/>
        </w:rPr>
        <w:tab/>
        <w:t>To the extent that it is not prescribed the Board shall determine its own procedure.</w:t>
      </w:r>
    </w:p>
    <w:p>
      <w:pPr>
        <w:pStyle w:val="Heading5"/>
        <w:spacing w:before="120"/>
        <w:rPr>
          <w:snapToGrid w:val="0"/>
        </w:rPr>
      </w:pPr>
      <w:bookmarkStart w:id="97" w:name="_Toc480623066"/>
      <w:bookmarkStart w:id="98" w:name="_Toc520186072"/>
      <w:bookmarkStart w:id="99" w:name="_Toc108238553"/>
      <w:bookmarkStart w:id="100" w:name="_Toc124125548"/>
      <w:bookmarkStart w:id="101" w:name="_Toc155600275"/>
      <w:r>
        <w:rPr>
          <w:rStyle w:val="CharSectno"/>
        </w:rPr>
        <w:t>10</w:t>
      </w:r>
      <w:r>
        <w:rPr>
          <w:snapToGrid w:val="0"/>
        </w:rPr>
        <w:t>.</w:t>
      </w:r>
      <w:r>
        <w:rPr>
          <w:snapToGrid w:val="0"/>
        </w:rPr>
        <w:tab/>
        <w:t>Validity of acts of Board</w:t>
      </w:r>
      <w:bookmarkEnd w:id="97"/>
      <w:bookmarkEnd w:id="98"/>
      <w:bookmarkEnd w:id="99"/>
      <w:bookmarkEnd w:id="100"/>
      <w:bookmarkEnd w:id="101"/>
      <w:r>
        <w:rPr>
          <w:snapToGrid w:val="0"/>
        </w:rPr>
        <w:t xml:space="preserve"> </w:t>
      </w:r>
    </w:p>
    <w:p>
      <w:pPr>
        <w:pStyle w:val="Subsection"/>
        <w:spacing w:before="100"/>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keepNext w:val="0"/>
        <w:keepLines w:val="0"/>
        <w:spacing w:before="120"/>
        <w:rPr>
          <w:snapToGrid w:val="0"/>
        </w:rPr>
      </w:pPr>
      <w:bookmarkStart w:id="102" w:name="_Toc480623067"/>
      <w:bookmarkStart w:id="103" w:name="_Toc520186073"/>
      <w:bookmarkStart w:id="104" w:name="_Toc108238554"/>
      <w:bookmarkStart w:id="105" w:name="_Toc124125549"/>
      <w:bookmarkStart w:id="106" w:name="_Toc155600276"/>
      <w:r>
        <w:rPr>
          <w:rStyle w:val="CharSectno"/>
        </w:rPr>
        <w:t>11</w:t>
      </w:r>
      <w:r>
        <w:rPr>
          <w:snapToGrid w:val="0"/>
        </w:rPr>
        <w:t>.</w:t>
      </w:r>
      <w:r>
        <w:rPr>
          <w:snapToGrid w:val="0"/>
        </w:rPr>
        <w:tab/>
        <w:t>Remuneration and allowances</w:t>
      </w:r>
      <w:bookmarkEnd w:id="102"/>
      <w:bookmarkEnd w:id="103"/>
      <w:bookmarkEnd w:id="104"/>
      <w:bookmarkEnd w:id="105"/>
      <w:bookmarkEnd w:id="106"/>
      <w:r>
        <w:rPr>
          <w:snapToGrid w:val="0"/>
        </w:rPr>
        <w:t xml:space="preserve"> </w:t>
      </w:r>
    </w:p>
    <w:p>
      <w:pPr>
        <w:pStyle w:val="Subsection"/>
        <w:spacing w:before="100"/>
        <w:rPr>
          <w:snapToGrid w:val="0"/>
        </w:rPr>
      </w:pPr>
      <w:r>
        <w:rPr>
          <w:snapToGrid w:val="0"/>
        </w:rPr>
        <w:tab/>
      </w:r>
      <w:r>
        <w:rPr>
          <w:snapToGrid w:val="0"/>
        </w:rPr>
        <w:tab/>
        <w:t>A member of the Board is to be paid from moneys standing to the credit of the General Purpose Fund such remuneration and allowances as are determined in the case of that member by the Minister on the recommendation of the Minister for Public Sector Management.</w:t>
      </w:r>
    </w:p>
    <w:p>
      <w:pPr>
        <w:pStyle w:val="Footnotesection"/>
      </w:pPr>
      <w:r>
        <w:tab/>
        <w:t xml:space="preserve">[Section 11 inserted by No. 59 of 1995 s. 61.] </w:t>
      </w:r>
    </w:p>
    <w:p>
      <w:pPr>
        <w:pStyle w:val="Heading5"/>
        <w:spacing w:before="120"/>
        <w:rPr>
          <w:snapToGrid w:val="0"/>
        </w:rPr>
      </w:pPr>
      <w:bookmarkStart w:id="107" w:name="_Toc480623068"/>
      <w:bookmarkStart w:id="108" w:name="_Toc520186074"/>
      <w:bookmarkStart w:id="109" w:name="_Toc108238555"/>
      <w:bookmarkStart w:id="110" w:name="_Toc124125550"/>
      <w:bookmarkStart w:id="111" w:name="_Toc155600277"/>
      <w:r>
        <w:rPr>
          <w:rStyle w:val="CharSectno"/>
        </w:rPr>
        <w:t>12</w:t>
      </w:r>
      <w:r>
        <w:rPr>
          <w:snapToGrid w:val="0"/>
        </w:rPr>
        <w:t>.</w:t>
      </w:r>
      <w:r>
        <w:rPr>
          <w:snapToGrid w:val="0"/>
        </w:rPr>
        <w:tab/>
        <w:t>The Registrar and other officers</w:t>
      </w:r>
      <w:bookmarkEnd w:id="107"/>
      <w:bookmarkEnd w:id="108"/>
      <w:bookmarkEnd w:id="109"/>
      <w:bookmarkEnd w:id="110"/>
      <w:bookmarkEnd w:id="111"/>
      <w:r>
        <w:rPr>
          <w:snapToGrid w:val="0"/>
        </w:rPr>
        <w:t xml:space="preserve"> </w:t>
      </w:r>
    </w:p>
    <w:p>
      <w:pPr>
        <w:pStyle w:val="Subsection"/>
        <w:spacing w:before="100"/>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spacing w:before="100"/>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pPr>
      <w:r>
        <w:tab/>
        <w:t xml:space="preserve">[Section 12 amended by No. 32 of 1994 s. 3(2).] </w:t>
      </w:r>
    </w:p>
    <w:p>
      <w:pPr>
        <w:pStyle w:val="Heading5"/>
        <w:spacing w:before="160"/>
        <w:rPr>
          <w:snapToGrid w:val="0"/>
        </w:rPr>
      </w:pPr>
      <w:bookmarkStart w:id="112" w:name="_Toc480623069"/>
      <w:bookmarkStart w:id="113" w:name="_Toc520186075"/>
      <w:bookmarkStart w:id="114" w:name="_Toc108238556"/>
      <w:bookmarkStart w:id="115" w:name="_Toc124125551"/>
      <w:bookmarkStart w:id="116" w:name="_Toc155600278"/>
      <w:r>
        <w:rPr>
          <w:rStyle w:val="CharSectno"/>
        </w:rPr>
        <w:t>12A</w:t>
      </w:r>
      <w:r>
        <w:rPr>
          <w:snapToGrid w:val="0"/>
        </w:rPr>
        <w:t xml:space="preserve">. </w:t>
      </w:r>
      <w:r>
        <w:rPr>
          <w:snapToGrid w:val="0"/>
        </w:rPr>
        <w:tab/>
        <w:t>Consultants, etc.</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Board may engage, under a contract for services or other arrangement, any consultants and professional, technical or other assistance that it considers necessary to enable it to perform its functions.</w:t>
      </w:r>
    </w:p>
    <w:p>
      <w:pPr>
        <w:pStyle w:val="Footnotesection"/>
      </w:pPr>
      <w:r>
        <w:tab/>
        <w:t xml:space="preserve">[Section 12A inserted by No. 59 of 1995 s. 62.] </w:t>
      </w:r>
    </w:p>
    <w:p>
      <w:pPr>
        <w:pStyle w:val="Heading5"/>
        <w:spacing w:before="160"/>
        <w:rPr>
          <w:snapToGrid w:val="0"/>
        </w:rPr>
      </w:pPr>
      <w:bookmarkStart w:id="117" w:name="_Toc480623070"/>
      <w:bookmarkStart w:id="118" w:name="_Toc520186076"/>
      <w:bookmarkStart w:id="119" w:name="_Toc108238557"/>
      <w:bookmarkStart w:id="120" w:name="_Toc124125552"/>
      <w:bookmarkStart w:id="121" w:name="_Toc155600279"/>
      <w:r>
        <w:rPr>
          <w:rStyle w:val="CharSectno"/>
        </w:rPr>
        <w:t>12B</w:t>
      </w:r>
      <w:r>
        <w:rPr>
          <w:snapToGrid w:val="0"/>
        </w:rPr>
        <w:t xml:space="preserve">. </w:t>
      </w:r>
      <w:r>
        <w:rPr>
          <w:snapToGrid w:val="0"/>
        </w:rPr>
        <w:tab/>
        <w:t>Minister may give directions</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performance of its functions, either generally or in relation to a particular matter, and the Board shall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Board under section 66 of the </w:t>
      </w:r>
      <w:r>
        <w:rPr>
          <w:i/>
          <w:snapToGrid w:val="0"/>
        </w:rPr>
        <w:t>Financial Administration and Audit Act 1985</w:t>
      </w:r>
      <w:r>
        <w:rPr>
          <w:snapToGrid w:val="0"/>
        </w:rPr>
        <w:t>.</w:t>
      </w:r>
    </w:p>
    <w:p>
      <w:pPr>
        <w:pStyle w:val="Footnotesection"/>
      </w:pPr>
      <w:r>
        <w:tab/>
        <w:t xml:space="preserve">[Section 12B inserted by No. 59 of 1995 s. 62.] </w:t>
      </w:r>
    </w:p>
    <w:p>
      <w:pPr>
        <w:pStyle w:val="Heading5"/>
        <w:rPr>
          <w:snapToGrid w:val="0"/>
        </w:rPr>
      </w:pPr>
      <w:bookmarkStart w:id="122" w:name="_Toc480623071"/>
      <w:bookmarkStart w:id="123" w:name="_Toc520186077"/>
      <w:bookmarkStart w:id="124" w:name="_Toc108238558"/>
      <w:bookmarkStart w:id="125" w:name="_Toc124125553"/>
      <w:bookmarkStart w:id="126" w:name="_Toc155600280"/>
      <w:r>
        <w:rPr>
          <w:rStyle w:val="CharSectno"/>
        </w:rPr>
        <w:t>12C</w:t>
      </w:r>
      <w:r>
        <w:rPr>
          <w:snapToGrid w:val="0"/>
        </w:rPr>
        <w:t xml:space="preserve">. </w:t>
      </w:r>
      <w:r>
        <w:rPr>
          <w:snapToGrid w:val="0"/>
        </w:rPr>
        <w:tab/>
        <w:t>Minister to have access to information</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12C inserted by No. 59 of 1995 s. 62.] </w:t>
      </w:r>
    </w:p>
    <w:p>
      <w:pPr>
        <w:pStyle w:val="Heading3"/>
        <w:rPr>
          <w:snapToGrid w:val="0"/>
        </w:rPr>
      </w:pPr>
      <w:bookmarkStart w:id="127" w:name="_Toc89514450"/>
      <w:bookmarkStart w:id="128" w:name="_Toc89753207"/>
      <w:bookmarkStart w:id="129" w:name="_Toc91307470"/>
      <w:bookmarkStart w:id="130" w:name="_Toc92705706"/>
      <w:bookmarkStart w:id="131" w:name="_Toc96932780"/>
      <w:bookmarkStart w:id="132" w:name="_Toc101079185"/>
      <w:bookmarkStart w:id="133" w:name="_Toc101080789"/>
      <w:bookmarkStart w:id="134" w:name="_Toc104782073"/>
      <w:bookmarkStart w:id="135" w:name="_Toc108238559"/>
      <w:bookmarkStart w:id="136" w:name="_Toc108238726"/>
      <w:bookmarkStart w:id="137" w:name="_Toc110325004"/>
      <w:bookmarkStart w:id="138" w:name="_Toc110325306"/>
      <w:bookmarkStart w:id="139" w:name="_Toc121566707"/>
      <w:bookmarkStart w:id="140" w:name="_Toc124125554"/>
      <w:bookmarkStart w:id="141" w:name="_Toc124141020"/>
      <w:bookmarkStart w:id="142" w:name="_Toc131414685"/>
      <w:bookmarkStart w:id="143" w:name="_Toc155600281"/>
      <w:r>
        <w:rPr>
          <w:rStyle w:val="CharDivNo"/>
        </w:rPr>
        <w:t>Division 1A</w:t>
      </w:r>
      <w:r>
        <w:rPr>
          <w:snapToGrid w:val="0"/>
        </w:rPr>
        <w:t> — </w:t>
      </w:r>
      <w:r>
        <w:rPr>
          <w:rStyle w:val="CharDivText"/>
        </w:rPr>
        <w:t>Corporate plan</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DivText"/>
        </w:rPr>
        <w:t xml:space="preserve"> </w:t>
      </w:r>
    </w:p>
    <w:p>
      <w:pPr>
        <w:pStyle w:val="Footnoteheading"/>
        <w:rPr>
          <w:snapToGrid w:val="0"/>
        </w:rPr>
      </w:pPr>
      <w:r>
        <w:rPr>
          <w:snapToGrid w:val="0"/>
        </w:rPr>
        <w:tab/>
        <w:t xml:space="preserve">[Heading inserted by No. 59 of 1995 s. 63.] </w:t>
      </w:r>
    </w:p>
    <w:p>
      <w:pPr>
        <w:pStyle w:val="Heading5"/>
        <w:rPr>
          <w:snapToGrid w:val="0"/>
        </w:rPr>
      </w:pPr>
      <w:bookmarkStart w:id="144" w:name="_Toc480623072"/>
      <w:bookmarkStart w:id="145" w:name="_Toc520186078"/>
      <w:bookmarkStart w:id="146" w:name="_Toc108238560"/>
      <w:bookmarkStart w:id="147" w:name="_Toc124125555"/>
      <w:bookmarkStart w:id="148" w:name="_Toc155600282"/>
      <w:r>
        <w:rPr>
          <w:rStyle w:val="CharSectno"/>
        </w:rPr>
        <w:t>12D</w:t>
      </w:r>
      <w:r>
        <w:rPr>
          <w:snapToGrid w:val="0"/>
        </w:rPr>
        <w:t xml:space="preserve">. </w:t>
      </w:r>
      <w:r>
        <w:rPr>
          <w:snapToGrid w:val="0"/>
        </w:rPr>
        <w:tab/>
        <w:t>Corporate plan</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12D inserted by No. 59 of 1995 s. 63.] </w:t>
      </w:r>
    </w:p>
    <w:p>
      <w:pPr>
        <w:pStyle w:val="Heading5"/>
        <w:rPr>
          <w:snapToGrid w:val="0"/>
        </w:rPr>
      </w:pPr>
      <w:bookmarkStart w:id="149" w:name="_Toc480623073"/>
      <w:bookmarkStart w:id="150" w:name="_Toc520186079"/>
      <w:bookmarkStart w:id="151" w:name="_Toc108238561"/>
      <w:bookmarkStart w:id="152" w:name="_Toc124125556"/>
      <w:bookmarkStart w:id="153" w:name="_Toc155600283"/>
      <w:r>
        <w:rPr>
          <w:rStyle w:val="CharSectno"/>
        </w:rPr>
        <w:t>12E</w:t>
      </w:r>
      <w:r>
        <w:rPr>
          <w:snapToGrid w:val="0"/>
        </w:rPr>
        <w:t xml:space="preserve">. </w:t>
      </w:r>
      <w:r>
        <w:rPr>
          <w:snapToGrid w:val="0"/>
        </w:rPr>
        <w:tab/>
        <w:t>Board to comply with corporate plan</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12E inserted by No. 59 of 1995 s. 63.] </w:t>
      </w:r>
    </w:p>
    <w:p>
      <w:pPr>
        <w:pStyle w:val="Heading3"/>
        <w:rPr>
          <w:snapToGrid w:val="0"/>
        </w:rPr>
      </w:pPr>
      <w:bookmarkStart w:id="154" w:name="_Toc89514453"/>
      <w:bookmarkStart w:id="155" w:name="_Toc89753210"/>
      <w:bookmarkStart w:id="156" w:name="_Toc91307473"/>
      <w:bookmarkStart w:id="157" w:name="_Toc92705709"/>
      <w:bookmarkStart w:id="158" w:name="_Toc96932783"/>
      <w:bookmarkStart w:id="159" w:name="_Toc101079188"/>
      <w:bookmarkStart w:id="160" w:name="_Toc101080792"/>
      <w:bookmarkStart w:id="161" w:name="_Toc104782076"/>
      <w:bookmarkStart w:id="162" w:name="_Toc108238562"/>
      <w:bookmarkStart w:id="163" w:name="_Toc108238729"/>
      <w:bookmarkStart w:id="164" w:name="_Toc110325007"/>
      <w:bookmarkStart w:id="165" w:name="_Toc110325309"/>
      <w:bookmarkStart w:id="166" w:name="_Toc121566710"/>
      <w:bookmarkStart w:id="167" w:name="_Toc124125557"/>
      <w:bookmarkStart w:id="168" w:name="_Toc124141023"/>
      <w:bookmarkStart w:id="169" w:name="_Toc131414688"/>
      <w:bookmarkStart w:id="170" w:name="_Toc155600284"/>
      <w:r>
        <w:rPr>
          <w:rStyle w:val="CharDivNo"/>
        </w:rPr>
        <w:t>Division 2</w:t>
      </w:r>
      <w:r>
        <w:rPr>
          <w:snapToGrid w:val="0"/>
        </w:rPr>
        <w:t> — </w:t>
      </w:r>
      <w:r>
        <w:rPr>
          <w:rStyle w:val="CharDivText"/>
        </w:rPr>
        <w:t>Powers of investigation and inquiry</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rPr>
          <w:snapToGrid w:val="0"/>
        </w:rPr>
      </w:pPr>
      <w:bookmarkStart w:id="171" w:name="_Toc480623074"/>
      <w:bookmarkStart w:id="172" w:name="_Toc520186080"/>
      <w:bookmarkStart w:id="173" w:name="_Toc108238563"/>
      <w:bookmarkStart w:id="174" w:name="_Toc124125558"/>
      <w:bookmarkStart w:id="175" w:name="_Toc155600285"/>
      <w:r>
        <w:rPr>
          <w:rStyle w:val="CharSectno"/>
        </w:rPr>
        <w:t>13</w:t>
      </w:r>
      <w:r>
        <w:rPr>
          <w:snapToGrid w:val="0"/>
        </w:rPr>
        <w:t>.</w:t>
      </w:r>
      <w:r>
        <w:rPr>
          <w:snapToGrid w:val="0"/>
        </w:rPr>
        <w:tab/>
        <w:t>Investigation and inquiry by Registrar and inspectors</w:t>
      </w:r>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the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settlement agents are acting in conformity with the special conditions, if any, of their licences and triennial certificates and are complying with the requirements of this Act; and</w:t>
      </w:r>
    </w:p>
    <w:p>
      <w:pPr>
        <w:pStyle w:val="Indenta"/>
        <w:rPr>
          <w:snapToGrid w:val="0"/>
        </w:rPr>
      </w:pPr>
      <w:r>
        <w:rPr>
          <w:snapToGrid w:val="0"/>
        </w:rPr>
        <w:tab/>
        <w:t>(c)</w:t>
      </w:r>
      <w:r>
        <w:rPr>
          <w:snapToGrid w:val="0"/>
        </w:rPr>
        <w:tab/>
        <w:t>detecting offences against this Act.</w:t>
      </w:r>
    </w:p>
    <w:p>
      <w:pPr>
        <w:pStyle w:val="Heading5"/>
        <w:rPr>
          <w:snapToGrid w:val="0"/>
        </w:rPr>
      </w:pPr>
      <w:bookmarkStart w:id="176" w:name="_Toc480623075"/>
      <w:bookmarkStart w:id="177" w:name="_Toc520186081"/>
      <w:bookmarkStart w:id="178" w:name="_Toc108238564"/>
      <w:bookmarkStart w:id="179" w:name="_Toc124125559"/>
      <w:bookmarkStart w:id="180" w:name="_Toc155600286"/>
      <w:r>
        <w:rPr>
          <w:rStyle w:val="CharSectno"/>
        </w:rPr>
        <w:t>14</w:t>
      </w:r>
      <w:r>
        <w:rPr>
          <w:snapToGrid w:val="0"/>
        </w:rPr>
        <w:t>.</w:t>
      </w:r>
      <w:r>
        <w:rPr>
          <w:snapToGrid w:val="0"/>
        </w:rPr>
        <w:tab/>
        <w:t>Police investigations</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spacing w:before="100"/>
        <w:rPr>
          <w:snapToGrid w:val="0"/>
        </w:rPr>
      </w:pPr>
      <w:r>
        <w:rPr>
          <w:snapToGrid w:val="0"/>
        </w:rPr>
        <w:tab/>
        <w:t>(2)</w:t>
      </w:r>
      <w:r>
        <w:rPr>
          <w:snapToGrid w:val="0"/>
        </w:rPr>
        <w:tab/>
        <w:t>The report shall be forwarded to the Registrar.</w:t>
      </w:r>
    </w:p>
    <w:p>
      <w:pPr>
        <w:pStyle w:val="Subsection"/>
        <w:spacing w:before="100"/>
        <w:rPr>
          <w:snapToGrid w:val="0"/>
        </w:rPr>
      </w:pPr>
      <w:r>
        <w:rPr>
          <w:snapToGrid w:val="0"/>
        </w:rPr>
        <w:tab/>
        <w:t>(3)</w:t>
      </w:r>
      <w:r>
        <w:rPr>
          <w:snapToGrid w:val="0"/>
        </w:rPr>
        <w:tab/>
      </w:r>
      <w:r>
        <w:rPr>
          <w:snapToGrid w:val="0"/>
          <w:spacing w:val="-4"/>
        </w:rPr>
        <w:t xml:space="preserve">A member of the Police Force making an investigation or inquiry or report relating to any matter that is the subject of investigation or inquiry </w:t>
      </w:r>
      <w:r>
        <w:rPr>
          <w:snapToGrid w:val="0"/>
        </w:rPr>
        <w:t>pursuant</w:t>
      </w:r>
      <w:r>
        <w:rPr>
          <w:snapToGrid w:val="0"/>
          <w:spacing w:val="-4"/>
        </w:rPr>
        <w:t xml:space="preserve">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181" w:name="_Toc480623076"/>
      <w:bookmarkStart w:id="182" w:name="_Toc520186082"/>
      <w:bookmarkStart w:id="183" w:name="_Toc108238565"/>
      <w:bookmarkStart w:id="184" w:name="_Toc124125560"/>
      <w:bookmarkStart w:id="185" w:name="_Toc155600287"/>
      <w:r>
        <w:rPr>
          <w:rStyle w:val="CharSectno"/>
        </w:rPr>
        <w:t>15</w:t>
      </w:r>
      <w:r>
        <w:rPr>
          <w:snapToGrid w:val="0"/>
        </w:rPr>
        <w:t>.</w:t>
      </w:r>
      <w:r>
        <w:rPr>
          <w:snapToGrid w:val="0"/>
        </w:rPr>
        <w:tab/>
        <w:t>Power of Registrar and inspector to investigate inquire and obtain information</w:t>
      </w:r>
      <w:bookmarkEnd w:id="181"/>
      <w:bookmarkEnd w:id="182"/>
      <w:bookmarkEnd w:id="183"/>
      <w:bookmarkEnd w:id="184"/>
      <w:bookmarkEnd w:id="185"/>
      <w:r>
        <w:rPr>
          <w:snapToGrid w:val="0"/>
        </w:rPr>
        <w:t xml:space="preserve"> </w:t>
      </w:r>
    </w:p>
    <w:p>
      <w:pPr>
        <w:pStyle w:val="Subsection"/>
        <w:spacing w:before="100"/>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for inspection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 for inspection;</w:t>
      </w:r>
    </w:p>
    <w:p>
      <w:pPr>
        <w:pStyle w:val="Indenta"/>
        <w:rPr>
          <w:snapToGrid w:val="0"/>
        </w:rPr>
      </w:pPr>
      <w:r>
        <w:rPr>
          <w:snapToGrid w:val="0"/>
        </w:rPr>
        <w:tab/>
        <w:t>(b)</w:t>
      </w:r>
      <w:r>
        <w:rPr>
          <w:snapToGrid w:val="0"/>
        </w:rPr>
        <w:tab/>
        <w:t>shall specify the time at or within which the document is to be produced for inspection; and</w:t>
      </w:r>
    </w:p>
    <w:p>
      <w:pPr>
        <w:pStyle w:val="Indenta"/>
        <w:rPr>
          <w:snapToGrid w:val="0"/>
        </w:rPr>
      </w:pPr>
      <w:r>
        <w:rPr>
          <w:snapToGrid w:val="0"/>
        </w:rPr>
        <w:tab/>
        <w:t>(c)</w:t>
      </w:r>
      <w:r>
        <w:rPr>
          <w:snapToGrid w:val="0"/>
        </w:rPr>
        <w:tab/>
        <w:t>may, by its terms, require that the document or a carbon copy thereof be produced for inspection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for inspection, the notice shall state that he is required under this Act to give the information, answer the question or produce the document for inspection, as the case may be.</w:t>
      </w:r>
    </w:p>
    <w:p>
      <w:pPr>
        <w:pStyle w:val="Subsection"/>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spacing w:val="-4"/>
        </w:rPr>
      </w:pPr>
      <w:r>
        <w:rPr>
          <w:snapToGrid w:val="0"/>
        </w:rPr>
        <w:tab/>
        <w:t>(ii)</w:t>
      </w:r>
      <w:r>
        <w:rPr>
          <w:snapToGrid w:val="0"/>
        </w:rPr>
        <w:tab/>
      </w:r>
      <w:r>
        <w:rPr>
          <w:snapToGrid w:val="0"/>
          <w:spacing w:val="-4"/>
        </w:rPr>
        <w:t>in the case of an inspector, a document signed by the Registrar and certifying that he is an inspector.</w:t>
      </w:r>
    </w:p>
    <w:p>
      <w:pPr>
        <w:pStyle w:val="Footnotesection"/>
      </w:pPr>
      <w:r>
        <w:tab/>
        <w:t>[Section 15 amended by No. 24 of 2005 s. 63.]</w:t>
      </w:r>
    </w:p>
    <w:p>
      <w:pPr>
        <w:pStyle w:val="Heading5"/>
        <w:spacing w:before="180"/>
        <w:rPr>
          <w:snapToGrid w:val="0"/>
        </w:rPr>
      </w:pPr>
      <w:bookmarkStart w:id="186" w:name="_Toc480623077"/>
      <w:bookmarkStart w:id="187" w:name="_Toc520186083"/>
      <w:bookmarkStart w:id="188" w:name="_Toc108238566"/>
      <w:bookmarkStart w:id="189" w:name="_Toc124125561"/>
      <w:bookmarkStart w:id="190" w:name="_Toc155600288"/>
      <w:r>
        <w:rPr>
          <w:rStyle w:val="CharSectno"/>
        </w:rPr>
        <w:t>16</w:t>
      </w:r>
      <w:r>
        <w:rPr>
          <w:snapToGrid w:val="0"/>
        </w:rPr>
        <w:t>.</w:t>
      </w:r>
      <w:r>
        <w:rPr>
          <w:snapToGrid w:val="0"/>
        </w:rPr>
        <w:tab/>
        <w:t>Incriminating information, questions or documents</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 for inspection,</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for inspection, by him shall not be admissible in evidence in any proceedings against him other than proceedings in respect of an offence against section 17(1)(b).</w:t>
      </w:r>
    </w:p>
    <w:p>
      <w:pPr>
        <w:pStyle w:val="Heading5"/>
        <w:spacing w:before="180"/>
        <w:rPr>
          <w:snapToGrid w:val="0"/>
        </w:rPr>
      </w:pPr>
      <w:bookmarkStart w:id="191" w:name="_Toc480623078"/>
      <w:bookmarkStart w:id="192" w:name="_Toc520186084"/>
      <w:bookmarkStart w:id="193" w:name="_Toc108238567"/>
      <w:bookmarkStart w:id="194" w:name="_Toc124125562"/>
      <w:bookmarkStart w:id="195" w:name="_Toc155600289"/>
      <w:r>
        <w:rPr>
          <w:rStyle w:val="CharSectno"/>
        </w:rPr>
        <w:t>17</w:t>
      </w:r>
      <w:r>
        <w:rPr>
          <w:snapToGrid w:val="0"/>
        </w:rPr>
        <w:t>.</w:t>
      </w:r>
      <w:r>
        <w:rPr>
          <w:snapToGrid w:val="0"/>
        </w:rPr>
        <w:tab/>
        <w:t>Failure to comply with requirement</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Where under section 15 a person is required by the Registrar or an inspector to give any information, answer any question, or produce any document for inspection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for inspection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for inspection,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59 of 1995 s. 85; No. 84 of 2004 s. 82.] </w:t>
      </w:r>
    </w:p>
    <w:p>
      <w:pPr>
        <w:pStyle w:val="Heading5"/>
        <w:rPr>
          <w:snapToGrid w:val="0"/>
        </w:rPr>
      </w:pPr>
      <w:bookmarkStart w:id="196" w:name="_Toc480623079"/>
      <w:bookmarkStart w:id="197" w:name="_Toc520186085"/>
      <w:bookmarkStart w:id="198" w:name="_Toc108238568"/>
      <w:bookmarkStart w:id="199" w:name="_Toc124125563"/>
      <w:bookmarkStart w:id="200" w:name="_Toc155600290"/>
      <w:r>
        <w:rPr>
          <w:rStyle w:val="CharSectno"/>
        </w:rPr>
        <w:t>18</w:t>
      </w:r>
      <w:r>
        <w:rPr>
          <w:snapToGrid w:val="0"/>
        </w:rPr>
        <w:t>.</w:t>
      </w:r>
      <w:r>
        <w:rPr>
          <w:snapToGrid w:val="0"/>
        </w:rPr>
        <w:tab/>
        <w:t>Obstruction of Registrar or inspector</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pPr>
      <w:bookmarkStart w:id="201" w:name="_Toc91307481"/>
      <w:bookmarkStart w:id="202" w:name="_Toc92705716"/>
      <w:bookmarkStart w:id="203" w:name="_Toc96932790"/>
      <w:bookmarkStart w:id="204" w:name="_Toc101079195"/>
      <w:bookmarkStart w:id="205" w:name="_Toc101080799"/>
      <w:bookmarkStart w:id="206" w:name="_Toc104782083"/>
      <w:bookmarkStart w:id="207" w:name="_Toc108238569"/>
      <w:bookmarkStart w:id="208" w:name="_Toc108238736"/>
      <w:bookmarkStart w:id="209" w:name="_Toc110325014"/>
      <w:bookmarkStart w:id="210" w:name="_Toc110325316"/>
      <w:bookmarkStart w:id="211" w:name="_Toc121566717"/>
      <w:bookmarkStart w:id="212" w:name="_Toc124125564"/>
      <w:bookmarkStart w:id="213" w:name="_Toc124141030"/>
      <w:bookmarkStart w:id="214" w:name="_Toc131414695"/>
      <w:bookmarkStart w:id="215" w:name="_Toc155600291"/>
      <w:bookmarkStart w:id="216" w:name="_Toc480623080"/>
      <w:bookmarkStart w:id="217" w:name="_Toc520186086"/>
      <w:r>
        <w:rPr>
          <w:rStyle w:val="CharDivNo"/>
        </w:rPr>
        <w:t>Division 3</w:t>
      </w:r>
      <w:r>
        <w:t> — </w:t>
      </w:r>
      <w:r>
        <w:rPr>
          <w:rStyle w:val="CharDivText"/>
        </w:rPr>
        <w:t>Proceedings of, and review of decision of, Board</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Footnoteheading"/>
      </w:pPr>
      <w:r>
        <w:tab/>
        <w:t>[Heading inserted by No. 55 of 2004 s. 1082.]</w:t>
      </w:r>
    </w:p>
    <w:p>
      <w:pPr>
        <w:pStyle w:val="Heading5"/>
        <w:rPr>
          <w:snapToGrid w:val="0"/>
        </w:rPr>
      </w:pPr>
      <w:bookmarkStart w:id="218" w:name="_Toc108238570"/>
      <w:bookmarkStart w:id="219" w:name="_Toc124125565"/>
      <w:bookmarkStart w:id="220" w:name="_Toc155600292"/>
      <w:r>
        <w:rPr>
          <w:rStyle w:val="CharSectno"/>
        </w:rPr>
        <w:t>19</w:t>
      </w:r>
      <w:r>
        <w:rPr>
          <w:snapToGrid w:val="0"/>
        </w:rPr>
        <w:t>.</w:t>
      </w:r>
      <w:r>
        <w:rPr>
          <w:snapToGrid w:val="0"/>
        </w:rPr>
        <w:tab/>
        <w:t>Proceedings before the Board</w:t>
      </w:r>
      <w:bookmarkEnd w:id="216"/>
      <w:bookmarkEnd w:id="217"/>
      <w:bookmarkEnd w:id="218"/>
      <w:bookmarkEnd w:id="219"/>
      <w:bookmarkEnd w:id="220"/>
      <w:r>
        <w:rPr>
          <w:snapToGrid w:val="0"/>
        </w:rPr>
        <w:t xml:space="preserve"> </w:t>
      </w:r>
    </w:p>
    <w:p>
      <w:pPr>
        <w:pStyle w:val="Subsection"/>
        <w:keepNext/>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of a triennial certificate, there is no objection and the licence or certificate is granted without any special conditions being imposed.</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The Board shall conduct its proceedings in public unless it is satisfied in any particular case that by reason of exceptional circumstances it is desirable that the proceedings or any part thereof be conducted in camera, the Board may make an order to that effect and may include in the order conditions relating to that purpose, and, if such an order is made, the proceedings shall be conducted in accordance with it.</w:t>
      </w:r>
    </w:p>
    <w:p>
      <w:pPr>
        <w:pStyle w:val="Ednotesubsection"/>
      </w:pPr>
      <w:r>
        <w:tab/>
        <w:t>[(9)</w:t>
      </w:r>
      <w:r>
        <w:tab/>
        <w:t>repealed]</w:t>
      </w:r>
    </w:p>
    <w:p>
      <w:pPr>
        <w:pStyle w:val="Subsection"/>
        <w:rPr>
          <w:snapToGrid w:val="0"/>
        </w:rPr>
      </w:pPr>
      <w:r>
        <w:rPr>
          <w:snapToGrid w:val="0"/>
        </w:rPr>
        <w:tab/>
        <w:t>(10)</w:t>
      </w:r>
      <w:r>
        <w:rPr>
          <w:snapToGrid w:val="0"/>
        </w:rPr>
        <w:tab/>
      </w:r>
      <w:r>
        <w:rPr>
          <w:snapToGrid w:val="0"/>
          <w:spacing w:val="-4"/>
        </w:rPr>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85; No. 55 of 2004 s. 1083(1).] </w:t>
      </w:r>
    </w:p>
    <w:p>
      <w:pPr>
        <w:pStyle w:val="Heading5"/>
        <w:rPr>
          <w:snapToGrid w:val="0"/>
        </w:rPr>
      </w:pPr>
      <w:bookmarkStart w:id="221" w:name="_Toc480623081"/>
      <w:bookmarkStart w:id="222" w:name="_Toc520186087"/>
      <w:bookmarkStart w:id="223" w:name="_Toc108238571"/>
      <w:bookmarkStart w:id="224" w:name="_Toc124125566"/>
      <w:bookmarkStart w:id="225" w:name="_Toc155600293"/>
      <w:r>
        <w:rPr>
          <w:rStyle w:val="CharSectno"/>
        </w:rPr>
        <w:t>20</w:t>
      </w:r>
      <w:r>
        <w:rPr>
          <w:snapToGrid w:val="0"/>
        </w:rPr>
        <w:t>.</w:t>
      </w:r>
      <w:r>
        <w:rPr>
          <w:snapToGrid w:val="0"/>
        </w:rPr>
        <w:tab/>
        <w:t>Powers of the Board</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 for inspection;</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for inspection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for inspection if their contents would tend to incriminate him.</w:t>
      </w:r>
    </w:p>
    <w:p>
      <w:pPr>
        <w:pStyle w:val="Subsection"/>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59 of 1995 s. 85; No. 55 of 2004 s. 1083(2).] </w:t>
      </w:r>
    </w:p>
    <w:p>
      <w:pPr>
        <w:pStyle w:val="Heading5"/>
        <w:rPr>
          <w:snapToGrid w:val="0"/>
        </w:rPr>
      </w:pPr>
      <w:bookmarkStart w:id="226" w:name="_Toc480623082"/>
      <w:bookmarkStart w:id="227" w:name="_Toc520186088"/>
      <w:bookmarkStart w:id="228" w:name="_Toc108238572"/>
      <w:bookmarkStart w:id="229" w:name="_Toc124125567"/>
      <w:bookmarkStart w:id="230" w:name="_Toc155600294"/>
      <w:r>
        <w:rPr>
          <w:rStyle w:val="CharSectno"/>
        </w:rPr>
        <w:t>21</w:t>
      </w:r>
      <w:r>
        <w:rPr>
          <w:snapToGrid w:val="0"/>
        </w:rPr>
        <w:t>.</w:t>
      </w:r>
      <w:r>
        <w:rPr>
          <w:snapToGrid w:val="0"/>
        </w:rPr>
        <w:tab/>
        <w:t>Orders for fines or costs</w:t>
      </w:r>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pPr>
      <w:r>
        <w:tab/>
        <w:t>[(2), (3)</w:t>
      </w:r>
      <w:r>
        <w:tab/>
        <w:t>repealed]</w:t>
      </w:r>
    </w:p>
    <w:p>
      <w:pPr>
        <w:pStyle w:val="Footnotesection"/>
      </w:pPr>
      <w:r>
        <w:tab/>
        <w:t>[Section 21 amended by No. 55 of 2004 s. 1083(3).]</w:t>
      </w:r>
    </w:p>
    <w:p>
      <w:pPr>
        <w:pStyle w:val="Ednotesection"/>
      </w:pPr>
      <w:bookmarkStart w:id="231" w:name="_Toc480623084"/>
      <w:bookmarkStart w:id="232" w:name="_Toc520186090"/>
      <w:r>
        <w:t>[</w:t>
      </w:r>
      <w:r>
        <w:rPr>
          <w:b/>
        </w:rPr>
        <w:t>22.</w:t>
      </w:r>
      <w:r>
        <w:tab/>
        <w:t>Repealed by No. 55 of 2004 s. 1083(4).]</w:t>
      </w:r>
    </w:p>
    <w:p>
      <w:pPr>
        <w:pStyle w:val="Heading5"/>
        <w:rPr>
          <w:snapToGrid w:val="0"/>
        </w:rPr>
      </w:pPr>
      <w:bookmarkStart w:id="233" w:name="_Toc108238573"/>
      <w:bookmarkStart w:id="234" w:name="_Toc124125568"/>
      <w:bookmarkStart w:id="235" w:name="_Toc155600295"/>
      <w:bookmarkStart w:id="236" w:name="_Toc89514466"/>
      <w:bookmarkStart w:id="237" w:name="_Toc89753223"/>
      <w:bookmarkEnd w:id="231"/>
      <w:bookmarkEnd w:id="232"/>
      <w:r>
        <w:rPr>
          <w:rStyle w:val="CharSectno"/>
        </w:rPr>
        <w:t>23</w:t>
      </w:r>
      <w:r>
        <w:rPr>
          <w:snapToGrid w:val="0"/>
        </w:rPr>
        <w:t>.</w:t>
      </w:r>
      <w:r>
        <w:rPr>
          <w:snapToGrid w:val="0"/>
        </w:rPr>
        <w:tab/>
        <w:t>Application for review</w:t>
      </w:r>
      <w:bookmarkEnd w:id="233"/>
      <w:bookmarkEnd w:id="234"/>
      <w:bookmarkEnd w:id="235"/>
      <w:r>
        <w:rPr>
          <w:snapToGrid w:val="0"/>
        </w:rPr>
        <w:t xml:space="preserve"> </w:t>
      </w:r>
    </w:p>
    <w:p>
      <w:pPr>
        <w:pStyle w:val="Subsection"/>
        <w:rPr>
          <w:snapToGrid w:val="0"/>
        </w:rPr>
      </w:pPr>
      <w:r>
        <w:rPr>
          <w:snapToGrid w:val="0"/>
        </w:rPr>
        <w:tab/>
        <w:t>(1)</w:t>
      </w:r>
      <w:r>
        <w:rPr>
          <w:snapToGrid w:val="0"/>
        </w:rPr>
        <w:tab/>
        <w:t>Any person aggrieved by a reviewable decision of the Board may apply to the State Administrative Tribunal for a review of the decision.</w:t>
      </w:r>
    </w:p>
    <w:p>
      <w:pPr>
        <w:pStyle w:val="Subsection"/>
      </w:pPr>
      <w:r>
        <w:tab/>
        <w:t>(2)</w:t>
      </w:r>
      <w:r>
        <w:tab/>
        <w:t xml:space="preserve">In subsection (1) — </w:t>
      </w:r>
    </w:p>
    <w:p>
      <w:pPr>
        <w:pStyle w:val="Defstart"/>
      </w:pPr>
      <w:r>
        <w:tab/>
      </w:r>
      <w:r>
        <w:rPr>
          <w:b/>
          <w:bCs/>
        </w:rPr>
        <w:t>“</w:t>
      </w:r>
      <w:r>
        <w:rPr>
          <w:rStyle w:val="CharDefText"/>
        </w:rPr>
        <w:t>person aggrieved</w:t>
      </w:r>
      <w:r>
        <w:rPr>
          <w:b/>
          <w:bCs/>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affected by a decision of the Board under Part IV Division 2;</w:t>
      </w:r>
    </w:p>
    <w:p>
      <w:pPr>
        <w:pStyle w:val="Defpara"/>
      </w:pPr>
      <w:r>
        <w:tab/>
        <w:t>(c)</w:t>
      </w:r>
      <w:r>
        <w:tab/>
        <w:t>a person claiming against, or seeking the leave of the Board to commence an action in relation to, the Fidelity Guarantee Fund; or</w:t>
      </w:r>
    </w:p>
    <w:p>
      <w:pPr>
        <w:pStyle w:val="Defpara"/>
      </w:pPr>
      <w:r>
        <w:tab/>
        <w:t>(d)</w:t>
      </w:r>
      <w:r>
        <w:tab/>
        <w:t>a person affected by an order of the Board for costs under section 21;</w:t>
      </w:r>
    </w:p>
    <w:p>
      <w:pPr>
        <w:pStyle w:val="Defstart"/>
      </w:pPr>
      <w:r>
        <w:tab/>
      </w:r>
      <w:r>
        <w:rPr>
          <w:b/>
          <w:bCs/>
        </w:rPr>
        <w:t>“</w:t>
      </w:r>
      <w:r>
        <w:rPr>
          <w:rStyle w:val="CharDefText"/>
        </w:rPr>
        <w:t>reviewable decision</w:t>
      </w:r>
      <w:r>
        <w:rPr>
          <w:b/>
          <w:bCs/>
        </w:rPr>
        <w:t>”</w:t>
      </w:r>
      <w:r>
        <w:t xml:space="preserve"> means — </w:t>
      </w:r>
    </w:p>
    <w:p>
      <w:pPr>
        <w:pStyle w:val="Defpara"/>
      </w:pPr>
      <w:r>
        <w:tab/>
        <w:t>(a)</w:t>
      </w:r>
      <w:r>
        <w:tab/>
        <w:t>a decision under Part III other than —</w:t>
      </w:r>
    </w:p>
    <w:p>
      <w:pPr>
        <w:pStyle w:val="Defsubpara"/>
      </w:pPr>
      <w:r>
        <w:tab/>
        <w:t>(i)</w:t>
      </w:r>
      <w:r>
        <w:tab/>
        <w:t>a decision under section 35; or</w:t>
      </w:r>
    </w:p>
    <w:p>
      <w:pPr>
        <w:pStyle w:val="Defsubpara"/>
      </w:pPr>
      <w:r>
        <w:tab/>
        <w:t>(ii)</w:t>
      </w:r>
      <w:r>
        <w:tab/>
        <w:t>a determination of the form in which an application or objection is made;</w:t>
      </w:r>
    </w:p>
    <w:p>
      <w:pPr>
        <w:pStyle w:val="Defpara"/>
      </w:pPr>
      <w:r>
        <w:tab/>
        <w:t>(b)</w:t>
      </w:r>
      <w:r>
        <w:tab/>
        <w:t>a decision under Part IV Division 2;</w:t>
      </w:r>
    </w:p>
    <w:p>
      <w:pPr>
        <w:pStyle w:val="Defpara"/>
      </w:pPr>
      <w:r>
        <w:tab/>
        <w:t>(c)</w:t>
      </w:r>
      <w:r>
        <w:tab/>
        <w:t>a decision under section 93 or 95; or</w:t>
      </w:r>
    </w:p>
    <w:p>
      <w:pPr>
        <w:pStyle w:val="Defpara"/>
      </w:pPr>
      <w:r>
        <w:tab/>
        <w:t>(d)</w:t>
      </w:r>
      <w:r>
        <w:tab/>
        <w:t>an order for costs under section 21.</w:t>
      </w:r>
    </w:p>
    <w:p>
      <w:pPr>
        <w:pStyle w:val="Footnotesection"/>
      </w:pPr>
      <w:r>
        <w:tab/>
        <w:t>[Section 23 inserted by No. 55 of 2004 s. 1084.]</w:t>
      </w:r>
    </w:p>
    <w:p>
      <w:pPr>
        <w:pStyle w:val="Heading2"/>
      </w:pPr>
      <w:bookmarkStart w:id="238" w:name="_Toc91307488"/>
      <w:bookmarkStart w:id="239" w:name="_Toc92705721"/>
      <w:bookmarkStart w:id="240" w:name="_Toc96932795"/>
      <w:bookmarkStart w:id="241" w:name="_Toc101079200"/>
      <w:bookmarkStart w:id="242" w:name="_Toc101080804"/>
      <w:bookmarkStart w:id="243" w:name="_Toc104782088"/>
      <w:bookmarkStart w:id="244" w:name="_Toc108238574"/>
      <w:bookmarkStart w:id="245" w:name="_Toc108238741"/>
      <w:bookmarkStart w:id="246" w:name="_Toc110325019"/>
      <w:bookmarkStart w:id="247" w:name="_Toc110325321"/>
      <w:bookmarkStart w:id="248" w:name="_Toc121566722"/>
      <w:bookmarkStart w:id="249" w:name="_Toc124125569"/>
      <w:bookmarkStart w:id="250" w:name="_Toc124141035"/>
      <w:bookmarkStart w:id="251" w:name="_Toc131414700"/>
      <w:bookmarkStart w:id="252" w:name="_Toc155600296"/>
      <w:r>
        <w:rPr>
          <w:rStyle w:val="CharPartNo"/>
        </w:rPr>
        <w:t>Part III</w:t>
      </w:r>
      <w:r>
        <w:rPr>
          <w:rStyle w:val="CharDivNo"/>
        </w:rPr>
        <w:t> </w:t>
      </w:r>
      <w:r>
        <w:t>—</w:t>
      </w:r>
      <w:r>
        <w:rPr>
          <w:rStyle w:val="CharDivText"/>
        </w:rPr>
        <w:t> </w:t>
      </w:r>
      <w:r>
        <w:rPr>
          <w:rStyle w:val="CharPartText"/>
        </w:rPr>
        <w:t>Licensing</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PartText"/>
        </w:rPr>
        <w:t xml:space="preserve"> </w:t>
      </w:r>
    </w:p>
    <w:p>
      <w:pPr>
        <w:pStyle w:val="Heading5"/>
        <w:rPr>
          <w:snapToGrid w:val="0"/>
        </w:rPr>
      </w:pPr>
      <w:bookmarkStart w:id="253" w:name="_Toc480623085"/>
      <w:bookmarkStart w:id="254" w:name="_Toc520186091"/>
      <w:bookmarkStart w:id="255" w:name="_Toc108238575"/>
      <w:bookmarkStart w:id="256" w:name="_Toc124125570"/>
      <w:bookmarkStart w:id="257" w:name="_Toc155600297"/>
      <w:r>
        <w:rPr>
          <w:rStyle w:val="CharSectno"/>
        </w:rPr>
        <w:t>24</w:t>
      </w:r>
      <w:r>
        <w:rPr>
          <w:snapToGrid w:val="0"/>
        </w:rPr>
        <w:t>.</w:t>
      </w:r>
      <w:r>
        <w:rPr>
          <w:snapToGrid w:val="0"/>
        </w:rPr>
        <w:tab/>
        <w:t>Application</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258" w:name="_Toc480623086"/>
      <w:bookmarkStart w:id="259" w:name="_Toc520186092"/>
      <w:bookmarkStart w:id="260" w:name="_Toc108238576"/>
      <w:bookmarkStart w:id="261" w:name="_Toc124125571"/>
      <w:bookmarkStart w:id="262" w:name="_Toc155600298"/>
      <w:r>
        <w:rPr>
          <w:rStyle w:val="CharSectno"/>
        </w:rPr>
        <w:t>25</w:t>
      </w:r>
      <w:r>
        <w:rPr>
          <w:snapToGrid w:val="0"/>
        </w:rPr>
        <w:t>.</w:t>
      </w:r>
      <w:r>
        <w:rPr>
          <w:snapToGrid w:val="0"/>
        </w:rPr>
        <w:tab/>
        <w:t>Objections</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263" w:name="_Toc480623087"/>
      <w:bookmarkStart w:id="264" w:name="_Toc520186093"/>
      <w:bookmarkStart w:id="265" w:name="_Toc108238577"/>
      <w:bookmarkStart w:id="266" w:name="_Toc124125572"/>
      <w:bookmarkStart w:id="267" w:name="_Toc155600299"/>
      <w:r>
        <w:rPr>
          <w:rStyle w:val="CharSectno"/>
        </w:rPr>
        <w:t>26</w:t>
      </w:r>
      <w:r>
        <w:rPr>
          <w:snapToGrid w:val="0"/>
        </w:rPr>
        <w:t>.</w:t>
      </w:r>
      <w:r>
        <w:rPr>
          <w:snapToGrid w:val="0"/>
        </w:rPr>
        <w:tab/>
        <w:t>Settlement agents to be licensed</w:t>
      </w:r>
      <w:bookmarkEnd w:id="263"/>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In subsection (1) </w:t>
      </w:r>
      <w:r>
        <w:rPr>
          <w:b/>
          <w:snapToGrid w:val="0"/>
        </w:rPr>
        <w:t>“</w:t>
      </w:r>
      <w:r>
        <w:rPr>
          <w:rStyle w:val="CharDefText"/>
        </w:rPr>
        <w:t>appointed day</w:t>
      </w:r>
      <w:r>
        <w:rPr>
          <w:b/>
          <w:snapToGrid w:val="0"/>
        </w:rPr>
        <w:t>”</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2</w:t>
      </w:r>
      <w:r>
        <w:rPr>
          <w:snapToGrid w:val="0"/>
        </w:rPr>
        <w:t xml:space="preserve"> for the purposes of that subsection.</w:t>
      </w:r>
    </w:p>
    <w:p>
      <w:pPr>
        <w:pStyle w:val="Footnotesection"/>
      </w:pPr>
      <w:r>
        <w:tab/>
        <w:t xml:space="preserve">[Section 26 amended by No. 59 of 1995 s. 85.] </w:t>
      </w:r>
    </w:p>
    <w:p>
      <w:pPr>
        <w:pStyle w:val="Heading5"/>
        <w:rPr>
          <w:snapToGrid w:val="0"/>
        </w:rPr>
      </w:pPr>
      <w:bookmarkStart w:id="268" w:name="_Toc480623088"/>
      <w:bookmarkStart w:id="269" w:name="_Toc520186094"/>
      <w:bookmarkStart w:id="270" w:name="_Toc108238578"/>
      <w:bookmarkStart w:id="271" w:name="_Toc124125573"/>
      <w:bookmarkStart w:id="272" w:name="_Toc155600300"/>
      <w:r>
        <w:rPr>
          <w:rStyle w:val="CharSectno"/>
        </w:rPr>
        <w:t>26A</w:t>
      </w:r>
      <w:r>
        <w:rPr>
          <w:snapToGrid w:val="0"/>
        </w:rPr>
        <w:t xml:space="preserve">. </w:t>
      </w:r>
      <w:r>
        <w:rPr>
          <w:snapToGrid w:val="0"/>
        </w:rPr>
        <w:tab/>
        <w:t>Exemptions for real estate agents</w:t>
      </w:r>
      <w:bookmarkEnd w:id="268"/>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real estate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real estate settlement agent’s licence, the requirements of section 29(1)(a) would be fulfilled;</w:t>
      </w:r>
    </w:p>
    <w:p>
      <w:pPr>
        <w:pStyle w:val="Indenti"/>
        <w:rPr>
          <w:snapToGrid w:val="0"/>
        </w:rPr>
      </w:pPr>
      <w:r>
        <w:rPr>
          <w:snapToGrid w:val="0"/>
        </w:rPr>
        <w:tab/>
        <w:t>(ii)</w:t>
      </w:r>
      <w:r>
        <w:rPr>
          <w:snapToGrid w:val="0"/>
        </w:rPr>
        <w:tab/>
      </w:r>
      <w:r>
        <w:rPr>
          <w:snapToGrid w:val="0"/>
          <w:spacing w:val="-4"/>
        </w:rPr>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real estate transaction in respect of which the person acted in the course of business as a real estate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26A inserted by No. 64 of 1982 s. 3.] </w:t>
      </w:r>
    </w:p>
    <w:p>
      <w:pPr>
        <w:pStyle w:val="Heading5"/>
        <w:rPr>
          <w:snapToGrid w:val="0"/>
        </w:rPr>
      </w:pPr>
      <w:bookmarkStart w:id="273" w:name="_Toc480623089"/>
      <w:bookmarkStart w:id="274" w:name="_Toc520186095"/>
      <w:bookmarkStart w:id="275" w:name="_Toc108238579"/>
      <w:bookmarkStart w:id="276" w:name="_Toc124125574"/>
      <w:bookmarkStart w:id="277" w:name="_Toc155600301"/>
      <w:r>
        <w:rPr>
          <w:rStyle w:val="CharSectno"/>
        </w:rPr>
        <w:t>26B</w:t>
      </w:r>
      <w:r>
        <w:rPr>
          <w:snapToGrid w:val="0"/>
        </w:rPr>
        <w:t xml:space="preserve">. </w:t>
      </w:r>
      <w:r>
        <w:rPr>
          <w:snapToGrid w:val="0"/>
        </w:rPr>
        <w:tab/>
        <w:t>Exemptions for business agents</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pPr>
        <w:pStyle w:val="Subsection"/>
        <w:rPr>
          <w:snapToGrid w:val="0"/>
        </w:rPr>
      </w:pPr>
      <w:r>
        <w:rPr>
          <w:snapToGrid w:val="0"/>
        </w:rPr>
        <w:tab/>
        <w:t>(2)</w:t>
      </w:r>
      <w:r>
        <w:rPr>
          <w:snapToGrid w:val="0"/>
        </w:rPr>
        <w:tab/>
        <w:t>An application under subsection (1)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a body corporate by the person who is in bona fide control of the business.</w:t>
      </w:r>
    </w:p>
    <w:p>
      <w:pPr>
        <w:pStyle w:val="Subsection"/>
        <w:spacing w:before="100"/>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00"/>
        <w:rPr>
          <w:snapToGrid w:val="0"/>
        </w:rPr>
      </w:pPr>
      <w:r>
        <w:rPr>
          <w:snapToGrid w:val="0"/>
        </w:rPr>
        <w:tab/>
        <w:t>(5)</w:t>
      </w:r>
      <w:r>
        <w:rPr>
          <w:snapToGrid w:val="0"/>
        </w:rPr>
        <w:tab/>
        <w:t>Subject to subsection (6), the Board may grant an application under subsection (1) if — </w:t>
      </w:r>
    </w:p>
    <w:p>
      <w:pPr>
        <w:pStyle w:val="Indenta"/>
        <w:rPr>
          <w:snapToGrid w:val="0"/>
        </w:rPr>
      </w:pPr>
      <w:r>
        <w:rPr>
          <w:snapToGrid w:val="0"/>
        </w:rPr>
        <w:tab/>
        <w:t>(a)</w:t>
      </w:r>
      <w:r>
        <w:rPr>
          <w:snapToGrid w:val="0"/>
        </w:rPr>
        <w:tab/>
        <w:t>where the applicant is a person not being a body corporate, the Board is satisfied that, if the application were for a business settlement agent’s licence, the requirements of section 27(1)(a), (b), and (d) would be fulfilled;</w:t>
      </w:r>
    </w:p>
    <w:p>
      <w:pPr>
        <w:pStyle w:val="Indenta"/>
        <w:rPr>
          <w:snapToGrid w:val="0"/>
        </w:rPr>
      </w:pPr>
      <w:r>
        <w:rPr>
          <w:snapToGrid w:val="0"/>
        </w:rPr>
        <w:tab/>
        <w:t>(b)</w:t>
      </w:r>
      <w:r>
        <w:rPr>
          <w:snapToGrid w:val="0"/>
        </w:rPr>
        <w:tab/>
        <w:t>where the applicants constitute a firm, the Board is satisfied that — </w:t>
      </w:r>
    </w:p>
    <w:p>
      <w:pPr>
        <w:pStyle w:val="Indenti"/>
        <w:rPr>
          <w:snapToGrid w:val="0"/>
        </w:rPr>
      </w:pPr>
      <w:r>
        <w:rPr>
          <w:snapToGrid w:val="0"/>
        </w:rPr>
        <w:tab/>
        <w:t>(i)</w:t>
      </w:r>
      <w:r>
        <w:rPr>
          <w:snapToGrid w:val="0"/>
        </w:rPr>
        <w:tab/>
        <w:t>if the application were for a business settlement agent’s licence, the requirements of section 28(1)(a) would be fulfilled;</w:t>
      </w:r>
    </w:p>
    <w:p>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where the applicant is a body corporate, the Board is satisfied that — </w:t>
      </w:r>
    </w:p>
    <w:p>
      <w:pPr>
        <w:pStyle w:val="Indenti"/>
        <w:rPr>
          <w:snapToGrid w:val="0"/>
        </w:rPr>
      </w:pPr>
      <w:r>
        <w:rPr>
          <w:snapToGrid w:val="0"/>
        </w:rPr>
        <w:tab/>
        <w:t>(i)</w:t>
      </w:r>
      <w:r>
        <w:rPr>
          <w:snapToGrid w:val="0"/>
        </w:rPr>
        <w:tab/>
        <w:t>if the application were for a business settlement agent’s licence, the requirements of section 29(1)(a) would be fulfilled;</w:t>
      </w:r>
    </w:p>
    <w:p>
      <w:pPr>
        <w:pStyle w:val="Indenti"/>
        <w:rPr>
          <w:snapToGrid w:val="0"/>
        </w:rPr>
      </w:pPr>
      <w:r>
        <w:rPr>
          <w:snapToGrid w:val="0"/>
        </w:rPr>
        <w:tab/>
        <w:t>(ii)</w:t>
      </w:r>
      <w:r>
        <w:rPr>
          <w:snapToGrid w:val="0"/>
        </w:rPr>
        <w:tab/>
        <w:t>unless for good cause shown by the applicant the Board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pPr>
        <w:pStyle w:val="Subsection"/>
        <w:rPr>
          <w:snapToGrid w:val="0"/>
        </w:rPr>
      </w:pPr>
      <w:r>
        <w:rPr>
          <w:snapToGrid w:val="0"/>
        </w:rPr>
        <w:tab/>
        <w:t>(6)</w:t>
      </w:r>
      <w:r>
        <w:rPr>
          <w:snapToGrid w:val="0"/>
        </w:rPr>
        <w:tab/>
        <w:t>A person shall not at the same time be currently exempted under this section and licensed as a business settlement agent.</w:t>
      </w:r>
    </w:p>
    <w:p>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 </w:t>
      </w:r>
    </w:p>
    <w:p>
      <w:pPr>
        <w:pStyle w:val="Indenta"/>
        <w:rPr>
          <w:snapToGrid w:val="0"/>
        </w:rPr>
      </w:pPr>
      <w:r>
        <w:rPr>
          <w:snapToGrid w:val="0"/>
        </w:rPr>
        <w:tab/>
        <w:t>(a)</w:t>
      </w:r>
      <w:r>
        <w:rPr>
          <w:snapToGrid w:val="0"/>
        </w:rPr>
        <w:tab/>
        <w:t>the settlement is of a business transaction in respect of which the person acted in the course of business as a business agent;</w:t>
      </w:r>
    </w:p>
    <w:p>
      <w:pPr>
        <w:pStyle w:val="Indenta"/>
        <w:rPr>
          <w:snapToGrid w:val="0"/>
        </w:rPr>
      </w:pPr>
      <w:r>
        <w:rPr>
          <w:snapToGrid w:val="0"/>
        </w:rPr>
        <w:tab/>
        <w:t>(b)</w:t>
      </w:r>
      <w:r>
        <w:rPr>
          <w:snapToGrid w:val="0"/>
        </w:rPr>
        <w:tab/>
        <w:t>the settlement is not arranged or effected for reward; and</w:t>
      </w:r>
    </w:p>
    <w:p>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pPr>
        <w:pStyle w:val="Subsection"/>
        <w:keepNext/>
        <w:rPr>
          <w:snapToGrid w:val="0"/>
        </w:rPr>
      </w:pPr>
      <w:r>
        <w:rPr>
          <w:snapToGrid w:val="0"/>
        </w:rPr>
        <w:tab/>
        <w:t>(8)</w:t>
      </w:r>
      <w:r>
        <w:rPr>
          <w:snapToGrid w:val="0"/>
        </w:rPr>
        <w:tab/>
        <w:t>An exemption under this section is current until — </w:t>
      </w:r>
    </w:p>
    <w:p>
      <w:pPr>
        <w:pStyle w:val="Indenta"/>
        <w:rPr>
          <w:snapToGrid w:val="0"/>
        </w:rPr>
      </w:pPr>
      <w:r>
        <w:rPr>
          <w:snapToGrid w:val="0"/>
        </w:rPr>
        <w:tab/>
        <w:t>(a)</w:t>
      </w:r>
      <w:r>
        <w:rPr>
          <w:snapToGrid w:val="0"/>
        </w:rPr>
        <w:tab/>
        <w:t>by notice in writing given to the Board, it is surrendered by the person to whom it was granted; or</w:t>
      </w:r>
    </w:p>
    <w:p>
      <w:pPr>
        <w:pStyle w:val="Indenta"/>
        <w:rPr>
          <w:snapToGrid w:val="0"/>
        </w:rPr>
      </w:pPr>
      <w:r>
        <w:rPr>
          <w:snapToGrid w:val="0"/>
        </w:rPr>
        <w:tab/>
        <w:t>(b)</w:t>
      </w:r>
      <w:r>
        <w:rPr>
          <w:snapToGrid w:val="0"/>
        </w:rPr>
        <w:tab/>
        <w:t>by notice in writing given to the person to whom it was granted, it is revoked by the Board.</w:t>
      </w:r>
    </w:p>
    <w:p>
      <w:pPr>
        <w:pStyle w:val="Footnotesection"/>
      </w:pPr>
      <w:r>
        <w:tab/>
        <w:t xml:space="preserve">[Section 26B inserted by No. 64 of 1982 s. 3.] </w:t>
      </w:r>
    </w:p>
    <w:p>
      <w:pPr>
        <w:pStyle w:val="Heading5"/>
        <w:rPr>
          <w:snapToGrid w:val="0"/>
        </w:rPr>
      </w:pPr>
      <w:bookmarkStart w:id="278" w:name="_Toc480623090"/>
      <w:bookmarkStart w:id="279" w:name="_Toc520186096"/>
      <w:bookmarkStart w:id="280" w:name="_Toc108238580"/>
      <w:bookmarkStart w:id="281" w:name="_Toc124125575"/>
      <w:bookmarkStart w:id="282" w:name="_Toc155600302"/>
      <w:r>
        <w:rPr>
          <w:rStyle w:val="CharSectno"/>
        </w:rPr>
        <w:t>27</w:t>
      </w:r>
      <w:r>
        <w:rPr>
          <w:snapToGrid w:val="0"/>
        </w:rPr>
        <w:t>.</w:t>
      </w:r>
      <w:r>
        <w:rPr>
          <w:snapToGrid w:val="0"/>
        </w:rPr>
        <w:tab/>
        <w:t>Grant of licence to a natural person</w:t>
      </w:r>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Subject to this Act, a person, not being a body corporate, who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w:t>
      </w:r>
    </w:p>
    <w:p>
      <w:pPr>
        <w:pStyle w:val="Indenta"/>
        <w:rPr>
          <w:snapToGrid w:val="0"/>
        </w:rPr>
      </w:pPr>
      <w:r>
        <w:rPr>
          <w:snapToGrid w:val="0"/>
        </w:rPr>
        <w:tab/>
        <w:t>(d)</w:t>
      </w:r>
      <w:r>
        <w:rPr>
          <w:snapToGrid w:val="0"/>
        </w:rPr>
        <w:tab/>
        <w:t>he is ordinarily resident in the State; and</w:t>
      </w:r>
    </w:p>
    <w:p>
      <w:pPr>
        <w:pStyle w:val="Indenta"/>
        <w:rPr>
          <w:snapToGrid w:val="0"/>
        </w:rPr>
      </w:pPr>
      <w:r>
        <w:rPr>
          <w:snapToGrid w:val="0"/>
        </w:rPr>
        <w:tab/>
        <w:t>(e)</w:t>
      </w:r>
      <w:r>
        <w:rPr>
          <w:snapToGrid w:val="0"/>
        </w:rPr>
        <w:tab/>
        <w:t>he understands fully the duties and obligations imposed by this Act on settlement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Schedule 1 to this Act subject to the savings and exceptions provided therein and elsewhere in this Act, but nothing in that Schedule shall derogate from the discretion conferred on the Board by subsection (1) in the granting of a licence.</w:t>
      </w:r>
    </w:p>
    <w:p>
      <w:pPr>
        <w:pStyle w:val="Heading5"/>
        <w:rPr>
          <w:snapToGrid w:val="0"/>
        </w:rPr>
      </w:pPr>
      <w:bookmarkStart w:id="283" w:name="_Toc480623091"/>
      <w:bookmarkStart w:id="284" w:name="_Toc520186097"/>
      <w:bookmarkStart w:id="285" w:name="_Toc108238581"/>
      <w:bookmarkStart w:id="286" w:name="_Toc124125576"/>
      <w:bookmarkStart w:id="287" w:name="_Toc155600303"/>
      <w:r>
        <w:rPr>
          <w:rStyle w:val="CharSectno"/>
        </w:rPr>
        <w:t>28</w:t>
      </w:r>
      <w:r>
        <w:rPr>
          <w:snapToGrid w:val="0"/>
        </w:rPr>
        <w:t>.</w:t>
      </w:r>
      <w:r>
        <w:rPr>
          <w:snapToGrid w:val="0"/>
        </w:rPr>
        <w:tab/>
        <w:t>Grant of licence to a firm</w:t>
      </w:r>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Subject to this Act, 2 or more persons constituting a firm who apply to the Board for a real estate settlement agent’s licence or a business settlement agent’s licence, or both,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288" w:name="_Toc480623092"/>
      <w:bookmarkStart w:id="289" w:name="_Toc520186098"/>
      <w:bookmarkStart w:id="290" w:name="_Toc108238582"/>
      <w:bookmarkStart w:id="291" w:name="_Toc124125577"/>
      <w:bookmarkStart w:id="292" w:name="_Toc155600304"/>
      <w:r>
        <w:rPr>
          <w:rStyle w:val="CharSectno"/>
        </w:rPr>
        <w:t>29</w:t>
      </w:r>
      <w:r>
        <w:rPr>
          <w:snapToGrid w:val="0"/>
        </w:rPr>
        <w:t>.</w:t>
      </w:r>
      <w:r>
        <w:rPr>
          <w:snapToGrid w:val="0"/>
        </w:rPr>
        <w:tab/>
        <w:t>Grant of licence to body corporate</w:t>
      </w:r>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Subject to this Act, a body corporate which applies to the Board for a real estate settlement agent’s licence or a business settlement agent’s licence, or both,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w:t>
      </w:r>
    </w:p>
    <w:p>
      <w:pPr>
        <w:pStyle w:val="Indenta"/>
        <w:rPr>
          <w:snapToGrid w:val="0"/>
        </w:rPr>
      </w:pPr>
      <w:r>
        <w:rPr>
          <w:snapToGrid w:val="0"/>
        </w:rPr>
        <w:tab/>
        <w:t>(b)</w:t>
      </w:r>
      <w:r>
        <w:rPr>
          <w:snapToGrid w:val="0"/>
        </w:rPr>
        <w:tab/>
        <w:t>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where there are more than 3 directors of the body corporate at least 2 of them are licensed; and</w:t>
      </w:r>
    </w:p>
    <w:p>
      <w:pPr>
        <w:pStyle w:val="Indenta"/>
        <w:rPr>
          <w:snapToGrid w:val="0"/>
        </w:rPr>
      </w:pPr>
      <w:r>
        <w:rPr>
          <w:snapToGrid w:val="0"/>
        </w:rPr>
        <w:tab/>
        <w:t>(d)</w:t>
      </w:r>
      <w:r>
        <w:rPr>
          <w:snapToGrid w:val="0"/>
        </w:rPr>
        <w:tab/>
        <w:t>the person in bona fide control of the business operated under the licence is — </w:t>
      </w:r>
    </w:p>
    <w:p>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w:t>
      </w:r>
    </w:p>
    <w:p>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pPr>
        <w:pStyle w:val="Indenti"/>
        <w:rPr>
          <w:snapToGrid w:val="0"/>
        </w:rPr>
      </w:pPr>
      <w:r>
        <w:rPr>
          <w:snapToGrid w:val="0"/>
        </w:rPr>
        <w:tab/>
        <w:t>(iii)</w:t>
      </w:r>
      <w:r>
        <w:rPr>
          <w:snapToGrid w:val="0"/>
        </w:rPr>
        <w:tab/>
        <w:t>ordinarily resident in the State.</w:t>
      </w:r>
    </w:p>
    <w:p>
      <w:pPr>
        <w:pStyle w:val="Subsection"/>
        <w:rPr>
          <w:snapToGrid w:val="0"/>
        </w:rPr>
      </w:pPr>
      <w:r>
        <w:rPr>
          <w:snapToGrid w:val="0"/>
        </w:rPr>
        <w:tab/>
        <w:t>(2)</w:t>
      </w:r>
      <w:r>
        <w:rPr>
          <w:snapToGrid w:val="0"/>
        </w:rPr>
        <w:tab/>
        <w:t>The provisions of Clause 10 of Schedule 1 apply to a licence granted under this section.</w:t>
      </w:r>
    </w:p>
    <w:p>
      <w:pPr>
        <w:pStyle w:val="Heading5"/>
        <w:rPr>
          <w:snapToGrid w:val="0"/>
        </w:rPr>
      </w:pPr>
      <w:bookmarkStart w:id="293" w:name="_Toc480623093"/>
      <w:bookmarkStart w:id="294" w:name="_Toc520186099"/>
      <w:bookmarkStart w:id="295" w:name="_Toc108238583"/>
      <w:bookmarkStart w:id="296" w:name="_Toc124125578"/>
      <w:bookmarkStart w:id="297" w:name="_Toc155600305"/>
      <w:r>
        <w:rPr>
          <w:rStyle w:val="CharSectno"/>
        </w:rPr>
        <w:t>30</w:t>
      </w:r>
      <w:r>
        <w:rPr>
          <w:snapToGrid w:val="0"/>
        </w:rPr>
        <w:t>.</w:t>
      </w:r>
      <w:r>
        <w:rPr>
          <w:snapToGrid w:val="0"/>
        </w:rPr>
        <w:tab/>
        <w:t>Effect of licence</w:t>
      </w:r>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pPr>
        <w:pStyle w:val="Subsection"/>
        <w:rPr>
          <w:snapToGrid w:val="0"/>
        </w:rPr>
      </w:pPr>
      <w:r>
        <w:rPr>
          <w:snapToGrid w:val="0"/>
        </w:rPr>
        <w:tab/>
        <w:t>(3a)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(4)</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(5)</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56 of 1995 s. 50; No. 55 of 2004 s. 1085.] </w:t>
      </w:r>
    </w:p>
    <w:p>
      <w:pPr>
        <w:pStyle w:val="Heading5"/>
        <w:rPr>
          <w:snapToGrid w:val="0"/>
        </w:rPr>
      </w:pPr>
      <w:bookmarkStart w:id="298" w:name="_Toc480623094"/>
      <w:bookmarkStart w:id="299" w:name="_Toc520186100"/>
      <w:bookmarkStart w:id="300" w:name="_Toc108238584"/>
      <w:bookmarkStart w:id="301" w:name="_Toc124125579"/>
      <w:bookmarkStart w:id="302" w:name="_Toc155600306"/>
      <w:r>
        <w:rPr>
          <w:rStyle w:val="CharSectno"/>
        </w:rPr>
        <w:t>31</w:t>
      </w:r>
      <w:r>
        <w:rPr>
          <w:snapToGrid w:val="0"/>
        </w:rPr>
        <w:t>.</w:t>
      </w:r>
      <w:r>
        <w:rPr>
          <w:snapToGrid w:val="0"/>
        </w:rPr>
        <w:tab/>
        <w:t>Triennial certificate and renewal thereof</w:t>
      </w:r>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Subject to this Act, the Board shall on the grant of — </w:t>
      </w:r>
    </w:p>
    <w:p>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pPr>
        <w:pStyle w:val="Indenta"/>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pPr>
        <w:pStyle w:val="Subsection"/>
        <w:rPr>
          <w:snapToGrid w:val="0"/>
        </w:rPr>
      </w:pPr>
      <w:r>
        <w:rPr>
          <w:snapToGrid w:val="0"/>
        </w:rPr>
        <w:tab/>
      </w:r>
      <w:r>
        <w:rPr>
          <w:snapToGrid w:val="0"/>
        </w:rPr>
        <w:tab/>
        <w:t>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 xml:space="preserve">by the licensee, if the licensee is a person other than a firm or a body corporate; or </w:t>
      </w:r>
    </w:p>
    <w:p>
      <w:pPr>
        <w:pStyle w:val="Indenta"/>
        <w:rPr>
          <w:snapToGrid w:val="0"/>
        </w:rPr>
      </w:pPr>
      <w:r>
        <w:rPr>
          <w:snapToGrid w:val="0"/>
        </w:rPr>
        <w:tab/>
        <w:t>(b)</w:t>
      </w:r>
      <w:r>
        <w:rPr>
          <w:snapToGrid w:val="0"/>
        </w:rPr>
        <w:tab/>
        <w:t>by the person in bona fide control of the business of the licensee, if the licensee is a firm or body corporate.</w:t>
      </w:r>
    </w:p>
    <w:p>
      <w:pPr>
        <w:pStyle w:val="Subsection"/>
        <w:rPr>
          <w:snapToGrid w:val="0"/>
        </w:rPr>
      </w:pPr>
      <w:r>
        <w:rPr>
          <w:snapToGrid w:val="0"/>
        </w:rPr>
        <w:tab/>
        <w:t>(2a)</w:t>
      </w:r>
      <w:r>
        <w:rPr>
          <w:snapToGrid w:val="0"/>
        </w:rPr>
        <w:tab/>
        <w:t>The Board may refuse to renew a triennial certificate if the licensee has not met prescribed educational requirements.</w:t>
      </w:r>
    </w:p>
    <w:p>
      <w:pPr>
        <w:pStyle w:val="Subsection"/>
        <w:rPr>
          <w:snapToGrid w:val="0"/>
        </w:rPr>
      </w:pPr>
      <w:r>
        <w:rPr>
          <w:snapToGrid w:val="0"/>
        </w:rPr>
        <w:tab/>
        <w:t>(3)</w:t>
      </w:r>
      <w:r>
        <w:rPr>
          <w:snapToGrid w:val="0"/>
        </w:rPr>
        <w:tab/>
        <w:t>At all times during the currency of the triennial certificate — </w:t>
      </w:r>
    </w:p>
    <w:p>
      <w:pPr>
        <w:pStyle w:val="Indenta"/>
        <w:rPr>
          <w:snapToGrid w:val="0"/>
        </w:rPr>
      </w:pPr>
      <w:r>
        <w:rPr>
          <w:snapToGrid w:val="0"/>
        </w:rPr>
        <w:tab/>
        <w:t>(a)</w:t>
      </w:r>
      <w:r>
        <w:rPr>
          <w:snapToGrid w:val="0"/>
        </w:rPr>
        <w:tab/>
        <w:t>if the licensee is a person other than a firm or body corporate, that person; or</w:t>
      </w:r>
    </w:p>
    <w:p>
      <w:pPr>
        <w:pStyle w:val="Indenta"/>
        <w:rPr>
          <w:snapToGrid w:val="0"/>
        </w:rPr>
      </w:pPr>
      <w:r>
        <w:rPr>
          <w:snapToGrid w:val="0"/>
        </w:rPr>
        <w:tab/>
        <w:t>(b)</w:t>
      </w:r>
      <w:r>
        <w:rPr>
          <w:snapToGrid w:val="0"/>
        </w:rPr>
        <w:tab/>
        <w:t>if the licensee is a firm or body corporate, the person in bona fide control of the business of the licensee,</w:t>
      </w:r>
    </w:p>
    <w:p>
      <w:pPr>
        <w:pStyle w:val="Subsection"/>
        <w:rPr>
          <w:snapToGrid w:val="0"/>
        </w:rPr>
      </w:pPr>
      <w:r>
        <w:rPr>
          <w:snapToGrid w:val="0"/>
        </w:rPr>
        <w:tab/>
      </w:r>
      <w:r>
        <w:rPr>
          <w:snapToGrid w:val="0"/>
        </w:rPr>
        <w:tab/>
        <w:t>shall remain ordinarily resident in the State.</w:t>
      </w:r>
    </w:p>
    <w:p>
      <w:pPr>
        <w:pStyle w:val="Footnotesection"/>
      </w:pPr>
      <w:r>
        <w:tab/>
        <w:t xml:space="preserve">[Section 31 amended by No. 62 of 1996 s. 4.] </w:t>
      </w:r>
    </w:p>
    <w:p>
      <w:pPr>
        <w:pStyle w:val="Heading5"/>
        <w:rPr>
          <w:snapToGrid w:val="0"/>
        </w:rPr>
      </w:pPr>
      <w:bookmarkStart w:id="303" w:name="_Toc480623095"/>
      <w:bookmarkStart w:id="304" w:name="_Toc520186101"/>
      <w:bookmarkStart w:id="305" w:name="_Toc108238585"/>
      <w:bookmarkStart w:id="306" w:name="_Toc124125580"/>
      <w:bookmarkStart w:id="307" w:name="_Toc155600307"/>
      <w:r>
        <w:rPr>
          <w:rStyle w:val="CharSectno"/>
        </w:rPr>
        <w:t>32</w:t>
      </w:r>
      <w:r>
        <w:rPr>
          <w:snapToGrid w:val="0"/>
        </w:rPr>
        <w:t>.</w:t>
      </w:r>
      <w:r>
        <w:rPr>
          <w:snapToGrid w:val="0"/>
        </w:rPr>
        <w:tab/>
        <w:t>Periods of grace for renewal of triennial certificate</w:t>
      </w:r>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that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308" w:name="_Toc480623096"/>
      <w:bookmarkStart w:id="309" w:name="_Toc520186102"/>
      <w:bookmarkStart w:id="310" w:name="_Toc108238586"/>
      <w:bookmarkStart w:id="311" w:name="_Toc124125581"/>
      <w:bookmarkStart w:id="312" w:name="_Toc155600308"/>
      <w:r>
        <w:rPr>
          <w:rStyle w:val="CharSectno"/>
        </w:rPr>
        <w:t>33</w:t>
      </w:r>
      <w:r>
        <w:rPr>
          <w:snapToGrid w:val="0"/>
        </w:rPr>
        <w:t>.</w:t>
      </w:r>
      <w:r>
        <w:rPr>
          <w:snapToGrid w:val="0"/>
        </w:rPr>
        <w:tab/>
        <w:t>Applications for renewal of triennial certificates in certain cases</w:t>
      </w:r>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The information contained in the application shall be verified by statutory declaration of the applicant or where the applicant is a firm or body corporate by the person who is to be in bona fide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313" w:name="_Toc480623097"/>
      <w:bookmarkStart w:id="314" w:name="_Toc520186103"/>
      <w:bookmarkStart w:id="315" w:name="_Toc108238587"/>
      <w:bookmarkStart w:id="316" w:name="_Toc124125582"/>
      <w:bookmarkStart w:id="317" w:name="_Toc155600309"/>
      <w:r>
        <w:rPr>
          <w:rStyle w:val="CharSectno"/>
        </w:rPr>
        <w:t>34</w:t>
      </w:r>
      <w:r>
        <w:rPr>
          <w:snapToGrid w:val="0"/>
        </w:rPr>
        <w:t>.</w:t>
      </w:r>
      <w:r>
        <w:rPr>
          <w:snapToGrid w:val="0"/>
        </w:rPr>
        <w:tab/>
        <w:t>Conditions on licences and triennial certificates</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A licensee shall comply with the provisions of this Act and the settlement agents’ code of conduct.</w:t>
      </w:r>
    </w:p>
    <w:p>
      <w:pPr>
        <w:pStyle w:val="Subsection"/>
        <w:rPr>
          <w:snapToGrid w:val="0"/>
        </w:rPr>
      </w:pPr>
      <w:r>
        <w:rPr>
          <w:snapToGrid w:val="0"/>
        </w:rPr>
        <w:tab/>
        <w:t>(2)</w:t>
      </w:r>
      <w:r>
        <w:rPr>
          <w:snapToGrid w:val="0"/>
        </w:rPr>
        <w:tab/>
        <w:t>The Board may grant a licence or grant or renew a triennial certificate subject to such special conditions as it thinks fit, and without limiting the generality of the foregoing any of those conditions may — </w:t>
      </w:r>
    </w:p>
    <w:p>
      <w:pPr>
        <w:pStyle w:val="Indenta"/>
        <w:rPr>
          <w:snapToGrid w:val="0"/>
        </w:rPr>
      </w:pPr>
      <w:r>
        <w:rPr>
          <w:snapToGrid w:val="0"/>
        </w:rPr>
        <w:tab/>
        <w:t>(a)</w:t>
      </w:r>
      <w:r>
        <w:rPr>
          <w:snapToGrid w:val="0"/>
        </w:rPr>
        <w:tab/>
        <w:t>relate to the holding of a policy of indemnity insurance or fidelity insurance in a specified amount; or</w:t>
      </w:r>
    </w:p>
    <w:p>
      <w:pPr>
        <w:pStyle w:val="Indenta"/>
        <w:rPr>
          <w:snapToGrid w:val="0"/>
        </w:rPr>
      </w:pPr>
      <w:r>
        <w:rPr>
          <w:snapToGrid w:val="0"/>
        </w:rPr>
        <w:tab/>
        <w:t>(b)</w:t>
      </w:r>
      <w:r>
        <w:rPr>
          <w:snapToGrid w:val="0"/>
        </w:rPr>
        <w:tab/>
        <w:t>relate to the payment of fees under this Act or to contributions to the Fund and may vary such prescribed fees or contributions.</w:t>
      </w:r>
    </w:p>
    <w:p>
      <w:pPr>
        <w:pStyle w:val="Subsection"/>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bookmarkStart w:id="318" w:name="_Toc480623098"/>
      <w:bookmarkStart w:id="319" w:name="_Toc520186104"/>
      <w:r>
        <w:tab/>
        <w:t>[Section 34 amended by No. 55 of 2004 s. 1086.]</w:t>
      </w:r>
    </w:p>
    <w:p>
      <w:pPr>
        <w:pStyle w:val="Heading5"/>
      </w:pPr>
      <w:bookmarkStart w:id="320" w:name="_Toc108238588"/>
      <w:bookmarkStart w:id="321" w:name="_Toc124125583"/>
      <w:bookmarkStart w:id="322" w:name="_Toc155600310"/>
      <w:r>
        <w:rPr>
          <w:rStyle w:val="CharSectno"/>
        </w:rPr>
        <w:t>34A</w:t>
      </w:r>
      <w:r>
        <w:rPr>
          <w:snapToGrid w:val="0"/>
        </w:rPr>
        <w:t>.</w:t>
      </w:r>
      <w:r>
        <w:tab/>
        <w:t>Unopposed applications</w:t>
      </w:r>
      <w:bookmarkEnd w:id="320"/>
      <w:bookmarkEnd w:id="321"/>
      <w:bookmarkEnd w:id="322"/>
    </w:p>
    <w:p>
      <w:pPr>
        <w:pStyle w:val="Subsection"/>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1087.]</w:t>
      </w:r>
    </w:p>
    <w:p>
      <w:pPr>
        <w:pStyle w:val="Heading5"/>
      </w:pPr>
      <w:bookmarkStart w:id="323" w:name="_Toc108238589"/>
      <w:bookmarkStart w:id="324" w:name="_Toc124125584"/>
      <w:bookmarkStart w:id="325" w:name="_Toc155600311"/>
      <w:r>
        <w:rPr>
          <w:rStyle w:val="CharSectno"/>
        </w:rPr>
        <w:t>34B</w:t>
      </w:r>
      <w:r>
        <w:t>.</w:t>
      </w:r>
      <w:r>
        <w:tab/>
        <w:t>Suspension of licence by State Administrative Tribunal</w:t>
      </w:r>
      <w:bookmarkEnd w:id="323"/>
      <w:bookmarkEnd w:id="324"/>
      <w:bookmarkEnd w:id="325"/>
    </w:p>
    <w:p>
      <w:pPr>
        <w:pStyle w:val="Subsection"/>
        <w:rPr>
          <w:snapToGrid w:val="0"/>
        </w:rPr>
      </w:pPr>
      <w:r>
        <w:rPr>
          <w:snapToGrid w:val="0"/>
        </w:rPr>
        <w:tab/>
        <w:t>(1)</w:t>
      </w:r>
      <w:r>
        <w:rPr>
          <w:snapToGrid w:val="0"/>
        </w:rPr>
        <w:tab/>
        <w:t xml:space="preserve">Where the State </w:t>
      </w:r>
      <w:r>
        <w:rPr>
          <w:snapToGrid w:val="0"/>
          <w:spacing w:val="-4"/>
        </w:rPr>
        <w:t>Administrative Tribunal</w:t>
      </w:r>
      <w:r>
        <w:rPr>
          <w:snapToGrid w:val="0"/>
        </w:rPr>
        <w:t xml:space="preserve"> makes an order against a licensee and payment is not made in accordance with the order or the order is otherwise not complied with or is breached, the State </w:t>
      </w:r>
      <w:r>
        <w:rPr>
          <w:snapToGrid w:val="0"/>
          <w:spacing w:val="-4"/>
        </w:rPr>
        <w:t>Administrative Tribunal</w:t>
      </w:r>
      <w:r>
        <w:rPr>
          <w:snapToGrid w:val="0"/>
        </w:rPr>
        <w:t xml:space="preserve"> may suspend the licence until the payment is made, or for such period or upon such event occurring as the State </w:t>
      </w:r>
      <w:r>
        <w:rPr>
          <w:snapToGrid w:val="0"/>
          <w:spacing w:val="-4"/>
        </w:rPr>
        <w:t>Administrative Tribunal</w:t>
      </w:r>
      <w:r>
        <w:rPr>
          <w:snapToGrid w:val="0"/>
        </w:rPr>
        <w:t xml:space="preserve"> thinks fit.</w:t>
      </w:r>
    </w:p>
    <w:p>
      <w:pPr>
        <w:pStyle w:val="Subsection"/>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subsection (1) is in addition to, and does not derogate from, the powers conferred on it by Part IV Division 3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34B inserted by No. 55 of 2004 s. 1087.]</w:t>
      </w:r>
    </w:p>
    <w:p>
      <w:pPr>
        <w:pStyle w:val="Heading5"/>
        <w:rPr>
          <w:snapToGrid w:val="0"/>
        </w:rPr>
      </w:pPr>
      <w:bookmarkStart w:id="326" w:name="_Toc108238590"/>
      <w:bookmarkStart w:id="327" w:name="_Toc124125585"/>
      <w:bookmarkStart w:id="328" w:name="_Toc155600312"/>
      <w:r>
        <w:rPr>
          <w:rStyle w:val="CharSectno"/>
        </w:rPr>
        <w:t>35</w:t>
      </w:r>
      <w:r>
        <w:rPr>
          <w:snapToGrid w:val="0"/>
        </w:rPr>
        <w:t>.</w:t>
      </w:r>
      <w:r>
        <w:rPr>
          <w:snapToGrid w:val="0"/>
        </w:rPr>
        <w:tab/>
        <w:t>Fidelity insurance and professional indemnity insurance in respect of triennial certificate</w:t>
      </w:r>
      <w:bookmarkEnd w:id="318"/>
      <w:bookmarkEnd w:id="319"/>
      <w:bookmarkEnd w:id="326"/>
      <w:bookmarkEnd w:id="327"/>
      <w:bookmarkEnd w:id="328"/>
      <w:r>
        <w:rPr>
          <w:snapToGrid w:val="0"/>
        </w:rPr>
        <w:t xml:space="preserve"> </w:t>
      </w:r>
    </w:p>
    <w:p>
      <w:pPr>
        <w:pStyle w:val="Subsection"/>
        <w:rPr>
          <w:snapToGrid w:val="0"/>
        </w:rPr>
      </w:pPr>
      <w:r>
        <w:rPr>
          <w:snapToGrid w:val="0"/>
        </w:rPr>
        <w:tab/>
        <w:t>(1)</w:t>
      </w:r>
      <w:r>
        <w:rPr>
          <w:snapToGrid w:val="0"/>
        </w:rPr>
        <w:tab/>
        <w:t>The Board may, from time to time, make arrangements for or in respect of the provision to licensees of fidelity insurance and professional indemnity insurance on such terms and conditions as the Board thinks fit and, for that purpose, may, from time to time, enter into a Master Policy Agreement with an insurer appointed by the Board and do all such acts or things that the Board deems necessary or expedient for giving effect thereto.</w:t>
      </w:r>
    </w:p>
    <w:p>
      <w:pPr>
        <w:pStyle w:val="Subsection"/>
        <w:rPr>
          <w:snapToGrid w:val="0"/>
        </w:rPr>
      </w:pPr>
      <w:r>
        <w:rPr>
          <w:snapToGrid w:val="0"/>
        </w:rPr>
        <w:tab/>
        <w:t>(2)</w:t>
      </w:r>
      <w:r>
        <w:rPr>
          <w:snapToGrid w:val="0"/>
        </w:rPr>
        <w:tab/>
        <w:t>An arrangement in terms of subsection (1) may include provision with respect to any one or more of the following matters — </w:t>
      </w:r>
    </w:p>
    <w:p>
      <w:pPr>
        <w:pStyle w:val="Indenta"/>
        <w:rPr>
          <w:snapToGrid w:val="0"/>
        </w:rPr>
      </w:pPr>
      <w:r>
        <w:rPr>
          <w:snapToGrid w:val="0"/>
        </w:rPr>
        <w:tab/>
        <w:t>(a)</w:t>
      </w:r>
      <w:r>
        <w:rPr>
          <w:snapToGrid w:val="0"/>
        </w:rPr>
        <w:tab/>
        <w:t>the terms and conditions of the fidelity insurance and professional indemnity insurance;</w:t>
      </w:r>
    </w:p>
    <w:p>
      <w:pPr>
        <w:pStyle w:val="Indenta"/>
        <w:rPr>
          <w:snapToGrid w:val="0"/>
        </w:rPr>
      </w:pPr>
      <w:r>
        <w:rPr>
          <w:snapToGrid w:val="0"/>
        </w:rPr>
        <w:tab/>
        <w:t>(b)</w:t>
      </w:r>
      <w:r>
        <w:rPr>
          <w:snapToGrid w:val="0"/>
        </w:rPr>
        <w:tab/>
        <w:t>subject to subsection (3), the amount or amounts of insurance cover to be provided;</w:t>
      </w:r>
    </w:p>
    <w:p>
      <w:pPr>
        <w:pStyle w:val="Indenta"/>
        <w:rPr>
          <w:snapToGrid w:val="0"/>
        </w:rPr>
      </w:pPr>
      <w:r>
        <w:rPr>
          <w:snapToGrid w:val="0"/>
        </w:rPr>
        <w:tab/>
        <w:t>(c)</w:t>
      </w:r>
      <w:r>
        <w:rPr>
          <w:snapToGrid w:val="0"/>
        </w:rPr>
        <w:tab/>
        <w:t>the amount or amounts payable by way of premiums;</w:t>
      </w:r>
    </w:p>
    <w:p>
      <w:pPr>
        <w:pStyle w:val="Indenta"/>
        <w:rPr>
          <w:snapToGrid w:val="0"/>
        </w:rPr>
      </w:pPr>
      <w:r>
        <w:rPr>
          <w:snapToGrid w:val="0"/>
        </w:rPr>
        <w:tab/>
        <w:t>(d)</w:t>
      </w:r>
      <w:r>
        <w:rPr>
          <w:snapToGrid w:val="0"/>
        </w:rPr>
        <w:tab/>
        <w:t>the period during which the insurance is to be provided;</w:t>
      </w:r>
    </w:p>
    <w:p>
      <w:pPr>
        <w:pStyle w:val="Indenta"/>
        <w:rPr>
          <w:snapToGrid w:val="0"/>
        </w:rPr>
      </w:pPr>
      <w:r>
        <w:rPr>
          <w:snapToGrid w:val="0"/>
        </w:rPr>
        <w:tab/>
        <w:t>(e)</w:t>
      </w:r>
      <w:r>
        <w:rPr>
          <w:snapToGrid w:val="0"/>
        </w:rPr>
        <w:tab/>
        <w:t>the issue of certificates of insurance to licensees and the form of those certificates; and</w:t>
      </w:r>
    </w:p>
    <w:p>
      <w:pPr>
        <w:pStyle w:val="Indenta"/>
        <w:rPr>
          <w:snapToGrid w:val="0"/>
        </w:rPr>
      </w:pPr>
      <w:r>
        <w:rPr>
          <w:snapToGrid w:val="0"/>
        </w:rPr>
        <w:tab/>
        <w:t>(f)</w:t>
      </w:r>
      <w:r>
        <w:rPr>
          <w:snapToGrid w:val="0"/>
        </w:rPr>
        <w:tab/>
        <w:t>any other matters in connection with the fidelity insurance and professional indemnity insurance.</w:t>
      </w:r>
    </w:p>
    <w:p>
      <w:pPr>
        <w:pStyle w:val="Subsection"/>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pPr>
        <w:pStyle w:val="Subsection"/>
        <w:rPr>
          <w:snapToGrid w:val="0"/>
        </w:rPr>
      </w:pPr>
      <w:r>
        <w:rPr>
          <w:snapToGrid w:val="0"/>
        </w:rPr>
        <w:tab/>
        <w:t>(4)</w:t>
      </w:r>
      <w:r>
        <w:rPr>
          <w:snapToGrid w:val="0"/>
        </w:rPr>
        <w:tab/>
        <w:t>The Board may, from time to time, negotiate such rescission or variation of the arrangement referred to in subsection (1) as it considers necessary or expedient.</w:t>
      </w:r>
    </w:p>
    <w:p>
      <w:pPr>
        <w:pStyle w:val="Subsection"/>
        <w:rPr>
          <w:snapToGrid w:val="0"/>
        </w:rPr>
      </w:pPr>
      <w:r>
        <w:rPr>
          <w:snapToGrid w:val="0"/>
        </w:rPr>
        <w:tab/>
        <w:t>(5)</w:t>
      </w:r>
      <w:r>
        <w:rPr>
          <w:snapToGrid w:val="0"/>
        </w:rPr>
        <w:tab/>
        <w:t xml:space="preserve">Where the Board has entered into a Master Policy Agreement in accordance with subsection (1) the Board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pPr>
        <w:pStyle w:val="Subsection"/>
        <w:rPr>
          <w:snapToGrid w:val="0"/>
        </w:rPr>
      </w:pPr>
      <w:r>
        <w:rPr>
          <w:snapToGrid w:val="0"/>
        </w:rPr>
        <w:tab/>
        <w:t>(6)</w:t>
      </w:r>
      <w:r>
        <w:rPr>
          <w:snapToGrid w:val="0"/>
        </w:rPr>
        <w:tab/>
        <w:t>Where the provisions of this section apply — </w:t>
      </w:r>
    </w:p>
    <w:p>
      <w:pPr>
        <w:pStyle w:val="Indenta"/>
        <w:rPr>
          <w:snapToGrid w:val="0"/>
        </w:rPr>
      </w:pPr>
      <w:r>
        <w:rPr>
          <w:snapToGrid w:val="0"/>
        </w:rPr>
        <w:tab/>
        <w:t>(a)</w:t>
      </w:r>
      <w:r>
        <w:rPr>
          <w:snapToGrid w:val="0"/>
        </w:rPr>
        <w:tab/>
        <w:t>the Board shall not grant or renew a triennial certificate unless the applicant is insured in accordance with this section;</w:t>
      </w:r>
    </w:p>
    <w:p>
      <w:pPr>
        <w:pStyle w:val="Indenta"/>
        <w:rPr>
          <w:snapToGrid w:val="0"/>
        </w:rPr>
      </w:pPr>
      <w:r>
        <w:rPr>
          <w:snapToGrid w:val="0"/>
        </w:rPr>
        <w:tab/>
        <w:t>(b)</w:t>
      </w:r>
      <w:r>
        <w:rPr>
          <w:snapToGrid w:val="0"/>
        </w:rPr>
        <w:tab/>
        <w:t>each licensee who is the holder of a triennial certificate shall — </w:t>
      </w:r>
    </w:p>
    <w:p>
      <w:pPr>
        <w:pStyle w:val="Indenti"/>
        <w:rPr>
          <w:snapToGrid w:val="0"/>
        </w:rPr>
      </w:pPr>
      <w:r>
        <w:rPr>
          <w:snapToGrid w:val="0"/>
        </w:rPr>
        <w:tab/>
        <w:t>(i)</w:t>
      </w:r>
      <w:r>
        <w:rPr>
          <w:snapToGrid w:val="0"/>
        </w:rPr>
        <w:tab/>
        <w:t>at all times remain insured under the Master Policy Agreement;</w:t>
      </w:r>
    </w:p>
    <w:p>
      <w:pPr>
        <w:pStyle w:val="Indenti"/>
        <w:rPr>
          <w:snapToGrid w:val="0"/>
        </w:rPr>
      </w:pPr>
      <w:r>
        <w:rPr>
          <w:snapToGrid w:val="0"/>
        </w:rPr>
        <w:tab/>
        <w:t>(ii)</w:t>
      </w:r>
      <w:r>
        <w:rPr>
          <w:snapToGrid w:val="0"/>
        </w:rPr>
        <w:tab/>
        <w:t>hold a current certificate of insurance;</w:t>
      </w:r>
    </w:p>
    <w:p>
      <w:pPr>
        <w:pStyle w:val="Indenti"/>
        <w:rPr>
          <w:snapToGrid w:val="0"/>
        </w:rPr>
      </w:pPr>
      <w:r>
        <w:rPr>
          <w:snapToGrid w:val="0"/>
        </w:rPr>
        <w:tab/>
        <w:t>(iii)</w:t>
      </w:r>
      <w:r>
        <w:rPr>
          <w:snapToGrid w:val="0"/>
        </w:rPr>
        <w:tab/>
        <w:t>pay all premiums payable by him under the Master Policy Agreement and certificate of insurance; and</w:t>
      </w:r>
    </w:p>
    <w:p>
      <w:pPr>
        <w:pStyle w:val="Indenti"/>
        <w:rPr>
          <w:snapToGrid w:val="0"/>
        </w:rPr>
      </w:pPr>
      <w:r>
        <w:rPr>
          <w:snapToGrid w:val="0"/>
        </w:rPr>
        <w:tab/>
        <w:t>(iv)</w:t>
      </w:r>
      <w:r>
        <w:rPr>
          <w:snapToGrid w:val="0"/>
        </w:rPr>
        <w:tab/>
        <w:t>comply with such of the provisions of the Master Policy Agreement and certificate of insurance as apply to him;</w:t>
      </w:r>
    </w:p>
    <w:p>
      <w:pPr>
        <w:pStyle w:val="Indenta"/>
        <w:rPr>
          <w:snapToGrid w:val="0"/>
        </w:rPr>
      </w:pPr>
      <w:r>
        <w:rPr>
          <w:snapToGrid w:val="0"/>
        </w:rPr>
        <w:tab/>
        <w:t>(c)</w:t>
      </w:r>
      <w:r>
        <w:rPr>
          <w:snapToGrid w:val="0"/>
        </w:rPr>
        <w:tab/>
        <w:t>the Board shall not grant or renew a triennial certificate unless the licensee has complied in all respects with the terms and conditions of this section and first produces to the Board a valid certificate of insurance for the period to which the triennial certificate or the renewal relates; and</w:t>
      </w:r>
    </w:p>
    <w:p>
      <w:pPr>
        <w:pStyle w:val="Indenta"/>
        <w:rPr>
          <w:snapToGrid w:val="0"/>
        </w:rPr>
      </w:pPr>
      <w:r>
        <w:rPr>
          <w:snapToGrid w:val="0"/>
        </w:rPr>
        <w:tab/>
        <w:t>(d)</w:t>
      </w:r>
      <w:r>
        <w:rPr>
          <w:snapToGrid w:val="0"/>
        </w:rPr>
        <w:tab/>
        <w:t>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Board.</w:t>
      </w:r>
    </w:p>
    <w:p>
      <w:pPr>
        <w:pStyle w:val="Ednotesubsection"/>
      </w:pPr>
      <w:r>
        <w:tab/>
        <w:t>[(7)</w:t>
      </w:r>
      <w:r>
        <w:tab/>
        <w:t xml:space="preserve">repealed] </w:t>
      </w:r>
    </w:p>
    <w:p>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 </w:t>
      </w:r>
    </w:p>
    <w:p>
      <w:pPr>
        <w:pStyle w:val="Indenta"/>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pPr>
        <w:pStyle w:val="Indenta"/>
        <w:rPr>
          <w:snapToGrid w:val="0"/>
        </w:rPr>
      </w:pPr>
      <w:r>
        <w:rPr>
          <w:snapToGrid w:val="0"/>
        </w:rPr>
        <w:tab/>
        <w:t>(b)</w:t>
      </w:r>
      <w:r>
        <w:rPr>
          <w:snapToGrid w:val="0"/>
        </w:rPr>
        <w:tab/>
        <w:t>waive the requirement of a particular licensee to hold a policy of indemnity insurance or fidelity insurance.</w:t>
      </w:r>
    </w:p>
    <w:p>
      <w:pPr>
        <w:pStyle w:val="Subsection"/>
        <w:rPr>
          <w:snapToGrid w:val="0"/>
        </w:rPr>
      </w:pPr>
      <w:r>
        <w:rPr>
          <w:snapToGrid w:val="0"/>
        </w:rPr>
        <w:tab/>
        <w:t>(9)</w:t>
      </w:r>
      <w:r>
        <w:rPr>
          <w:snapToGrid w:val="0"/>
        </w:rPr>
        <w:tab/>
        <w:t>Nothing in this section affects the right of a settlement agent to take out additional fidelity insurance or professional indemnity insurance.</w:t>
      </w:r>
    </w:p>
    <w:p>
      <w:pPr>
        <w:pStyle w:val="Footnotesection"/>
      </w:pPr>
      <w:r>
        <w:tab/>
        <w:t xml:space="preserve">[Section 35 amended by No. 51 of 1986 s. 46.] </w:t>
      </w:r>
    </w:p>
    <w:p>
      <w:pPr>
        <w:pStyle w:val="Heading5"/>
        <w:rPr>
          <w:snapToGrid w:val="0"/>
        </w:rPr>
      </w:pPr>
      <w:bookmarkStart w:id="329" w:name="_Toc480623099"/>
      <w:bookmarkStart w:id="330" w:name="_Toc520186105"/>
      <w:bookmarkStart w:id="331" w:name="_Toc108238591"/>
      <w:bookmarkStart w:id="332" w:name="_Toc124125586"/>
      <w:bookmarkStart w:id="333" w:name="_Toc155600313"/>
      <w:r>
        <w:rPr>
          <w:rStyle w:val="CharSectno"/>
        </w:rPr>
        <w:t>36</w:t>
      </w:r>
      <w:r>
        <w:rPr>
          <w:snapToGrid w:val="0"/>
        </w:rPr>
        <w:t>.</w:t>
      </w:r>
      <w:r>
        <w:rPr>
          <w:snapToGrid w:val="0"/>
        </w:rPr>
        <w:tab/>
        <w:t>Notice to Registrar</w:t>
      </w:r>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A licensee shall, within 14 days after commencing or ceasing to carry on business as a settlement agent, give to the Registrar notice in writing of that fact.</w:t>
      </w:r>
    </w:p>
    <w:p>
      <w:pPr>
        <w:pStyle w:val="Subsection"/>
        <w:keepNext/>
        <w:rPr>
          <w:snapToGrid w:val="0"/>
        </w:rPr>
      </w:pPr>
      <w:r>
        <w:rPr>
          <w:snapToGrid w:val="0"/>
        </w:rPr>
        <w:tab/>
        <w:t>(2)</w:t>
      </w:r>
      <w:r>
        <w:rPr>
          <w:snapToGrid w:val="0"/>
        </w:rPr>
        <w:tab/>
        <w:t>A licensee shall give to the Registrar notice in writing — </w:t>
      </w:r>
    </w:p>
    <w:p>
      <w:pPr>
        <w:pStyle w:val="Indenta"/>
        <w:rPr>
          <w:snapToGrid w:val="0"/>
        </w:rPr>
      </w:pPr>
      <w:r>
        <w:rPr>
          <w:snapToGrid w:val="0"/>
        </w:rPr>
        <w:tab/>
        <w:t>(a)</w:t>
      </w:r>
      <w:r>
        <w:rPr>
          <w:snapToGrid w:val="0"/>
        </w:rPr>
        <w:tab/>
        <w:t>where the licensee is a body corporate, of any change in the directors or shareholding of the body corporate;</w:t>
      </w:r>
    </w:p>
    <w:p>
      <w:pPr>
        <w:pStyle w:val="Indenta"/>
        <w:rPr>
          <w:snapToGrid w:val="0"/>
        </w:rPr>
      </w:pPr>
      <w:r>
        <w:rPr>
          <w:snapToGrid w:val="0"/>
        </w:rPr>
        <w:tab/>
        <w:t>(b)</w:t>
      </w:r>
      <w:r>
        <w:rPr>
          <w:snapToGrid w:val="0"/>
        </w:rPr>
        <w:tab/>
        <w:t>the licensee is a firm and any of the persons by whom or by which it is constituted is a body corporate, of any change in the directors or shareholding of any such body corporate;</w:t>
      </w:r>
    </w:p>
    <w:p>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pPr>
        <w:pStyle w:val="Subsection"/>
        <w:rPr>
          <w:snapToGrid w:val="0"/>
        </w:rPr>
      </w:pPr>
      <w:r>
        <w:rPr>
          <w:snapToGrid w:val="0"/>
        </w:rPr>
        <w:tab/>
      </w:r>
      <w:r>
        <w:rPr>
          <w:snapToGrid w:val="0"/>
        </w:rPr>
        <w:tab/>
        <w:t>within 14 days of the change.</w:t>
      </w:r>
    </w:p>
    <w:p>
      <w:pPr>
        <w:pStyle w:val="Subsection"/>
        <w:rPr>
          <w:snapToGrid w:val="0"/>
        </w:rPr>
      </w:pPr>
      <w:r>
        <w:rPr>
          <w:snapToGrid w:val="0"/>
        </w:rPr>
        <w:tab/>
        <w:t>(3)</w:t>
      </w:r>
      <w:r>
        <w:rPr>
          <w:snapToGrid w:val="0"/>
        </w:rPr>
        <w:tab/>
        <w:t xml:space="preserve">In subsection (2)(a) and (b) </w:t>
      </w:r>
      <w:r>
        <w:rPr>
          <w:b/>
          <w:snapToGrid w:val="0"/>
        </w:rPr>
        <w:t>“</w:t>
      </w:r>
      <w:r>
        <w:rPr>
          <w:rStyle w:val="CharDefText"/>
        </w:rPr>
        <w:t>body corporate</w:t>
      </w:r>
      <w:r>
        <w:rPr>
          <w:b/>
          <w:snapToGrid w:val="0"/>
        </w:rPr>
        <w:t>”</w:t>
      </w:r>
      <w:r>
        <w:rPr>
          <w:snapToGrid w:val="0"/>
        </w:rPr>
        <w:t xml:space="preserve"> does not include — </w:t>
      </w:r>
    </w:p>
    <w:p>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w:t>
      </w:r>
    </w:p>
    <w:p>
      <w:pPr>
        <w:pStyle w:val="Indenta"/>
        <w:rPr>
          <w:snapToGrid w:val="0"/>
        </w:rPr>
      </w:pPr>
      <w:r>
        <w:rPr>
          <w:snapToGrid w:val="0"/>
        </w:rPr>
        <w:tab/>
        <w:t>(b)</w:t>
      </w:r>
      <w:r>
        <w:rPr>
          <w:snapToGrid w:val="0"/>
        </w:rPr>
        <w:tab/>
        <w:t>a bank;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a trustee company.</w:t>
      </w:r>
    </w:p>
    <w:p>
      <w:pPr>
        <w:pStyle w:val="Subsection"/>
      </w:pPr>
      <w:r>
        <w:tab/>
        <w:t>(4)</w:t>
      </w:r>
      <w:r>
        <w:tab/>
        <w:t xml:space="preserve">In this section — </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pPr>
      <w:r>
        <w:tab/>
        <w:t>[Section 36 amended by No. 26 of 1999 s. 102(4); No. 21 of 2003 s. 23.]</w:t>
      </w:r>
    </w:p>
    <w:p>
      <w:pPr>
        <w:pStyle w:val="Heading5"/>
        <w:rPr>
          <w:snapToGrid w:val="0"/>
        </w:rPr>
      </w:pPr>
      <w:bookmarkStart w:id="334" w:name="_Toc480623100"/>
      <w:bookmarkStart w:id="335" w:name="_Toc520186106"/>
      <w:bookmarkStart w:id="336" w:name="_Toc108238592"/>
      <w:bookmarkStart w:id="337" w:name="_Toc124125587"/>
      <w:bookmarkStart w:id="338" w:name="_Toc155600314"/>
      <w:r>
        <w:rPr>
          <w:rStyle w:val="CharSectno"/>
        </w:rPr>
        <w:t>37</w:t>
      </w:r>
      <w:r>
        <w:rPr>
          <w:snapToGrid w:val="0"/>
        </w:rPr>
        <w:t>.</w:t>
      </w:r>
      <w:r>
        <w:rPr>
          <w:snapToGrid w:val="0"/>
        </w:rPr>
        <w:tab/>
        <w:t>Registered office</w:t>
      </w:r>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37 amended by No. 59 of 1995 s. 85.] </w:t>
      </w:r>
    </w:p>
    <w:p>
      <w:pPr>
        <w:pStyle w:val="Heading5"/>
        <w:rPr>
          <w:snapToGrid w:val="0"/>
        </w:rPr>
      </w:pPr>
      <w:bookmarkStart w:id="339" w:name="_Toc480623101"/>
      <w:bookmarkStart w:id="340" w:name="_Toc520186107"/>
      <w:bookmarkStart w:id="341" w:name="_Toc108238593"/>
      <w:bookmarkStart w:id="342" w:name="_Toc124125588"/>
      <w:bookmarkStart w:id="343" w:name="_Toc155600315"/>
      <w:r>
        <w:rPr>
          <w:rStyle w:val="CharSectno"/>
        </w:rPr>
        <w:t>38</w:t>
      </w:r>
      <w:r>
        <w:rPr>
          <w:snapToGrid w:val="0"/>
        </w:rPr>
        <w:t>.</w:t>
      </w:r>
      <w:r>
        <w:rPr>
          <w:snapToGrid w:val="0"/>
        </w:rPr>
        <w:tab/>
        <w:t>Branch office</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pPr>
        <w:pStyle w:val="Footnotesection"/>
      </w:pPr>
      <w:r>
        <w:tab/>
        <w:t xml:space="preserve">[Section 38 amended by No. 59 of 1995 s. 85.] </w:t>
      </w:r>
    </w:p>
    <w:p>
      <w:pPr>
        <w:pStyle w:val="Heading5"/>
        <w:rPr>
          <w:snapToGrid w:val="0"/>
        </w:rPr>
      </w:pPr>
      <w:bookmarkStart w:id="344" w:name="_Toc480623102"/>
      <w:bookmarkStart w:id="345" w:name="_Toc520186108"/>
      <w:bookmarkStart w:id="346" w:name="_Toc108238594"/>
      <w:bookmarkStart w:id="347" w:name="_Toc124125589"/>
      <w:bookmarkStart w:id="348" w:name="_Toc155600316"/>
      <w:r>
        <w:rPr>
          <w:rStyle w:val="CharSectno"/>
        </w:rPr>
        <w:t>39</w:t>
      </w:r>
      <w:r>
        <w:rPr>
          <w:snapToGrid w:val="0"/>
        </w:rPr>
        <w:t>.</w:t>
      </w:r>
      <w:r>
        <w:rPr>
          <w:snapToGrid w:val="0"/>
        </w:rPr>
        <w:tab/>
        <w:t>Endorsements on triennial certificates</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349" w:name="_Toc480623103"/>
      <w:bookmarkStart w:id="350" w:name="_Toc520186109"/>
      <w:bookmarkStart w:id="351" w:name="_Toc108238595"/>
      <w:bookmarkStart w:id="352" w:name="_Toc124125590"/>
      <w:bookmarkStart w:id="353" w:name="_Toc155600317"/>
      <w:r>
        <w:rPr>
          <w:rStyle w:val="CharSectno"/>
        </w:rPr>
        <w:t>40</w:t>
      </w:r>
      <w:r>
        <w:rPr>
          <w:snapToGrid w:val="0"/>
        </w:rPr>
        <w:t>.</w:t>
      </w:r>
      <w:r>
        <w:rPr>
          <w:snapToGrid w:val="0"/>
        </w:rPr>
        <w:tab/>
        <w:t>Licence and triennial certificate not transferable</w:t>
      </w:r>
      <w:bookmarkEnd w:id="349"/>
      <w:bookmarkEnd w:id="350"/>
      <w:bookmarkEnd w:id="351"/>
      <w:bookmarkEnd w:id="352"/>
      <w:bookmarkEnd w:id="353"/>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pPr>
        <w:pStyle w:val="Indenta"/>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40 amended by No. 59 of 1995 s. 85.] </w:t>
      </w:r>
    </w:p>
    <w:p>
      <w:pPr>
        <w:pStyle w:val="Heading5"/>
        <w:rPr>
          <w:snapToGrid w:val="0"/>
        </w:rPr>
      </w:pPr>
      <w:bookmarkStart w:id="354" w:name="_Toc480623104"/>
      <w:bookmarkStart w:id="355" w:name="_Toc520186110"/>
      <w:bookmarkStart w:id="356" w:name="_Toc108238596"/>
      <w:bookmarkStart w:id="357" w:name="_Toc124125591"/>
      <w:bookmarkStart w:id="358" w:name="_Toc155600318"/>
      <w:r>
        <w:rPr>
          <w:rStyle w:val="CharSectno"/>
        </w:rPr>
        <w:t>41</w:t>
      </w:r>
      <w:r>
        <w:rPr>
          <w:snapToGrid w:val="0"/>
        </w:rPr>
        <w:t>.</w:t>
      </w:r>
      <w:r>
        <w:rPr>
          <w:snapToGrid w:val="0"/>
        </w:rPr>
        <w:tab/>
        <w:t>Use of business name</w:t>
      </w:r>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a licensee may carry on business as a settlement agent under only one business name which shall be endorsed on his triennial certificate; and</w:t>
      </w:r>
    </w:p>
    <w:p>
      <w:pPr>
        <w:pStyle w:val="Indenta"/>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pPr>
        <w:pStyle w:val="Subsection"/>
        <w:rPr>
          <w:snapToGrid w:val="0"/>
        </w:rPr>
      </w:pPr>
      <w:r>
        <w:rPr>
          <w:snapToGrid w:val="0"/>
        </w:rPr>
        <w:tab/>
        <w:t>(2)</w:t>
      </w:r>
      <w:r>
        <w:rPr>
          <w:snapToGrid w:val="0"/>
        </w:rPr>
        <w:tab/>
        <w:t>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41 amended by No. 59 of 1995 s. 85.] </w:t>
      </w:r>
    </w:p>
    <w:p>
      <w:pPr>
        <w:pStyle w:val="Heading5"/>
        <w:rPr>
          <w:snapToGrid w:val="0"/>
        </w:rPr>
      </w:pPr>
      <w:bookmarkStart w:id="359" w:name="_Toc480623105"/>
      <w:bookmarkStart w:id="360" w:name="_Toc520186111"/>
      <w:bookmarkStart w:id="361" w:name="_Toc108238597"/>
      <w:bookmarkStart w:id="362" w:name="_Toc124125592"/>
      <w:bookmarkStart w:id="363" w:name="_Toc155600319"/>
      <w:r>
        <w:rPr>
          <w:rStyle w:val="CharSectno"/>
        </w:rPr>
        <w:t>42</w:t>
      </w:r>
      <w:r>
        <w:rPr>
          <w:snapToGrid w:val="0"/>
        </w:rPr>
        <w:t>.</w:t>
      </w:r>
      <w:r>
        <w:rPr>
          <w:snapToGrid w:val="0"/>
        </w:rPr>
        <w:tab/>
        <w:t>Notices at offices; particulars on correspondence and documents</w:t>
      </w:r>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rPr>
          <w:snapToGrid w:val="0"/>
        </w:rPr>
      </w:pPr>
      <w:r>
        <w:rPr>
          <w:snapToGrid w:val="0"/>
        </w:rPr>
        <w:tab/>
        <w:t>(2)</w:t>
      </w:r>
      <w:r>
        <w:rPr>
          <w:snapToGrid w:val="0"/>
        </w:rPr>
        <w:tab/>
        <w:t>On all correspondence, and on the outside or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settlement agent and the address of the branch office shall also be shown.</w:t>
      </w:r>
    </w:p>
    <w:p>
      <w:pPr>
        <w:pStyle w:val="Heading2"/>
      </w:pPr>
      <w:bookmarkStart w:id="364" w:name="_Toc89514488"/>
      <w:bookmarkStart w:id="365" w:name="_Toc89753245"/>
      <w:bookmarkStart w:id="366" w:name="_Toc91307512"/>
      <w:bookmarkStart w:id="367" w:name="_Toc92705745"/>
      <w:bookmarkStart w:id="368" w:name="_Toc96932819"/>
      <w:bookmarkStart w:id="369" w:name="_Toc101079224"/>
      <w:bookmarkStart w:id="370" w:name="_Toc101080828"/>
      <w:bookmarkStart w:id="371" w:name="_Toc104782112"/>
      <w:bookmarkStart w:id="372" w:name="_Toc108238598"/>
      <w:bookmarkStart w:id="373" w:name="_Toc108238765"/>
      <w:bookmarkStart w:id="374" w:name="_Toc110325043"/>
      <w:bookmarkStart w:id="375" w:name="_Toc110325345"/>
      <w:bookmarkStart w:id="376" w:name="_Toc121566746"/>
      <w:bookmarkStart w:id="377" w:name="_Toc124125593"/>
      <w:bookmarkStart w:id="378" w:name="_Toc124141059"/>
      <w:bookmarkStart w:id="379" w:name="_Toc131414724"/>
      <w:bookmarkStart w:id="380" w:name="_Toc155600320"/>
      <w:r>
        <w:rPr>
          <w:rStyle w:val="CharPartNo"/>
        </w:rPr>
        <w:t>Part IV</w:t>
      </w:r>
      <w:r>
        <w:t> — </w:t>
      </w:r>
      <w:r>
        <w:rPr>
          <w:rStyle w:val="CharPartText"/>
        </w:rPr>
        <w:t>Controls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Pr>
          <w:rStyle w:val="CharPartText"/>
        </w:rPr>
        <w:t xml:space="preserve"> </w:t>
      </w:r>
    </w:p>
    <w:p>
      <w:pPr>
        <w:pStyle w:val="Heading3"/>
        <w:rPr>
          <w:snapToGrid w:val="0"/>
        </w:rPr>
      </w:pPr>
      <w:bookmarkStart w:id="381" w:name="_Toc89514489"/>
      <w:bookmarkStart w:id="382" w:name="_Toc89753246"/>
      <w:bookmarkStart w:id="383" w:name="_Toc91307513"/>
      <w:bookmarkStart w:id="384" w:name="_Toc92705746"/>
      <w:bookmarkStart w:id="385" w:name="_Toc96932820"/>
      <w:bookmarkStart w:id="386" w:name="_Toc101079225"/>
      <w:bookmarkStart w:id="387" w:name="_Toc101080829"/>
      <w:bookmarkStart w:id="388" w:name="_Toc104782113"/>
      <w:bookmarkStart w:id="389" w:name="_Toc108238599"/>
      <w:bookmarkStart w:id="390" w:name="_Toc108238766"/>
      <w:bookmarkStart w:id="391" w:name="_Toc110325044"/>
      <w:bookmarkStart w:id="392" w:name="_Toc110325346"/>
      <w:bookmarkStart w:id="393" w:name="_Toc121566747"/>
      <w:bookmarkStart w:id="394" w:name="_Toc124125594"/>
      <w:bookmarkStart w:id="395" w:name="_Toc124141060"/>
      <w:bookmarkStart w:id="396" w:name="_Toc131414725"/>
      <w:bookmarkStart w:id="397" w:name="_Toc155600321"/>
      <w:r>
        <w:rPr>
          <w:rStyle w:val="CharDivNo"/>
        </w:rPr>
        <w:t>Division 1</w:t>
      </w:r>
      <w:r>
        <w:rPr>
          <w:snapToGrid w:val="0"/>
        </w:rPr>
        <w:t> — </w:t>
      </w:r>
      <w:r>
        <w:rPr>
          <w:rStyle w:val="CharDivText"/>
        </w:rPr>
        <w:t>General</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DivText"/>
        </w:rPr>
        <w:t xml:space="preserve"> </w:t>
      </w:r>
    </w:p>
    <w:p>
      <w:pPr>
        <w:pStyle w:val="Heading5"/>
        <w:rPr>
          <w:snapToGrid w:val="0"/>
        </w:rPr>
      </w:pPr>
      <w:bookmarkStart w:id="398" w:name="_Toc480623106"/>
      <w:bookmarkStart w:id="399" w:name="_Toc520186112"/>
      <w:bookmarkStart w:id="400" w:name="_Toc108238600"/>
      <w:bookmarkStart w:id="401" w:name="_Toc124125595"/>
      <w:bookmarkStart w:id="402" w:name="_Toc155600322"/>
      <w:r>
        <w:rPr>
          <w:rStyle w:val="CharSectno"/>
        </w:rPr>
        <w:t>43</w:t>
      </w:r>
      <w:r>
        <w:rPr>
          <w:snapToGrid w:val="0"/>
        </w:rPr>
        <w:t>.</w:t>
      </w:r>
      <w:r>
        <w:rPr>
          <w:snapToGrid w:val="0"/>
        </w:rPr>
        <w:tab/>
        <w:t>Entitlement to remuneration</w:t>
      </w:r>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 </w:t>
      </w:r>
    </w:p>
    <w:p>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pPr>
        <w:pStyle w:val="Subsection"/>
        <w:rPr>
          <w:snapToGrid w:val="0"/>
        </w:rPr>
      </w:pPr>
      <w:r>
        <w:rPr>
          <w:snapToGrid w:val="0"/>
        </w:rPr>
        <w:tab/>
        <w:t>(2)</w:t>
      </w:r>
      <w:r>
        <w:rPr>
          <w:snapToGrid w:val="0"/>
        </w:rPr>
        <w:tab/>
        <w:t>An appointment to act as a settlement agent is not valid unless — </w:t>
      </w:r>
    </w:p>
    <w:p>
      <w:pPr>
        <w:pStyle w:val="Indenta"/>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identifies the real estate transaction or the business transaction, as the case may be; and</w:t>
      </w:r>
    </w:p>
    <w:p>
      <w:pPr>
        <w:pStyle w:val="Indenti"/>
        <w:rPr>
          <w:snapToGrid w:val="0"/>
        </w:rPr>
      </w:pPr>
      <w:r>
        <w:rPr>
          <w:snapToGrid w:val="0"/>
        </w:rPr>
        <w:tab/>
        <w:t>(ii)</w:t>
      </w:r>
      <w:r>
        <w:rPr>
          <w:snapToGrid w:val="0"/>
        </w:rPr>
        <w:tab/>
        <w:t>contains such other information, if any, as is prescribed;</w:t>
      </w:r>
    </w:p>
    <w:p>
      <w:pPr>
        <w:pStyle w:val="Indenta"/>
        <w:rPr>
          <w:snapToGrid w:val="0"/>
        </w:rPr>
      </w:pPr>
      <w:r>
        <w:rPr>
          <w:snapToGrid w:val="0"/>
        </w:rPr>
        <w:tab/>
        <w:t>(b)</w:t>
      </w:r>
      <w:r>
        <w:rPr>
          <w:snapToGrid w:val="0"/>
        </w:rPr>
        <w:tab/>
        <w:t>if it is contained in an offer to purchase or in a contract for sale, it is separately and distinctly signed;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 </w:t>
      </w:r>
    </w:p>
    <w:p>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pPr>
        <w:pStyle w:val="Subsection"/>
        <w:rPr>
          <w:snapToGrid w:val="0"/>
        </w:rPr>
      </w:pPr>
      <w:r>
        <w:rPr>
          <w:snapToGrid w:val="0"/>
        </w:rPr>
        <w:tab/>
        <w:t>(7)</w:t>
      </w:r>
      <w:r>
        <w:rPr>
          <w:snapToGrid w:val="0"/>
        </w:rPr>
        <w:tab/>
        <w:t>A settlement agent is not entitled to claim a possessory or other lien over documents for his fees or otherwise.</w:t>
      </w:r>
    </w:p>
    <w:p>
      <w:pPr>
        <w:pStyle w:val="Subsection"/>
        <w:keepNext/>
        <w:rPr>
          <w:snapToGrid w:val="0"/>
        </w:rPr>
      </w:pPr>
      <w:r>
        <w:rPr>
          <w:snapToGrid w:val="0"/>
        </w:rPr>
        <w:tab/>
        <w:t>(8)</w:t>
      </w:r>
      <w:r>
        <w:rPr>
          <w:snapToGrid w:val="0"/>
        </w:rPr>
        <w:tab/>
        <w:t>A person shall not, whether directly or indirectly, demand, receive, or hold, any reward in contravention of this section.</w:t>
      </w:r>
    </w:p>
    <w:p>
      <w:pPr>
        <w:pStyle w:val="Penstart"/>
        <w:rPr>
          <w:snapToGrid w:val="0"/>
        </w:rPr>
      </w:pPr>
      <w:r>
        <w:rPr>
          <w:snapToGrid w:val="0"/>
        </w:rPr>
        <w:tab/>
        <w:t>Penalty: $5 000 and in the case of conviction for a second or other subsequent offence the Board may call upon the settlement agent to show cause why his licence should not be cancelled or suspended.</w:t>
      </w:r>
    </w:p>
    <w:p>
      <w:pPr>
        <w:pStyle w:val="Subsection"/>
        <w:spacing w:before="120"/>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pPr>
        <w:pStyle w:val="Footnotesection"/>
      </w:pPr>
      <w:r>
        <w:tab/>
        <w:t xml:space="preserve">[Section 43 amended by No. 59 of 1995 s. 64 and 85.] </w:t>
      </w:r>
    </w:p>
    <w:p>
      <w:pPr>
        <w:pStyle w:val="Heading5"/>
        <w:rPr>
          <w:snapToGrid w:val="0"/>
        </w:rPr>
      </w:pPr>
      <w:bookmarkStart w:id="403" w:name="_Toc480623107"/>
      <w:bookmarkStart w:id="404" w:name="_Toc520186113"/>
      <w:bookmarkStart w:id="405" w:name="_Toc108238601"/>
      <w:bookmarkStart w:id="406" w:name="_Toc124125596"/>
      <w:bookmarkStart w:id="407" w:name="_Toc155600323"/>
      <w:r>
        <w:rPr>
          <w:rStyle w:val="CharSectno"/>
        </w:rPr>
        <w:t>44</w:t>
      </w:r>
      <w:r>
        <w:rPr>
          <w:snapToGrid w:val="0"/>
        </w:rPr>
        <w:t>.</w:t>
      </w:r>
      <w:r>
        <w:rPr>
          <w:snapToGrid w:val="0"/>
        </w:rPr>
        <w:tab/>
        <w:t>Remuneration of settlement agents</w:t>
      </w:r>
      <w:bookmarkEnd w:id="403"/>
      <w:bookmarkEnd w:id="404"/>
      <w:bookmarkEnd w:id="405"/>
      <w:bookmarkEnd w:id="406"/>
      <w:bookmarkEnd w:id="407"/>
      <w:r>
        <w:rPr>
          <w:snapToGrid w:val="0"/>
        </w:rPr>
        <w:t xml:space="preserve"> </w:t>
      </w:r>
    </w:p>
    <w:p>
      <w:pPr>
        <w:pStyle w:val="Subsection"/>
        <w:spacing w:before="120"/>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pPr>
        <w:pStyle w:val="Subsection"/>
        <w:spacing w:before="120"/>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spacing w:before="12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spacing w:before="12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pPr>
        <w:pStyle w:val="Subsection"/>
        <w:spacing w:before="120"/>
        <w:rPr>
          <w:snapToGrid w:val="0"/>
        </w:rPr>
      </w:pPr>
      <w:r>
        <w:rPr>
          <w:snapToGrid w:val="0"/>
        </w:rPr>
        <w:tab/>
        <w:t>(4)</w:t>
      </w:r>
      <w:r>
        <w:rPr>
          <w:snapToGrid w:val="0"/>
        </w:rPr>
        <w:tab/>
        <w:t>A licensee shall not, whether directly or indirectly demand, receive, or hold any reward in contravention of this section.</w:t>
      </w:r>
    </w:p>
    <w:p>
      <w:pPr>
        <w:pStyle w:val="Subsection"/>
        <w:spacing w:before="120"/>
        <w:rPr>
          <w:snapToGrid w:val="0"/>
        </w:rPr>
      </w:pPr>
      <w:r>
        <w:rPr>
          <w:snapToGrid w:val="0"/>
        </w:rPr>
        <w:tab/>
        <w:t>(5)</w:t>
      </w:r>
      <w:r>
        <w:rPr>
          <w:snapToGrid w:val="0"/>
        </w:rPr>
        <w:tab/>
        <w:t>A person dissatisfied with the amount of any demand for remuneration rendered to him by a settlement agent may refer the matter to the Board which,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pPr>
        <w:pStyle w:val="Subsection"/>
        <w:spacing w:before="12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pPr>
        <w:pStyle w:val="Subsection"/>
        <w:spacing w:before="12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pPr>
        <w:pStyle w:val="Subsection"/>
        <w:spacing w:before="120"/>
        <w:rPr>
          <w:snapToGrid w:val="0"/>
        </w:rPr>
      </w:pPr>
      <w:r>
        <w:rPr>
          <w:snapToGrid w:val="0"/>
        </w:rPr>
        <w:tab/>
        <w:t>(8)</w:t>
      </w:r>
      <w:r>
        <w:rPr>
          <w:snapToGrid w:val="0"/>
        </w:rPr>
        <w:tab/>
      </w:r>
      <w:r>
        <w:rPr>
          <w:snapToGrid w:val="0"/>
          <w:spacing w:val="-4"/>
        </w:rPr>
        <w:t>A licensee shall not, whether directly or indirectly, pay or give any reward to any person referring to the licensee any business involving the performance of the functions of a settlement agent.</w:t>
      </w:r>
    </w:p>
    <w:p>
      <w:pPr>
        <w:pStyle w:val="Subsection"/>
        <w:spacing w:before="12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 </w:t>
      </w:r>
    </w:p>
    <w:p>
      <w:pPr>
        <w:pStyle w:val="Indenta"/>
        <w:rPr>
          <w:snapToGrid w:val="0"/>
        </w:rPr>
      </w:pPr>
      <w:r>
        <w:rPr>
          <w:snapToGrid w:val="0"/>
        </w:rPr>
        <w:tab/>
        <w:t>(a)</w:t>
      </w:r>
      <w:r>
        <w:rPr>
          <w:snapToGrid w:val="0"/>
        </w:rPr>
        <w:tab/>
        <w:t>in the case of an offence against subsection (4), a penalty not exceeding $5 000; and</w:t>
      </w:r>
    </w:p>
    <w:p>
      <w:pPr>
        <w:pStyle w:val="Indenta"/>
        <w:rPr>
          <w:snapToGrid w:val="0"/>
        </w:rPr>
      </w:pPr>
      <w:r>
        <w:rPr>
          <w:snapToGrid w:val="0"/>
        </w:rPr>
        <w:tab/>
        <w:t>(b)</w:t>
      </w:r>
      <w:r>
        <w:rPr>
          <w:snapToGrid w:val="0"/>
        </w:rPr>
        <w:tab/>
        <w:t>in any other case, a penalty not exceeding $20 000.</w:t>
      </w:r>
    </w:p>
    <w:p>
      <w:pPr>
        <w:pStyle w:val="Subsection"/>
        <w:spacing w:before="120"/>
        <w:rPr>
          <w:snapToGrid w:val="0"/>
        </w:rPr>
      </w:pPr>
      <w:r>
        <w:rPr>
          <w:snapToGrid w:val="0"/>
        </w:rPr>
        <w:tab/>
        <w:t>(10)</w:t>
      </w:r>
      <w:r>
        <w:rPr>
          <w:snapToGrid w:val="0"/>
        </w:rPr>
        <w:tab/>
        <w:t>Upon the conviction of a settlement agent for a second or subsequent offence under this section the Board may also call upon him to show cause why his licence should not be cancelled or suspended.</w:t>
      </w:r>
    </w:p>
    <w:p>
      <w:pPr>
        <w:pStyle w:val="Footnotesection"/>
        <w:keepLines w:val="0"/>
      </w:pPr>
      <w:r>
        <w:tab/>
        <w:t xml:space="preserve">[Section 44 amended by No. 59 of 1995 s. 65.] </w:t>
      </w:r>
    </w:p>
    <w:p>
      <w:pPr>
        <w:pStyle w:val="Heading5"/>
        <w:keepNext w:val="0"/>
        <w:keepLines w:val="0"/>
        <w:spacing w:before="180"/>
        <w:rPr>
          <w:snapToGrid w:val="0"/>
        </w:rPr>
      </w:pPr>
      <w:bookmarkStart w:id="408" w:name="_Toc480623108"/>
      <w:bookmarkStart w:id="409" w:name="_Toc520186114"/>
      <w:bookmarkStart w:id="410" w:name="_Toc108238602"/>
      <w:bookmarkStart w:id="411" w:name="_Toc124125597"/>
      <w:bookmarkStart w:id="412" w:name="_Toc155600324"/>
      <w:r>
        <w:rPr>
          <w:rStyle w:val="CharSectno"/>
        </w:rPr>
        <w:t>45</w:t>
      </w:r>
      <w:r>
        <w:rPr>
          <w:snapToGrid w:val="0"/>
        </w:rPr>
        <w:t>.</w:t>
      </w:r>
      <w:r>
        <w:rPr>
          <w:snapToGrid w:val="0"/>
        </w:rPr>
        <w:tab/>
        <w:t>Conduct of business</w:t>
      </w:r>
      <w:bookmarkEnd w:id="408"/>
      <w:bookmarkEnd w:id="409"/>
      <w:bookmarkEnd w:id="410"/>
      <w:bookmarkEnd w:id="411"/>
      <w:bookmarkEnd w:id="412"/>
      <w:r>
        <w:rPr>
          <w:snapToGrid w:val="0"/>
        </w:rPr>
        <w:t xml:space="preserve"> </w:t>
      </w:r>
    </w:p>
    <w:p>
      <w:pPr>
        <w:pStyle w:val="Subsection"/>
        <w:spacing w:before="120"/>
        <w:rPr>
          <w:snapToGrid w:val="0"/>
        </w:rPr>
      </w:pPr>
      <w:r>
        <w:rPr>
          <w:snapToGrid w:val="0"/>
        </w:rPr>
        <w:tab/>
      </w:r>
      <w:r>
        <w:rPr>
          <w:snapToGrid w:val="0"/>
        </w:rPr>
        <w:tab/>
        <w:t>A licensee shall — </w:t>
      </w:r>
    </w:p>
    <w:p>
      <w:pPr>
        <w:pStyle w:val="Indenta"/>
        <w:rPr>
          <w:snapToGrid w:val="0"/>
        </w:rPr>
      </w:pPr>
      <w:r>
        <w:rPr>
          <w:snapToGrid w:val="0"/>
        </w:rPr>
        <w:tab/>
        <w:t>(a)</w:t>
      </w:r>
      <w:r>
        <w:rPr>
          <w:snapToGrid w:val="0"/>
        </w:rPr>
        <w:tab/>
        <w:t>keep records separate from the records of any other business; and</w:t>
      </w:r>
    </w:p>
    <w:p>
      <w:pPr>
        <w:pStyle w:val="Indenta"/>
        <w:keepNext/>
        <w:rPr>
          <w:snapToGrid w:val="0"/>
        </w:rPr>
      </w:pPr>
      <w:r>
        <w:rPr>
          <w:snapToGrid w:val="0"/>
        </w:rPr>
        <w:tab/>
        <w:t>(b)</w:t>
      </w:r>
      <w:r>
        <w:rPr>
          <w:snapToGrid w:val="0"/>
        </w:rPr>
        <w:tab/>
        <w:t>carry on business in proper and adequate premises.</w:t>
      </w:r>
    </w:p>
    <w:p>
      <w:pPr>
        <w:pStyle w:val="Penstart"/>
        <w:rPr>
          <w:snapToGrid w:val="0"/>
        </w:rPr>
      </w:pPr>
      <w:r>
        <w:rPr>
          <w:snapToGrid w:val="0"/>
        </w:rPr>
        <w:tab/>
        <w:t>Penalty: $5 000.</w:t>
      </w:r>
    </w:p>
    <w:p>
      <w:pPr>
        <w:pStyle w:val="Footnotesection"/>
      </w:pPr>
      <w:r>
        <w:tab/>
        <w:t xml:space="preserve">[Section 45 amended by No. 59 of 1995 s. 85.] </w:t>
      </w:r>
    </w:p>
    <w:p>
      <w:pPr>
        <w:pStyle w:val="Heading5"/>
        <w:spacing w:before="180"/>
        <w:rPr>
          <w:snapToGrid w:val="0"/>
        </w:rPr>
      </w:pPr>
      <w:bookmarkStart w:id="413" w:name="_Toc480623109"/>
      <w:bookmarkStart w:id="414" w:name="_Toc520186115"/>
      <w:bookmarkStart w:id="415" w:name="_Toc108238603"/>
      <w:bookmarkStart w:id="416" w:name="_Toc124125598"/>
      <w:bookmarkStart w:id="417" w:name="_Toc155600325"/>
      <w:r>
        <w:rPr>
          <w:rStyle w:val="CharSectno"/>
        </w:rPr>
        <w:t>46</w:t>
      </w:r>
      <w:r>
        <w:rPr>
          <w:snapToGrid w:val="0"/>
        </w:rPr>
        <w:t>.</w:t>
      </w:r>
      <w:r>
        <w:rPr>
          <w:snapToGrid w:val="0"/>
        </w:rPr>
        <w:tab/>
        <w:t>Functions of a real estate settlement agent</w:t>
      </w:r>
      <w:bookmarkEnd w:id="413"/>
      <w:bookmarkEnd w:id="414"/>
      <w:bookmarkEnd w:id="415"/>
      <w:bookmarkEnd w:id="416"/>
      <w:bookmarkEnd w:id="417"/>
      <w:r>
        <w:rPr>
          <w:snapToGrid w:val="0"/>
        </w:rPr>
        <w:t xml:space="preserve"> </w:t>
      </w:r>
    </w:p>
    <w:p>
      <w:pPr>
        <w:pStyle w:val="Subsection"/>
        <w:spacing w:before="10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pPr>
        <w:pStyle w:val="Subsection"/>
        <w:spacing w:before="120"/>
        <w:rPr>
          <w:snapToGrid w:val="0"/>
        </w:rPr>
      </w:pPr>
      <w:r>
        <w:rPr>
          <w:snapToGrid w:val="0"/>
        </w:rPr>
        <w:tab/>
        <w:t>(2)</w:t>
      </w:r>
      <w:r>
        <w:rPr>
          <w:snapToGrid w:val="0"/>
        </w:rPr>
        <w:tab/>
      </w:r>
      <w:r>
        <w:rPr>
          <w:snapToGrid w:val="0"/>
          <w:spacing w:val="-4"/>
        </w:rPr>
        <w:t>Notwithstanding any other provision of this section a licensee shall not arrange or effect a settlement of any real estate transaction if the land the subject of that real estate transaction —</w:t>
      </w:r>
      <w:r>
        <w:rPr>
          <w:snapToGrid w:val="0"/>
        </w:rPr>
        <w:t> </w:t>
      </w:r>
    </w:p>
    <w:p>
      <w:pPr>
        <w:pStyle w:val="Indenta"/>
        <w:rPr>
          <w:snapToGrid w:val="0"/>
        </w:rPr>
      </w:pPr>
      <w:r>
        <w:rPr>
          <w:snapToGrid w:val="0"/>
        </w:rPr>
        <w:tab/>
        <w:t>(a)</w:t>
      </w:r>
      <w:r>
        <w:rPr>
          <w:snapToGrid w:val="0"/>
        </w:rPr>
        <w:tab/>
        <w:t>is not a lot or lots within the meaning of</w:t>
      </w:r>
      <w:r>
        <w:t xml:space="preserve"> the </w:t>
      </w:r>
      <w:r>
        <w:rPr>
          <w:i/>
        </w:rPr>
        <w:t>Planning and Development Act 2005</w:t>
      </w:r>
      <w:r>
        <w:rPr>
          <w:snapToGrid w:val="0"/>
        </w:rPr>
        <w:t>;</w:t>
      </w:r>
    </w:p>
    <w:p>
      <w:pPr>
        <w:pStyle w:val="Indenta"/>
        <w:rPr>
          <w:snapToGrid w:val="0"/>
        </w:rPr>
      </w:pPr>
      <w:r>
        <w:rPr>
          <w:snapToGrid w:val="0"/>
        </w:rPr>
        <w:tab/>
        <w:t>(b)</w:t>
      </w:r>
      <w:r>
        <w:rPr>
          <w:snapToGrid w:val="0"/>
        </w:rPr>
        <w:tab/>
        <w:t xml:space="preserve">is leasehold (other than land under the </w:t>
      </w:r>
      <w:r>
        <w:rPr>
          <w:i/>
          <w:snapToGrid w:val="0"/>
        </w:rPr>
        <w:t>Land Administration Act 1997</w:t>
      </w:r>
      <w:r>
        <w:rPr>
          <w:snapToGrid w:val="0"/>
        </w:rPr>
        <w:t>);</w:t>
      </w:r>
    </w:p>
    <w:p>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pPr>
        <w:pStyle w:val="Indenta"/>
        <w:rPr>
          <w:snapToGrid w:val="0"/>
        </w:rPr>
      </w:pPr>
      <w:r>
        <w:rPr>
          <w:snapToGrid w:val="0"/>
        </w:rPr>
        <w:tab/>
        <w:t>(d)</w:t>
      </w:r>
      <w:r>
        <w:rPr>
          <w:snapToGrid w:val="0"/>
        </w:rPr>
        <w:tab/>
        <w:t>comprises any mining tenement or mining licence.</w:t>
      </w:r>
    </w:p>
    <w:p>
      <w:pPr>
        <w:pStyle w:val="Subsection"/>
        <w:spacing w:before="100"/>
        <w:rPr>
          <w:snapToGrid w:val="0"/>
        </w:rPr>
      </w:pPr>
      <w:r>
        <w:rPr>
          <w:snapToGrid w:val="0"/>
        </w:rPr>
        <w:tab/>
        <w:t>(3)</w:t>
      </w:r>
      <w:r>
        <w:rPr>
          <w:snapToGrid w:val="0"/>
        </w:rPr>
        <w:tab/>
        <w:t>A licensee who holds a current triennial certificate may act for either the vendor, the purchaser, or the mortgagee, in a settlement referred to in subsection (1) but may not act for more than one party to the real estate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spacing w:before="100"/>
        <w:rPr>
          <w:snapToGrid w:val="0"/>
        </w:rPr>
      </w:pPr>
      <w:r>
        <w:rPr>
          <w:snapToGrid w:val="0"/>
        </w:rPr>
        <w:tab/>
        <w:t>(4)</w:t>
      </w:r>
      <w:r>
        <w:rPr>
          <w:snapToGrid w:val="0"/>
        </w:rPr>
        <w:tab/>
        <w:t>In arranging or effecting a settlement referred to in subsection (1) a licensee may perform the functions set forth in clause 1(1) of Schedule 2 but in performing any or all of those functions a licensee shall not give or attempt to give advice on a matter of law.</w:t>
      </w:r>
    </w:p>
    <w:p>
      <w:pPr>
        <w:pStyle w:val="Subsection"/>
        <w:spacing w:before="180"/>
        <w:rPr>
          <w:snapToGrid w:val="0"/>
        </w:rPr>
      </w:pPr>
      <w:r>
        <w:rPr>
          <w:snapToGrid w:val="0"/>
        </w:rPr>
        <w:tab/>
        <w:t>(5)</w:t>
      </w:r>
      <w:r>
        <w:rPr>
          <w:snapToGrid w:val="0"/>
        </w:rPr>
        <w:tab/>
        <w:t xml:space="preserve">Notwithstanding the </w:t>
      </w:r>
      <w:r>
        <w:rPr>
          <w:i/>
        </w:rPr>
        <w:t>Legal Practice Act 2003</w:t>
      </w:r>
      <w:r>
        <w:t xml:space="preserve">, </w:t>
      </w:r>
      <w:r>
        <w:rPr>
          <w:snapToGrid w:val="0"/>
        </w:rPr>
        <w:t>a licensee may draw or prepare the documents set forth in clause 1(2) of Schedule 2.</w:t>
      </w:r>
    </w:p>
    <w:p>
      <w:pPr>
        <w:pStyle w:val="Subsection"/>
        <w:spacing w:before="120"/>
        <w:rPr>
          <w:snapToGrid w:val="0"/>
        </w:rPr>
      </w:pPr>
      <w:r>
        <w:rPr>
          <w:snapToGrid w:val="0"/>
        </w:rPr>
        <w:tab/>
        <w:t>(6)(a)</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pPr>
        <w:pStyle w:val="Subsection"/>
        <w:spacing w:before="120"/>
        <w:rPr>
          <w:snapToGrid w:val="0"/>
        </w:rPr>
      </w:pPr>
      <w:r>
        <w:rPr>
          <w:snapToGrid w:val="0"/>
        </w:rPr>
        <w:tab/>
        <w:t>(b)</w:t>
      </w:r>
      <w:r>
        <w:rPr>
          <w:snapToGrid w:val="0"/>
        </w:rPr>
        <w:tab/>
        <w:t xml:space="preserve">In paragraph (a) </w:t>
      </w:r>
      <w:r>
        <w:rPr>
          <w:b/>
          <w:snapToGrid w:val="0"/>
        </w:rPr>
        <w:t>“</w:t>
      </w:r>
      <w:r>
        <w:rPr>
          <w:rStyle w:val="CharDefText"/>
        </w:rPr>
        <w:t>discharge of mortgage</w:t>
      </w:r>
      <w:r>
        <w:rPr>
          <w:b/>
          <w:snapToGrid w:val="0"/>
        </w:rPr>
        <w:t>”</w:t>
      </w:r>
      <w:r>
        <w:rPr>
          <w:snapToGrid w:val="0"/>
        </w:rPr>
        <w:t xml:space="preserve"> includes a withdrawal of a caveat which notifies or protects an unregistered, equitable, or statutory mortgage or charge.</w:t>
      </w:r>
    </w:p>
    <w:p>
      <w:pPr>
        <w:pStyle w:val="Footnotesection"/>
        <w:spacing w:before="160"/>
        <w:ind w:left="890" w:hanging="890"/>
      </w:pPr>
      <w:r>
        <w:tab/>
        <w:t>[Section 46 amended by No. 31 of 1997 s. 141; No. 65 of 2003 s. 66(3); No. 38 of 2005 s. 15.]</w:t>
      </w:r>
    </w:p>
    <w:p>
      <w:pPr>
        <w:pStyle w:val="Heading5"/>
        <w:spacing w:before="240"/>
        <w:rPr>
          <w:snapToGrid w:val="0"/>
        </w:rPr>
      </w:pPr>
      <w:bookmarkStart w:id="418" w:name="_Toc480623110"/>
      <w:bookmarkStart w:id="419" w:name="_Toc520186116"/>
      <w:bookmarkStart w:id="420" w:name="_Toc108238604"/>
      <w:bookmarkStart w:id="421" w:name="_Toc124125599"/>
      <w:bookmarkStart w:id="422" w:name="_Toc155600326"/>
      <w:r>
        <w:rPr>
          <w:rStyle w:val="CharSectno"/>
        </w:rPr>
        <w:t>47</w:t>
      </w:r>
      <w:r>
        <w:rPr>
          <w:snapToGrid w:val="0"/>
        </w:rPr>
        <w:t>.</w:t>
      </w:r>
      <w:r>
        <w:rPr>
          <w:snapToGrid w:val="0"/>
        </w:rPr>
        <w:tab/>
        <w:t>Functions of a business settlement agent</w:t>
      </w:r>
      <w:bookmarkEnd w:id="418"/>
      <w:bookmarkEnd w:id="419"/>
      <w:bookmarkEnd w:id="420"/>
      <w:bookmarkEnd w:id="421"/>
      <w:bookmarkEnd w:id="422"/>
      <w:r>
        <w:rPr>
          <w:snapToGrid w:val="0"/>
        </w:rPr>
        <w:t xml:space="preserve"> </w:t>
      </w:r>
    </w:p>
    <w:p>
      <w:pPr>
        <w:pStyle w:val="Subsection"/>
        <w:spacing w:before="180"/>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pPr>
        <w:pStyle w:val="Subsection"/>
        <w:spacing w:before="180"/>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r>
        <w:rPr>
          <w:snapToGrid w:val="0"/>
        </w:rPr>
        <w:t> </w:t>
      </w:r>
    </w:p>
    <w:p>
      <w:pPr>
        <w:pStyle w:val="Indenta"/>
        <w:spacing w:before="100"/>
        <w:rPr>
          <w:snapToGrid w:val="0"/>
        </w:rPr>
      </w:pPr>
      <w:r>
        <w:rPr>
          <w:snapToGrid w:val="0"/>
        </w:rPr>
        <w:tab/>
        <w:t>(a)</w:t>
      </w:r>
      <w:r>
        <w:rPr>
          <w:snapToGrid w:val="0"/>
        </w:rPr>
        <w:tab/>
        <w:t>is comprised in whole or in part of real estate not being an interest in leasehold (except an interest in leasehold held from the Crown) whether or not the business is conveyed separately; or</w:t>
      </w:r>
    </w:p>
    <w:p>
      <w:pPr>
        <w:pStyle w:val="Indenta"/>
        <w:spacing w:before="100"/>
        <w:rPr>
          <w:snapToGrid w:val="0"/>
        </w:rPr>
      </w:pPr>
      <w:r>
        <w:rPr>
          <w:snapToGrid w:val="0"/>
        </w:rPr>
        <w:tab/>
        <w:t>(b)</w:t>
      </w:r>
      <w:r>
        <w:rPr>
          <w:snapToGrid w:val="0"/>
        </w:rPr>
        <w:tab/>
        <w:t>comprises any mining tenement or mining licence.</w:t>
      </w:r>
    </w:p>
    <w:p>
      <w:pPr>
        <w:pStyle w:val="Subsection"/>
        <w:spacing w:before="180"/>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 </w:t>
      </w:r>
    </w:p>
    <w:p>
      <w:pPr>
        <w:pStyle w:val="Indenta"/>
        <w:rPr>
          <w:snapToGrid w:val="0"/>
        </w:rPr>
      </w:pPr>
      <w:r>
        <w:rPr>
          <w:snapToGrid w:val="0"/>
        </w:rPr>
        <w:tab/>
        <w:t>(a)</w:t>
      </w:r>
      <w:r>
        <w:rPr>
          <w:snapToGrid w:val="0"/>
        </w:rPr>
        <w:tab/>
        <w:t>acknowledges that he is aware that the licensee proposes to so act; and</w:t>
      </w:r>
    </w:p>
    <w:p>
      <w:pPr>
        <w:pStyle w:val="Indenta"/>
        <w:rPr>
          <w:snapToGrid w:val="0"/>
        </w:rPr>
      </w:pPr>
      <w:r>
        <w:rPr>
          <w:snapToGrid w:val="0"/>
        </w:rPr>
        <w:tab/>
        <w:t>(b)</w:t>
      </w:r>
      <w:r>
        <w:rPr>
          <w:snapToGrid w:val="0"/>
        </w:rPr>
        <w:tab/>
        <w:t>gives his prior consent to the licensee so acting.</w:t>
      </w:r>
    </w:p>
    <w:p>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pPr>
        <w:pStyle w:val="Heading3"/>
        <w:rPr>
          <w:snapToGrid w:val="0"/>
        </w:rPr>
      </w:pPr>
      <w:bookmarkStart w:id="423" w:name="_Toc89514495"/>
      <w:bookmarkStart w:id="424" w:name="_Toc89753252"/>
      <w:bookmarkStart w:id="425" w:name="_Toc91307519"/>
      <w:bookmarkStart w:id="426" w:name="_Toc92705752"/>
      <w:bookmarkStart w:id="427" w:name="_Toc96932826"/>
      <w:bookmarkStart w:id="428" w:name="_Toc101079231"/>
      <w:bookmarkStart w:id="429" w:name="_Toc101080835"/>
      <w:bookmarkStart w:id="430" w:name="_Toc104782119"/>
      <w:bookmarkStart w:id="431" w:name="_Toc108238605"/>
      <w:bookmarkStart w:id="432" w:name="_Toc108238772"/>
      <w:bookmarkStart w:id="433" w:name="_Toc110325050"/>
      <w:bookmarkStart w:id="434" w:name="_Toc110325352"/>
      <w:bookmarkStart w:id="435" w:name="_Toc121566753"/>
      <w:bookmarkStart w:id="436" w:name="_Toc124125600"/>
      <w:bookmarkStart w:id="437" w:name="_Toc124141066"/>
      <w:bookmarkStart w:id="438" w:name="_Toc131414731"/>
      <w:bookmarkStart w:id="439" w:name="_Toc155600327"/>
      <w:r>
        <w:rPr>
          <w:rStyle w:val="CharDivNo"/>
        </w:rPr>
        <w:t>Division 2</w:t>
      </w:r>
      <w:r>
        <w:rPr>
          <w:snapToGrid w:val="0"/>
        </w:rPr>
        <w:t> — </w:t>
      </w:r>
      <w:r>
        <w:rPr>
          <w:rStyle w:val="CharDivText"/>
        </w:rPr>
        <w:t>Trust accounts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DivText"/>
        </w:rPr>
        <w:t xml:space="preserve"> </w:t>
      </w:r>
    </w:p>
    <w:p>
      <w:pPr>
        <w:pStyle w:val="Heading5"/>
        <w:rPr>
          <w:snapToGrid w:val="0"/>
        </w:rPr>
      </w:pPr>
      <w:bookmarkStart w:id="440" w:name="_Toc480623111"/>
      <w:bookmarkStart w:id="441" w:name="_Toc520186117"/>
      <w:bookmarkStart w:id="442" w:name="_Toc108238606"/>
      <w:bookmarkStart w:id="443" w:name="_Toc124125601"/>
      <w:bookmarkStart w:id="444" w:name="_Toc155600328"/>
      <w:r>
        <w:rPr>
          <w:rStyle w:val="CharSectno"/>
        </w:rPr>
        <w:t>48</w:t>
      </w:r>
      <w:r>
        <w:rPr>
          <w:snapToGrid w:val="0"/>
        </w:rPr>
        <w:t>.</w:t>
      </w:r>
      <w:r>
        <w:rPr>
          <w:snapToGrid w:val="0"/>
        </w:rPr>
        <w:tab/>
        <w:t>Interpretation</w:t>
      </w:r>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In this Division, unless the context otherwise requires — </w:t>
      </w:r>
    </w:p>
    <w:p>
      <w:pPr>
        <w:pStyle w:val="Defstart"/>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 settlement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49A(1);</w:t>
      </w:r>
    </w:p>
    <w:p>
      <w:pPr>
        <w:pStyle w:val="Defstart"/>
      </w:pPr>
      <w:r>
        <w:rPr>
          <w:b/>
        </w:rPr>
        <w:tab/>
        <w:t>“</w:t>
      </w:r>
      <w:r>
        <w:rPr>
          <w:rStyle w:val="CharDefText"/>
        </w:rPr>
        <w:t>trust accounts</w:t>
      </w:r>
      <w:r>
        <w:rPr>
          <w:b/>
        </w:rPr>
        <w:t>”</w:t>
      </w:r>
      <w:r>
        <w:t xml:space="preserve"> means accounts relating to moneys received or held by a settlement agent for or on behalf of any other person in respect of settlements to be arranged or effected, or arranged or effected, by the settlement agent;</w:t>
      </w:r>
    </w:p>
    <w:p>
      <w:pPr>
        <w:pStyle w:val="Defstart"/>
      </w:pPr>
      <w:r>
        <w:rPr>
          <w:b/>
        </w:rPr>
        <w:tab/>
        <w:t>“</w:t>
      </w:r>
      <w:r>
        <w:rPr>
          <w:rStyle w:val="CharDefText"/>
        </w:rPr>
        <w:t>year</w:t>
      </w:r>
      <w:r>
        <w:rPr>
          <w:b/>
        </w:rPr>
        <w:t>”</w:t>
      </w:r>
      <w:r>
        <w:t xml:space="preserve"> means a period of 12 months ending on 30 June, subject however to the provisions of section 52.</w:t>
      </w:r>
    </w:p>
    <w:p>
      <w:pPr>
        <w:pStyle w:val="Footnotesection"/>
      </w:pPr>
      <w:r>
        <w:tab/>
        <w:t xml:space="preserve">[Section 48 amended by No. 59 of 1995 s. 66; No. 26 of 1999 s. 102(5).] </w:t>
      </w:r>
    </w:p>
    <w:p>
      <w:pPr>
        <w:pStyle w:val="Heading5"/>
        <w:rPr>
          <w:snapToGrid w:val="0"/>
        </w:rPr>
      </w:pPr>
      <w:bookmarkStart w:id="445" w:name="_Toc480623112"/>
      <w:bookmarkStart w:id="446" w:name="_Toc520186118"/>
      <w:bookmarkStart w:id="447" w:name="_Toc108238607"/>
      <w:bookmarkStart w:id="448" w:name="_Toc124125602"/>
      <w:bookmarkStart w:id="449" w:name="_Toc155600329"/>
      <w:r>
        <w:rPr>
          <w:rStyle w:val="CharSectno"/>
        </w:rPr>
        <w:t>49</w:t>
      </w:r>
      <w:r>
        <w:rPr>
          <w:snapToGrid w:val="0"/>
        </w:rPr>
        <w:t>.</w:t>
      </w:r>
      <w:r>
        <w:rPr>
          <w:snapToGrid w:val="0"/>
        </w:rPr>
        <w:tab/>
        <w:t>Trust accounts</w:t>
      </w:r>
      <w:bookmarkEnd w:id="445"/>
      <w:bookmarkEnd w:id="446"/>
      <w:bookmarkEnd w:id="447"/>
      <w:bookmarkEnd w:id="448"/>
      <w:bookmarkEnd w:id="449"/>
      <w:r>
        <w:rPr>
          <w:snapToGrid w:val="0"/>
        </w:rPr>
        <w:t xml:space="preserve"> </w:t>
      </w:r>
    </w:p>
    <w:p>
      <w:pPr>
        <w:pStyle w:val="Subsection"/>
        <w:rPr>
          <w:snapToGrid w:val="0"/>
        </w:rPr>
      </w:pPr>
      <w:r>
        <w:rPr>
          <w:snapToGrid w:val="0"/>
        </w:rPr>
        <w:tab/>
        <w:t>(1)</w:t>
      </w:r>
      <w:r>
        <w:rPr>
          <w:snapToGrid w:val="0"/>
        </w:rPr>
        <w:tab/>
        <w:t>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arranged or effected, or arranged or effected, by the settlement agent.</w:t>
      </w:r>
    </w:p>
    <w:p>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pPr>
        <w:pStyle w:val="Subsection"/>
        <w:rPr>
          <w:snapToGrid w:val="0"/>
        </w:rPr>
      </w:pPr>
      <w:r>
        <w:rPr>
          <w:snapToGrid w:val="0"/>
        </w:rPr>
        <w:tab/>
        <w:t>(6)</w:t>
      </w:r>
      <w:r>
        <w:rPr>
          <w:snapToGrid w:val="0"/>
        </w:rPr>
        <w:tab/>
        <w:t>A settlement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 and certify in records that this has been done.</w:t>
      </w:r>
    </w:p>
    <w:p>
      <w:pPr>
        <w:pStyle w:val="Footnotesection"/>
      </w:pPr>
      <w:r>
        <w:tab/>
        <w:t xml:space="preserve">[Section 49 amended by No. 59 of 1995 s. 67.] </w:t>
      </w:r>
    </w:p>
    <w:p>
      <w:pPr>
        <w:pStyle w:val="Heading5"/>
        <w:rPr>
          <w:snapToGrid w:val="0"/>
        </w:rPr>
      </w:pPr>
      <w:bookmarkStart w:id="450" w:name="_Toc480623113"/>
      <w:bookmarkStart w:id="451" w:name="_Toc520186119"/>
      <w:bookmarkStart w:id="452" w:name="_Toc108238608"/>
      <w:bookmarkStart w:id="453" w:name="_Toc124125603"/>
      <w:bookmarkStart w:id="454" w:name="_Toc155600330"/>
      <w:r>
        <w:rPr>
          <w:rStyle w:val="CharSectno"/>
        </w:rPr>
        <w:t>49A</w:t>
      </w:r>
      <w:r>
        <w:rPr>
          <w:snapToGrid w:val="0"/>
        </w:rPr>
        <w:t xml:space="preserve">. </w:t>
      </w:r>
      <w:r>
        <w:rPr>
          <w:snapToGrid w:val="0"/>
        </w:rPr>
        <w:tab/>
        <w:t>Person may request separate trust account</w:t>
      </w:r>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A person may request that moneys paid by that person to a settlement agent in respect of a transaction be deposited to the credit of a separate interest bearing trust account maintained in accordance with section 49.</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 settlement agent shall, subject to subsection (4), comply with a request.</w:t>
      </w:r>
    </w:p>
    <w:p>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settlement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49A inserted by No. 59 of 1995 s. 68.] </w:t>
      </w:r>
    </w:p>
    <w:p>
      <w:pPr>
        <w:pStyle w:val="Heading5"/>
        <w:rPr>
          <w:snapToGrid w:val="0"/>
        </w:rPr>
      </w:pPr>
      <w:bookmarkStart w:id="455" w:name="_Toc480623114"/>
      <w:bookmarkStart w:id="456" w:name="_Toc520186120"/>
      <w:bookmarkStart w:id="457" w:name="_Toc108238609"/>
      <w:bookmarkStart w:id="458" w:name="_Toc124125604"/>
      <w:bookmarkStart w:id="459" w:name="_Toc155600331"/>
      <w:r>
        <w:rPr>
          <w:rStyle w:val="CharSectno"/>
        </w:rPr>
        <w:t>49B</w:t>
      </w:r>
      <w:r>
        <w:rPr>
          <w:snapToGrid w:val="0"/>
        </w:rPr>
        <w:t xml:space="preserve">. </w:t>
      </w:r>
      <w:r>
        <w:rPr>
          <w:snapToGrid w:val="0"/>
        </w:rPr>
        <w:tab/>
        <w:t>Payment of interest on trust accounts</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pPr>
        <w:pStyle w:val="Footnotesection"/>
      </w:pPr>
      <w:r>
        <w:tab/>
        <w:t xml:space="preserve">[Section 49B inserted by No. 59 of 1995 s. 68.] </w:t>
      </w:r>
    </w:p>
    <w:p>
      <w:pPr>
        <w:pStyle w:val="Heading5"/>
        <w:rPr>
          <w:snapToGrid w:val="0"/>
        </w:rPr>
      </w:pPr>
      <w:bookmarkStart w:id="460" w:name="_Toc480623115"/>
      <w:bookmarkStart w:id="461" w:name="_Toc520186121"/>
      <w:bookmarkStart w:id="462" w:name="_Toc108238610"/>
      <w:bookmarkStart w:id="463" w:name="_Toc124125605"/>
      <w:bookmarkStart w:id="464" w:name="_Toc155600332"/>
      <w:r>
        <w:rPr>
          <w:rStyle w:val="CharSectno"/>
        </w:rPr>
        <w:t>49C</w:t>
      </w:r>
      <w:r>
        <w:rPr>
          <w:snapToGrid w:val="0"/>
        </w:rPr>
        <w:t xml:space="preserve">. </w:t>
      </w:r>
      <w:r>
        <w:rPr>
          <w:snapToGrid w:val="0"/>
        </w:rPr>
        <w:tab/>
        <w:t>Board to be given certain information in relation to trust accounts</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When a settlement agent opens or closes a trust account, the settlement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If a settlement agent’s trust account is overdrawn, both the settlement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amount by which the trust account is overdrawn.</w:t>
      </w:r>
    </w:p>
    <w:p>
      <w:pPr>
        <w:pStyle w:val="Footnotesection"/>
      </w:pPr>
      <w:r>
        <w:tab/>
        <w:t xml:space="preserve">[Section 49C inserted by No. 59 of 1995 s. 68.] </w:t>
      </w:r>
    </w:p>
    <w:p>
      <w:pPr>
        <w:pStyle w:val="Heading5"/>
        <w:rPr>
          <w:snapToGrid w:val="0"/>
        </w:rPr>
      </w:pPr>
      <w:bookmarkStart w:id="465" w:name="_Toc480623116"/>
      <w:bookmarkStart w:id="466" w:name="_Toc520186122"/>
      <w:bookmarkStart w:id="467" w:name="_Toc108238611"/>
      <w:bookmarkStart w:id="468" w:name="_Toc124125606"/>
      <w:bookmarkStart w:id="469" w:name="_Toc155600333"/>
      <w:r>
        <w:rPr>
          <w:rStyle w:val="CharSectno"/>
        </w:rPr>
        <w:t>50</w:t>
      </w:r>
      <w:r>
        <w:rPr>
          <w:snapToGrid w:val="0"/>
        </w:rPr>
        <w:t>.</w:t>
      </w:r>
      <w:r>
        <w:rPr>
          <w:snapToGrid w:val="0"/>
        </w:rPr>
        <w:tab/>
        <w:t>Receipts and accounting to principal</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When a settlement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 settlement agent if the settlement agent’s auditor certifies to the Board that he is satisfied with the system employed by the settlement agent and that the records of moneys received are so kept and entered up as to enable the accounts to be properly and conveniently audited, and the Board approves of the system employed by the settlement agent of recording the receipt of moneys.</w:t>
      </w:r>
    </w:p>
    <w:p>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pPr>
        <w:pStyle w:val="Footnotesection"/>
      </w:pPr>
      <w:r>
        <w:tab/>
        <w:t xml:space="preserve">[Section 50 amended by No. 59 of 1995 s. 69.] </w:t>
      </w:r>
    </w:p>
    <w:p>
      <w:pPr>
        <w:pStyle w:val="Heading5"/>
        <w:rPr>
          <w:snapToGrid w:val="0"/>
        </w:rPr>
      </w:pPr>
      <w:bookmarkStart w:id="470" w:name="_Toc480623117"/>
      <w:bookmarkStart w:id="471" w:name="_Toc520186123"/>
      <w:bookmarkStart w:id="472" w:name="_Toc108238612"/>
      <w:bookmarkStart w:id="473" w:name="_Toc124125607"/>
      <w:bookmarkStart w:id="474" w:name="_Toc155600334"/>
      <w:r>
        <w:rPr>
          <w:rStyle w:val="CharSectno"/>
        </w:rPr>
        <w:t>51</w:t>
      </w:r>
      <w:r>
        <w:rPr>
          <w:snapToGrid w:val="0"/>
        </w:rPr>
        <w:t>.</w:t>
      </w:r>
      <w:r>
        <w:rPr>
          <w:snapToGrid w:val="0"/>
        </w:rPr>
        <w:tab/>
        <w:t>Duty of settlement agent to have trust accounts audited</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Every person who carries on business as a settlement agent during the whole or any part of a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settlement agent.</w:t>
      </w:r>
    </w:p>
    <w:p>
      <w:pPr>
        <w:pStyle w:val="Subsection"/>
        <w:rPr>
          <w:snapToGrid w:val="0"/>
        </w:rPr>
      </w:pPr>
      <w:r>
        <w:rPr>
          <w:snapToGrid w:val="0"/>
        </w:rPr>
        <w:tab/>
        <w:t>(4)</w:t>
      </w:r>
      <w:r>
        <w:rPr>
          <w:snapToGrid w:val="0"/>
        </w:rPr>
        <w:tab/>
        <w:t>The settlement agent shall retain the copy of the report and produce it on demand pursuant to section 61(3).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settlement agent or discovers any other matter in respect of those accounts which the auditor considers should be reported to the Board and he shall verify the interim report by statutory declaration and deliver a copy of the report so verified to the settlement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settlement agent if the Board so directs but otherwise shall be paid by the Board.</w:t>
      </w:r>
    </w:p>
    <w:p>
      <w:pPr>
        <w:pStyle w:val="Subsection"/>
        <w:keepNext/>
        <w:rPr>
          <w:snapToGrid w:val="0"/>
        </w:rPr>
      </w:pPr>
      <w:r>
        <w:rPr>
          <w:snapToGrid w:val="0"/>
        </w:rPr>
        <w:tab/>
        <w:t>(8)</w:t>
      </w:r>
      <w:r>
        <w:rPr>
          <w:snapToGrid w:val="0"/>
        </w:rPr>
        <w:tab/>
        <w:t>Apart from the annual audit and any interim audit provided for in this section, there shall be — </w:t>
      </w:r>
    </w:p>
    <w:p>
      <w:pPr>
        <w:pStyle w:val="Indenta"/>
        <w:rPr>
          <w:snapToGrid w:val="0"/>
        </w:rPr>
      </w:pPr>
      <w:r>
        <w:rPr>
          <w:snapToGrid w:val="0"/>
        </w:rPr>
        <w:tab/>
        <w:t>(a)</w:t>
      </w:r>
      <w:r>
        <w:rPr>
          <w:snapToGrid w:val="0"/>
        </w:rPr>
        <w:tab/>
        <w:t>a quarterly audit in respect of the trust accounts of a settlement agent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Board a report of the result of such quarterly audit; and</w:t>
      </w:r>
    </w:p>
    <w:p>
      <w:pPr>
        <w:pStyle w:val="Indenta"/>
        <w:rPr>
          <w:snapToGrid w:val="0"/>
        </w:rPr>
      </w:pPr>
      <w:r>
        <w:rPr>
          <w:snapToGrid w:val="0"/>
        </w:rPr>
        <w:tab/>
        <w:t>(b)</w:t>
      </w:r>
      <w:r>
        <w:rPr>
          <w:snapToGrid w:val="0"/>
        </w:rPr>
        <w:tab/>
        <w:t>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Board a report of such termination audit.</w:t>
      </w:r>
    </w:p>
    <w:p>
      <w:pPr>
        <w:pStyle w:val="Subsection"/>
        <w:rPr>
          <w:snapToGrid w:val="0"/>
        </w:rPr>
      </w:pPr>
      <w:r>
        <w:rPr>
          <w:snapToGrid w:val="0"/>
        </w:rPr>
        <w:tab/>
        <w:t>(9)</w:t>
      </w:r>
      <w:r>
        <w:rPr>
          <w:snapToGrid w:val="0"/>
        </w:rPr>
        <w:tab/>
        <w:t>The Board may, if it thinks fit, waive in respect of a settlement agent’s trust accounts the requirement of a quarterly audit mentioned in subsection (8).</w:t>
      </w:r>
    </w:p>
    <w:p>
      <w:pPr>
        <w:pStyle w:val="Heading5"/>
        <w:rPr>
          <w:snapToGrid w:val="0"/>
        </w:rPr>
      </w:pPr>
      <w:bookmarkStart w:id="475" w:name="_Toc480623118"/>
      <w:bookmarkStart w:id="476" w:name="_Toc520186124"/>
      <w:bookmarkStart w:id="477" w:name="_Toc108238613"/>
      <w:bookmarkStart w:id="478" w:name="_Toc124125608"/>
      <w:bookmarkStart w:id="479" w:name="_Toc155600335"/>
      <w:r>
        <w:rPr>
          <w:rStyle w:val="CharSectno"/>
        </w:rPr>
        <w:t>52</w:t>
      </w:r>
      <w:r>
        <w:rPr>
          <w:snapToGrid w:val="0"/>
        </w:rPr>
        <w:t>.</w:t>
      </w:r>
      <w:r>
        <w:rPr>
          <w:snapToGrid w:val="0"/>
        </w:rPr>
        <w:tab/>
        <w:t>Variation of date of audit</w:t>
      </w:r>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Notwithstanding anything else in this Division a settlement agent may apply in writing to the Board to fix some date other than 30 June, as the date up to which his trust accounts are to be audited, and the Board may, in its discretion, permit the settlement agent to substitute such other date for 30 June.</w:t>
      </w:r>
    </w:p>
    <w:p>
      <w:pPr>
        <w:pStyle w:val="Subsection"/>
        <w:rPr>
          <w:snapToGrid w:val="0"/>
        </w:rPr>
      </w:pPr>
      <w:r>
        <w:rPr>
          <w:snapToGrid w:val="0"/>
        </w:rPr>
        <w:tab/>
        <w:t>(2)</w:t>
      </w:r>
      <w:r>
        <w:rPr>
          <w:snapToGrid w:val="0"/>
        </w:rPr>
        <w:tab/>
        <w:t>The Board may, upon giving not less than one year’s notice to the settlement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pPr>
        <w:pStyle w:val="Subsection"/>
        <w:rPr>
          <w:snapToGrid w:val="0"/>
        </w:rPr>
      </w:pPr>
      <w:r>
        <w:rPr>
          <w:snapToGrid w:val="0"/>
        </w:rPr>
        <w:tab/>
        <w:t>(5)</w:t>
      </w:r>
      <w:r>
        <w:rPr>
          <w:snapToGrid w:val="0"/>
        </w:rPr>
        <w:tab/>
        <w:t>When any date has been substituted for 30 June under this section, the date so substituted shall not be further changed except by permission of the Board granted in accordance with this section.</w:t>
      </w:r>
    </w:p>
    <w:p>
      <w:pPr>
        <w:pStyle w:val="Heading5"/>
        <w:rPr>
          <w:snapToGrid w:val="0"/>
        </w:rPr>
      </w:pPr>
      <w:bookmarkStart w:id="480" w:name="_Toc480623119"/>
      <w:bookmarkStart w:id="481" w:name="_Toc520186125"/>
      <w:bookmarkStart w:id="482" w:name="_Toc108238614"/>
      <w:bookmarkStart w:id="483" w:name="_Toc124125609"/>
      <w:bookmarkStart w:id="484" w:name="_Toc155600336"/>
      <w:r>
        <w:rPr>
          <w:rStyle w:val="CharSectno"/>
        </w:rPr>
        <w:t>53</w:t>
      </w:r>
      <w:r>
        <w:rPr>
          <w:snapToGrid w:val="0"/>
        </w:rPr>
        <w:t>.</w:t>
      </w:r>
      <w:r>
        <w:rPr>
          <w:snapToGrid w:val="0"/>
        </w:rPr>
        <w:tab/>
        <w:t>Qualification and approval of auditors</w:t>
      </w:r>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Division.</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Board may, if it thinks fit, disqualify that auditor from acting in that particular case.</w:t>
      </w:r>
    </w:p>
    <w:p>
      <w:pPr>
        <w:pStyle w:val="Footnotesection"/>
      </w:pPr>
      <w:r>
        <w:tab/>
        <w:t xml:space="preserve">[Section 53 amended by No. 10 of 1982 s. 28; No. 59 of 1995 s. 70; No. 10 of 2001 s. 220; No. 28 of 2003 s. 181.] </w:t>
      </w:r>
    </w:p>
    <w:p>
      <w:pPr>
        <w:pStyle w:val="Heading5"/>
        <w:rPr>
          <w:snapToGrid w:val="0"/>
        </w:rPr>
      </w:pPr>
      <w:bookmarkStart w:id="485" w:name="_Toc480623120"/>
      <w:bookmarkStart w:id="486" w:name="_Toc520186126"/>
      <w:bookmarkStart w:id="487" w:name="_Toc108238615"/>
      <w:bookmarkStart w:id="488" w:name="_Toc124125610"/>
      <w:bookmarkStart w:id="489" w:name="_Toc155600337"/>
      <w:r>
        <w:rPr>
          <w:rStyle w:val="CharSectno"/>
        </w:rPr>
        <w:t>54</w:t>
      </w:r>
      <w:r>
        <w:rPr>
          <w:snapToGrid w:val="0"/>
        </w:rPr>
        <w:t>.</w:t>
      </w:r>
      <w:r>
        <w:rPr>
          <w:snapToGrid w:val="0"/>
        </w:rPr>
        <w:tab/>
        <w:t>Appointment of auditor</w:t>
      </w:r>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pPr>
        <w:pStyle w:val="Subsection"/>
        <w:rPr>
          <w:snapToGrid w:val="0"/>
        </w:rPr>
      </w:pPr>
      <w:r>
        <w:rPr>
          <w:snapToGrid w:val="0"/>
        </w:rPr>
        <w:tab/>
        <w:t>(2)</w:t>
      </w:r>
      <w:r>
        <w:rPr>
          <w:snapToGrid w:val="0"/>
        </w:rPr>
        <w:tab/>
        <w:t>A settlement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490" w:name="_Toc480623121"/>
      <w:bookmarkStart w:id="491" w:name="_Toc520186127"/>
      <w:bookmarkStart w:id="492" w:name="_Toc108238616"/>
      <w:bookmarkStart w:id="493" w:name="_Toc124125611"/>
      <w:bookmarkStart w:id="494" w:name="_Toc155600338"/>
      <w:r>
        <w:rPr>
          <w:rStyle w:val="CharSectno"/>
        </w:rPr>
        <w:t>55</w:t>
      </w:r>
      <w:r>
        <w:rPr>
          <w:snapToGrid w:val="0"/>
        </w:rPr>
        <w:t>.</w:t>
      </w:r>
      <w:r>
        <w:rPr>
          <w:snapToGrid w:val="0"/>
        </w:rPr>
        <w:tab/>
        <w:t>Power to give directions for audit of business carried on at more than one place</w:t>
      </w:r>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In the event of a settlement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495" w:name="_Toc480623122"/>
      <w:bookmarkStart w:id="496" w:name="_Toc520186128"/>
      <w:bookmarkStart w:id="497" w:name="_Toc108238617"/>
      <w:bookmarkStart w:id="498" w:name="_Toc124125612"/>
      <w:bookmarkStart w:id="499" w:name="_Toc155600339"/>
      <w:r>
        <w:rPr>
          <w:rStyle w:val="CharSectno"/>
        </w:rPr>
        <w:t>56</w:t>
      </w:r>
      <w:r>
        <w:rPr>
          <w:snapToGrid w:val="0"/>
        </w:rPr>
        <w:t>.</w:t>
      </w:r>
      <w:r>
        <w:rPr>
          <w:snapToGrid w:val="0"/>
        </w:rPr>
        <w:tab/>
        <w:t>Alteration of rights under this Division</w:t>
      </w:r>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The Board may, if in its opinion just cause exists for doing so —</w:t>
      </w:r>
    </w:p>
    <w:p>
      <w:pPr>
        <w:pStyle w:val="Indenta"/>
        <w:rPr>
          <w:snapToGrid w:val="0"/>
        </w:rPr>
      </w:pPr>
      <w:r>
        <w:rPr>
          <w:snapToGrid w:val="0"/>
        </w:rPr>
        <w:tab/>
        <w:t>(a)</w:t>
      </w:r>
      <w:r>
        <w:rPr>
          <w:snapToGrid w:val="0"/>
        </w:rPr>
        <w:tab/>
        <w:t>cancel or suspend the right of any person to act as auditor under this Division; or</w:t>
      </w:r>
    </w:p>
    <w:p>
      <w:pPr>
        <w:pStyle w:val="Indenta"/>
        <w:rPr>
          <w:snapToGrid w:val="0"/>
        </w:rPr>
      </w:pPr>
      <w:r>
        <w:rPr>
          <w:snapToGrid w:val="0"/>
        </w:rPr>
        <w:tab/>
        <w:t>(b)</w:t>
      </w:r>
      <w:r>
        <w:rPr>
          <w:snapToGrid w:val="0"/>
        </w:rPr>
        <w:tab/>
        <w:t>vary or revoke any other approval, direction, permission, or authority granted or given by it under this Division.</w:t>
      </w:r>
    </w:p>
    <w:p>
      <w:pPr>
        <w:pStyle w:val="Ednotesection"/>
      </w:pPr>
      <w:bookmarkStart w:id="500" w:name="_Toc480623124"/>
      <w:bookmarkStart w:id="501" w:name="_Toc520186130"/>
      <w:r>
        <w:t>[</w:t>
      </w:r>
      <w:r>
        <w:rPr>
          <w:b/>
        </w:rPr>
        <w:t>57.</w:t>
      </w:r>
      <w:r>
        <w:tab/>
        <w:t>Repealed by No. 55 of 2004 s. 1088.]</w:t>
      </w:r>
    </w:p>
    <w:p>
      <w:pPr>
        <w:pStyle w:val="Heading5"/>
        <w:rPr>
          <w:snapToGrid w:val="0"/>
        </w:rPr>
      </w:pPr>
      <w:bookmarkStart w:id="502" w:name="_Toc108238618"/>
      <w:bookmarkStart w:id="503" w:name="_Toc124125613"/>
      <w:bookmarkStart w:id="504" w:name="_Toc155600340"/>
      <w:r>
        <w:rPr>
          <w:rStyle w:val="CharSectno"/>
        </w:rPr>
        <w:t>58</w:t>
      </w:r>
      <w:r>
        <w:rPr>
          <w:snapToGrid w:val="0"/>
        </w:rPr>
        <w:t>.</w:t>
      </w:r>
      <w:r>
        <w:rPr>
          <w:snapToGrid w:val="0"/>
        </w:rPr>
        <w:tab/>
        <w:t>Duties of settlement agents with respect to audit</w:t>
      </w:r>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505" w:name="_Toc480623125"/>
      <w:bookmarkStart w:id="506" w:name="_Toc520186131"/>
      <w:bookmarkStart w:id="507" w:name="_Toc108238619"/>
      <w:bookmarkStart w:id="508" w:name="_Toc124125614"/>
      <w:bookmarkStart w:id="509" w:name="_Toc155600341"/>
      <w:r>
        <w:rPr>
          <w:rStyle w:val="CharSectno"/>
        </w:rPr>
        <w:t>59</w:t>
      </w:r>
      <w:r>
        <w:rPr>
          <w:snapToGrid w:val="0"/>
        </w:rPr>
        <w:t>.</w:t>
      </w:r>
      <w:r>
        <w:rPr>
          <w:snapToGrid w:val="0"/>
        </w:rPr>
        <w:tab/>
        <w:t>Duty of banker with respect to audit</w:t>
      </w:r>
      <w:bookmarkEnd w:id="505"/>
      <w:bookmarkEnd w:id="506"/>
      <w:bookmarkEnd w:id="507"/>
      <w:bookmarkEnd w:id="508"/>
      <w:bookmarkEnd w:id="509"/>
      <w:r>
        <w:rPr>
          <w:snapToGrid w:val="0"/>
        </w:rPr>
        <w:t xml:space="preserve"> </w:t>
      </w:r>
    </w:p>
    <w:p>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pPr>
        <w:pStyle w:val="Heading5"/>
        <w:rPr>
          <w:snapToGrid w:val="0"/>
        </w:rPr>
      </w:pPr>
      <w:bookmarkStart w:id="510" w:name="_Toc480623126"/>
      <w:bookmarkStart w:id="511" w:name="_Toc520186132"/>
      <w:bookmarkStart w:id="512" w:name="_Toc108238620"/>
      <w:bookmarkStart w:id="513" w:name="_Toc124125615"/>
      <w:bookmarkStart w:id="514" w:name="_Toc155600342"/>
      <w:r>
        <w:rPr>
          <w:rStyle w:val="CharSectno"/>
        </w:rPr>
        <w:t>60</w:t>
      </w:r>
      <w:r>
        <w:rPr>
          <w:snapToGrid w:val="0"/>
        </w:rPr>
        <w:t>.</w:t>
      </w:r>
      <w:r>
        <w:rPr>
          <w:snapToGrid w:val="0"/>
        </w:rPr>
        <w:tab/>
        <w:t>Contents of auditor’s report</w:t>
      </w:r>
      <w:bookmarkEnd w:id="510"/>
      <w:bookmarkEnd w:id="511"/>
      <w:bookmarkEnd w:id="512"/>
      <w:bookmarkEnd w:id="513"/>
      <w:bookmarkEnd w:id="514"/>
      <w:r>
        <w:rPr>
          <w:snapToGrid w:val="0"/>
        </w:rPr>
        <w:t xml:space="preserve"> </w:t>
      </w:r>
    </w:p>
    <w:p>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 </w:t>
      </w:r>
    </w:p>
    <w:p>
      <w:pPr>
        <w:pStyle w:val="Indenta"/>
        <w:rPr>
          <w:snapToGrid w:val="0"/>
        </w:rPr>
      </w:pPr>
      <w:r>
        <w:rPr>
          <w:snapToGrid w:val="0"/>
        </w:rPr>
        <w:tab/>
        <w:t>(a)</w:t>
      </w:r>
      <w:r>
        <w:rPr>
          <w:snapToGrid w:val="0"/>
        </w:rPr>
        <w:tab/>
        <w:t>whether the trust accounts of such settlement agent have in the opinion of the auditor been kept regularly and properly written up;</w:t>
      </w:r>
    </w:p>
    <w:p>
      <w:pPr>
        <w:pStyle w:val="Indenta"/>
        <w:rPr>
          <w:snapToGrid w:val="0"/>
        </w:rPr>
      </w:pPr>
      <w:r>
        <w:rPr>
          <w:snapToGrid w:val="0"/>
        </w:rPr>
        <w:tab/>
        <w:t>(b)</w:t>
      </w:r>
      <w:r>
        <w:rPr>
          <w:snapToGrid w:val="0"/>
        </w:rPr>
        <w:tab/>
        <w:t>whether the trust accounts of such settlement agent have been ready for examination at the periods appointed by the auditor;</w:t>
      </w:r>
    </w:p>
    <w:p>
      <w:pPr>
        <w:pStyle w:val="Indenta"/>
        <w:rPr>
          <w:snapToGrid w:val="0"/>
        </w:rPr>
      </w:pPr>
      <w:r>
        <w:rPr>
          <w:snapToGrid w:val="0"/>
        </w:rPr>
        <w:tab/>
        <w:t>(c)</w:t>
      </w:r>
      <w:r>
        <w:rPr>
          <w:snapToGrid w:val="0"/>
        </w:rPr>
        <w:tab/>
        <w:t>whether such settlement agent has complied with the auditor’s requirements;</w:t>
      </w:r>
    </w:p>
    <w:p>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pPr>
        <w:pStyle w:val="Ednotepara"/>
        <w:rPr>
          <w:snapToGrid w:val="0"/>
        </w:rPr>
      </w:pPr>
      <w:r>
        <w:rPr>
          <w:snapToGrid w:val="0"/>
        </w:rPr>
        <w:tab/>
        <w:t>[(e)</w:t>
      </w:r>
      <w:r>
        <w:rPr>
          <w:snapToGrid w:val="0"/>
        </w:rPr>
        <w:tab/>
        <w:t xml:space="preserve">deleted] </w:t>
      </w:r>
    </w:p>
    <w:p>
      <w:pPr>
        <w:pStyle w:val="Indenta"/>
        <w:rPr>
          <w:snapToGrid w:val="0"/>
        </w:rPr>
      </w:pPr>
      <w:r>
        <w:rPr>
          <w:snapToGrid w:val="0"/>
        </w:rPr>
        <w:tab/>
        <w:t>(f)</w:t>
      </w:r>
      <w:r>
        <w:rPr>
          <w:snapToGrid w:val="0"/>
        </w:rPr>
        <w:tab/>
        <w:t>any matter or thing in relation to such trust accounts which should in the opinion of the auditor be communicated to the Board.</w:t>
      </w:r>
    </w:p>
    <w:p>
      <w:pPr>
        <w:pStyle w:val="Footnotesection"/>
      </w:pPr>
      <w:r>
        <w:tab/>
        <w:t xml:space="preserve">[Section 60 amended by No. 64 of 1982 s. 4; No. 59 of 1995 s. 71.] </w:t>
      </w:r>
    </w:p>
    <w:p>
      <w:pPr>
        <w:pStyle w:val="Heading5"/>
        <w:rPr>
          <w:snapToGrid w:val="0"/>
        </w:rPr>
      </w:pPr>
      <w:bookmarkStart w:id="515" w:name="_Toc480623127"/>
      <w:bookmarkStart w:id="516" w:name="_Toc520186133"/>
      <w:bookmarkStart w:id="517" w:name="_Toc108238621"/>
      <w:bookmarkStart w:id="518" w:name="_Toc124125616"/>
      <w:bookmarkStart w:id="519" w:name="_Toc155600343"/>
      <w:r>
        <w:rPr>
          <w:rStyle w:val="CharSectno"/>
        </w:rPr>
        <w:t>61</w:t>
      </w:r>
      <w:r>
        <w:rPr>
          <w:snapToGrid w:val="0"/>
        </w:rPr>
        <w:t>.</w:t>
      </w:r>
      <w:r>
        <w:rPr>
          <w:snapToGrid w:val="0"/>
        </w:rPr>
        <w:tab/>
        <w:t>Statement of moneys etc., held by settlement agent for or on behalf of other persons</w:t>
      </w:r>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settlement agent for or on behalf of any other person; and</w:t>
      </w:r>
    </w:p>
    <w:p>
      <w:pPr>
        <w:pStyle w:val="Indenta"/>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settlement agent.</w:t>
      </w:r>
    </w:p>
    <w:p>
      <w:pPr>
        <w:pStyle w:val="Subsection"/>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pPr>
        <w:pStyle w:val="Heading5"/>
        <w:rPr>
          <w:snapToGrid w:val="0"/>
        </w:rPr>
      </w:pPr>
      <w:bookmarkStart w:id="520" w:name="_Toc480623128"/>
      <w:bookmarkStart w:id="521" w:name="_Toc520186134"/>
      <w:bookmarkStart w:id="522" w:name="_Toc108238622"/>
      <w:bookmarkStart w:id="523" w:name="_Toc124125617"/>
      <w:bookmarkStart w:id="524" w:name="_Toc155600344"/>
      <w:r>
        <w:rPr>
          <w:rStyle w:val="CharSectno"/>
        </w:rPr>
        <w:t>62</w:t>
      </w:r>
      <w:r>
        <w:rPr>
          <w:snapToGrid w:val="0"/>
        </w:rPr>
        <w:t>.</w:t>
      </w:r>
      <w:r>
        <w:rPr>
          <w:snapToGrid w:val="0"/>
        </w:rPr>
        <w:tab/>
        <w:t>Auditor’s report where settlement agent has not complied with Act, etc.</w:t>
      </w:r>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525" w:name="_Toc480623129"/>
      <w:bookmarkStart w:id="526" w:name="_Toc520186135"/>
      <w:bookmarkStart w:id="527" w:name="_Toc108238623"/>
      <w:bookmarkStart w:id="528" w:name="_Toc124125618"/>
      <w:bookmarkStart w:id="529" w:name="_Toc155600345"/>
      <w:r>
        <w:rPr>
          <w:rStyle w:val="CharSectno"/>
        </w:rPr>
        <w:t>63</w:t>
      </w:r>
      <w:r>
        <w:rPr>
          <w:snapToGrid w:val="0"/>
        </w:rPr>
        <w:t>.</w:t>
      </w:r>
      <w:r>
        <w:rPr>
          <w:snapToGrid w:val="0"/>
        </w:rPr>
        <w:tab/>
        <w:t>Non</w:t>
      </w:r>
      <w:r>
        <w:rPr>
          <w:snapToGrid w:val="0"/>
        </w:rPr>
        <w:noBreakHyphen/>
        <w:t>disclosure by auditors</w:t>
      </w:r>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keepNext/>
        <w:keepLines/>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pPr>
        <w:pStyle w:val="Heading5"/>
        <w:rPr>
          <w:snapToGrid w:val="0"/>
        </w:rPr>
      </w:pPr>
      <w:bookmarkStart w:id="530" w:name="_Toc480623130"/>
      <w:bookmarkStart w:id="531" w:name="_Toc520186136"/>
      <w:bookmarkStart w:id="532" w:name="_Toc108238624"/>
      <w:bookmarkStart w:id="533" w:name="_Toc124125619"/>
      <w:bookmarkStart w:id="534" w:name="_Toc155600346"/>
      <w:r>
        <w:rPr>
          <w:rStyle w:val="CharSectno"/>
        </w:rPr>
        <w:t>64</w:t>
      </w:r>
      <w:r>
        <w:rPr>
          <w:snapToGrid w:val="0"/>
        </w:rPr>
        <w:t>.</w:t>
      </w:r>
      <w:r>
        <w:rPr>
          <w:snapToGrid w:val="0"/>
        </w:rPr>
        <w:tab/>
        <w:t>Right of persons beneficially interested to obtain information</w:t>
      </w:r>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settlement agent, the Board may disclose to such person or his solicitor such portion of any report of an auditor, or of any statutory declaration, statement, or other document delivered to the Board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Board under this Division shall be available in the hands of the Board for inspection by any other auditor appointed to audit the accounts of the same settlement agent for the next succeeding year.</w:t>
      </w:r>
    </w:p>
    <w:p>
      <w:pPr>
        <w:pStyle w:val="Heading5"/>
        <w:rPr>
          <w:snapToGrid w:val="0"/>
        </w:rPr>
      </w:pPr>
      <w:bookmarkStart w:id="535" w:name="_Toc480623131"/>
      <w:bookmarkStart w:id="536" w:name="_Toc520186137"/>
      <w:bookmarkStart w:id="537" w:name="_Toc108238625"/>
      <w:bookmarkStart w:id="538" w:name="_Toc124125620"/>
      <w:bookmarkStart w:id="539" w:name="_Toc155600347"/>
      <w:r>
        <w:rPr>
          <w:rStyle w:val="CharSectno"/>
        </w:rPr>
        <w:t>65</w:t>
      </w:r>
      <w:r>
        <w:rPr>
          <w:snapToGrid w:val="0"/>
        </w:rPr>
        <w:t>.</w:t>
      </w:r>
      <w:r>
        <w:rPr>
          <w:snapToGrid w:val="0"/>
        </w:rPr>
        <w:tab/>
        <w:t>Penalty for breach</w:t>
      </w:r>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ind w:left="1613" w:hanging="1613"/>
        <w:rPr>
          <w:snapToGrid w:val="0"/>
        </w:rPr>
      </w:pPr>
      <w:r>
        <w:rPr>
          <w:snapToGrid w:val="0"/>
        </w:rPr>
        <w:tab/>
        <w:t>Penalty:</w:t>
      </w:r>
      <w:r>
        <w:rPr>
          <w:snapToGrid w:val="0"/>
        </w:rPr>
        <w:tab/>
      </w:r>
    </w:p>
    <w:p>
      <w:pPr>
        <w:pStyle w:val="Penpara"/>
        <w:rPr>
          <w:snapToGrid w:val="0"/>
        </w:rPr>
      </w:pPr>
      <w:r>
        <w:rPr>
          <w:snapToGrid w:val="0"/>
        </w:rPr>
        <w:tab/>
        <w:t>(a)</w:t>
      </w:r>
      <w:r>
        <w:rPr>
          <w:snapToGrid w:val="0"/>
        </w:rPr>
        <w:tab/>
        <w:t>in the case of an offence against section 49B(1),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65 amended by No. 59 of 1995 s. 72.] </w:t>
      </w:r>
    </w:p>
    <w:p>
      <w:pPr>
        <w:pStyle w:val="Heading5"/>
        <w:rPr>
          <w:snapToGrid w:val="0"/>
        </w:rPr>
      </w:pPr>
      <w:bookmarkStart w:id="540" w:name="_Toc480623132"/>
      <w:bookmarkStart w:id="541" w:name="_Toc520186138"/>
      <w:bookmarkStart w:id="542" w:name="_Toc108238626"/>
      <w:bookmarkStart w:id="543" w:name="_Toc124125621"/>
      <w:bookmarkStart w:id="544" w:name="_Toc155600348"/>
      <w:r>
        <w:rPr>
          <w:rStyle w:val="CharSectno"/>
        </w:rPr>
        <w:t>66</w:t>
      </w:r>
      <w:r>
        <w:rPr>
          <w:snapToGrid w:val="0"/>
        </w:rPr>
        <w:t>.</w:t>
      </w:r>
      <w:r>
        <w:rPr>
          <w:snapToGrid w:val="0"/>
        </w:rPr>
        <w:tab/>
        <w:t>Remuneration of auditor</w:t>
      </w:r>
      <w:bookmarkEnd w:id="540"/>
      <w:bookmarkEnd w:id="541"/>
      <w:bookmarkEnd w:id="542"/>
      <w:bookmarkEnd w:id="543"/>
      <w:bookmarkEnd w:id="544"/>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pPr>
        <w:pStyle w:val="Heading5"/>
        <w:rPr>
          <w:snapToGrid w:val="0"/>
        </w:rPr>
      </w:pPr>
      <w:bookmarkStart w:id="545" w:name="_Toc480623133"/>
      <w:bookmarkStart w:id="546" w:name="_Toc520186139"/>
      <w:bookmarkStart w:id="547" w:name="_Toc108238627"/>
      <w:bookmarkStart w:id="548" w:name="_Toc124125622"/>
      <w:bookmarkStart w:id="549" w:name="_Toc155600349"/>
      <w:r>
        <w:rPr>
          <w:rStyle w:val="CharSectno"/>
        </w:rPr>
        <w:t>67</w:t>
      </w:r>
      <w:r>
        <w:rPr>
          <w:snapToGrid w:val="0"/>
        </w:rPr>
        <w:t>.</w:t>
      </w:r>
      <w:r>
        <w:rPr>
          <w:snapToGrid w:val="0"/>
        </w:rPr>
        <w:tab/>
        <w:t>Settlement agents having no accounts to audit</w:t>
      </w:r>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Board.</w:t>
      </w:r>
    </w:p>
    <w:p>
      <w:pPr>
        <w:pStyle w:val="Heading5"/>
        <w:rPr>
          <w:snapToGrid w:val="0"/>
        </w:rPr>
      </w:pPr>
      <w:bookmarkStart w:id="550" w:name="_Toc480623134"/>
      <w:bookmarkStart w:id="551" w:name="_Toc520186140"/>
      <w:bookmarkStart w:id="552" w:name="_Toc108238628"/>
      <w:bookmarkStart w:id="553" w:name="_Toc124125623"/>
      <w:bookmarkStart w:id="554" w:name="_Toc155600350"/>
      <w:r>
        <w:rPr>
          <w:rStyle w:val="CharSectno"/>
        </w:rPr>
        <w:t>68</w:t>
      </w:r>
      <w:r>
        <w:rPr>
          <w:snapToGrid w:val="0"/>
        </w:rPr>
        <w:t>.</w:t>
      </w:r>
      <w:r>
        <w:rPr>
          <w:snapToGrid w:val="0"/>
        </w:rPr>
        <w:tab/>
        <w:t>Accounts of firm or body corporate or settlement agent with branch office</w:t>
      </w:r>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pPr>
        <w:pStyle w:val="Subsection"/>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pPr>
        <w:pStyle w:val="Subsection"/>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pPr>
        <w:pStyle w:val="Heading5"/>
        <w:rPr>
          <w:snapToGrid w:val="0"/>
        </w:rPr>
      </w:pPr>
      <w:bookmarkStart w:id="555" w:name="_Toc480623135"/>
      <w:bookmarkStart w:id="556" w:name="_Toc520186141"/>
      <w:bookmarkStart w:id="557" w:name="_Toc108238629"/>
      <w:bookmarkStart w:id="558" w:name="_Toc124125624"/>
      <w:bookmarkStart w:id="559" w:name="_Toc155600351"/>
      <w:r>
        <w:rPr>
          <w:rStyle w:val="CharSectno"/>
        </w:rPr>
        <w:t>69</w:t>
      </w:r>
      <w:r>
        <w:rPr>
          <w:snapToGrid w:val="0"/>
        </w:rPr>
        <w:t>.</w:t>
      </w:r>
      <w:r>
        <w:rPr>
          <w:snapToGrid w:val="0"/>
        </w:rPr>
        <w:tab/>
        <w:t>Power of Board to order audit of trust accounts</w:t>
      </w:r>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Board is of opinion that it is in the public interest to do so, it may, at any time, cause the trust accounts of a settlement agent to be audited by an auditor nominated in writing by the Board for that purpose.</w:t>
      </w:r>
    </w:p>
    <w:p>
      <w:pPr>
        <w:pStyle w:val="Heading5"/>
        <w:rPr>
          <w:snapToGrid w:val="0"/>
        </w:rPr>
      </w:pPr>
      <w:bookmarkStart w:id="560" w:name="_Toc480623136"/>
      <w:bookmarkStart w:id="561" w:name="_Toc520186142"/>
      <w:bookmarkStart w:id="562" w:name="_Toc108238630"/>
      <w:bookmarkStart w:id="563" w:name="_Toc124125625"/>
      <w:bookmarkStart w:id="564" w:name="_Toc155600352"/>
      <w:r>
        <w:rPr>
          <w:rStyle w:val="CharSectno"/>
        </w:rPr>
        <w:t>70</w:t>
      </w:r>
      <w:r>
        <w:rPr>
          <w:snapToGrid w:val="0"/>
        </w:rPr>
        <w:t>.</w:t>
      </w:r>
      <w:r>
        <w:rPr>
          <w:snapToGrid w:val="0"/>
        </w:rPr>
        <w:tab/>
        <w:t>Settlement agent to produce books, etc. to auditor</w:t>
      </w:r>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 </w:t>
      </w:r>
    </w:p>
    <w:p>
      <w:pPr>
        <w:pStyle w:val="Indenta"/>
        <w:rPr>
          <w:snapToGrid w:val="0"/>
        </w:rPr>
      </w:pPr>
      <w:r>
        <w:rPr>
          <w:snapToGrid w:val="0"/>
        </w:rPr>
        <w:tab/>
        <w:t>(a)</w:t>
      </w:r>
      <w:r>
        <w:rPr>
          <w:snapToGrid w:val="0"/>
        </w:rPr>
        <w:tab/>
        <w:t>by the auditor nominated by the Board;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pPr>
        <w:pStyle w:val="Heading5"/>
        <w:rPr>
          <w:snapToGrid w:val="0"/>
        </w:rPr>
      </w:pPr>
      <w:bookmarkStart w:id="565" w:name="_Toc480623137"/>
      <w:bookmarkStart w:id="566" w:name="_Toc520186143"/>
      <w:bookmarkStart w:id="567" w:name="_Toc108238631"/>
      <w:bookmarkStart w:id="568" w:name="_Toc124125626"/>
      <w:bookmarkStart w:id="569" w:name="_Toc155600353"/>
      <w:r>
        <w:rPr>
          <w:rStyle w:val="CharSectno"/>
        </w:rPr>
        <w:t>71</w:t>
      </w:r>
      <w:r>
        <w:rPr>
          <w:snapToGrid w:val="0"/>
        </w:rPr>
        <w:t>.</w:t>
      </w:r>
      <w:r>
        <w:rPr>
          <w:snapToGrid w:val="0"/>
        </w:rPr>
        <w:tab/>
        <w:t>Cost of audit</w:t>
      </w:r>
      <w:bookmarkEnd w:id="565"/>
      <w:bookmarkEnd w:id="566"/>
      <w:bookmarkEnd w:id="567"/>
      <w:bookmarkEnd w:id="568"/>
      <w:bookmarkEnd w:id="569"/>
      <w:r>
        <w:rPr>
          <w:snapToGrid w:val="0"/>
        </w:rPr>
        <w:t xml:space="preserve"> </w:t>
      </w:r>
    </w:p>
    <w:p>
      <w:pPr>
        <w:pStyle w:val="Subsection"/>
        <w:rPr>
          <w:snapToGrid w:val="0"/>
        </w:rPr>
      </w:pPr>
      <w:r>
        <w:rPr>
          <w:snapToGrid w:val="0"/>
        </w:rPr>
        <w:tab/>
        <w:t>(1)</w:t>
      </w:r>
      <w:r>
        <w:rPr>
          <w:snapToGrid w:val="0"/>
        </w:rPr>
        <w:tab/>
        <w:t>The cost of an audit carried out pursuant to section 69 shall be as agreed between the Board and the auditor and paid as the Board in writing directs, either by the Board or by the settlement agent whose trust accounts have been the subject of the audit.</w:t>
      </w:r>
    </w:p>
    <w:p>
      <w:pPr>
        <w:pStyle w:val="Subsection"/>
        <w:rPr>
          <w:snapToGrid w:val="0"/>
        </w:rPr>
      </w:pPr>
      <w:r>
        <w:rPr>
          <w:snapToGrid w:val="0"/>
        </w:rPr>
        <w:tab/>
        <w:t>(2)</w:t>
      </w:r>
      <w:r>
        <w:rPr>
          <w:snapToGrid w:val="0"/>
        </w:rPr>
        <w:tab/>
        <w:t>All moneys paid by the Board under subsection (1) shall be repaid to the Board from moneys standing to the credit of the Fidelity Guarantee Fund.</w:t>
      </w:r>
    </w:p>
    <w:p>
      <w:pPr>
        <w:pStyle w:val="Footnotesection"/>
      </w:pPr>
      <w:r>
        <w:tab/>
        <w:t xml:space="preserve">[Section 71 amended by No. 59 of 1995 s. 86.] </w:t>
      </w:r>
    </w:p>
    <w:p>
      <w:pPr>
        <w:pStyle w:val="Heading5"/>
        <w:rPr>
          <w:snapToGrid w:val="0"/>
        </w:rPr>
      </w:pPr>
      <w:bookmarkStart w:id="570" w:name="_Toc480623138"/>
      <w:bookmarkStart w:id="571" w:name="_Toc520186144"/>
      <w:bookmarkStart w:id="572" w:name="_Toc108238632"/>
      <w:bookmarkStart w:id="573" w:name="_Toc124125627"/>
      <w:bookmarkStart w:id="574" w:name="_Toc155600354"/>
      <w:r>
        <w:rPr>
          <w:rStyle w:val="CharSectno"/>
        </w:rPr>
        <w:t>72</w:t>
      </w:r>
      <w:r>
        <w:rPr>
          <w:snapToGrid w:val="0"/>
        </w:rPr>
        <w:t>.</w:t>
      </w:r>
      <w:r>
        <w:rPr>
          <w:snapToGrid w:val="0"/>
        </w:rPr>
        <w:tab/>
        <w:t>Application of section 63</w:t>
      </w:r>
      <w:bookmarkEnd w:id="570"/>
      <w:bookmarkEnd w:id="571"/>
      <w:bookmarkEnd w:id="572"/>
      <w:bookmarkEnd w:id="573"/>
      <w:bookmarkEnd w:id="574"/>
      <w:r>
        <w:rPr>
          <w:snapToGrid w:val="0"/>
        </w:rPr>
        <w:t xml:space="preserve"> </w:t>
      </w:r>
    </w:p>
    <w:p>
      <w:pPr>
        <w:pStyle w:val="Subsection"/>
        <w:rPr>
          <w:snapToGrid w:val="0"/>
        </w:rPr>
      </w:pPr>
      <w:r>
        <w:rPr>
          <w:snapToGrid w:val="0"/>
        </w:rPr>
        <w:tab/>
      </w:r>
      <w:r>
        <w:rPr>
          <w:snapToGrid w:val="0"/>
        </w:rPr>
        <w:tab/>
        <w:t>The provisions of section 63 apply to an auditor nominated by the Board under section 69 or any person authorised by him under section 70 with such modifications as circumstances require.</w:t>
      </w:r>
    </w:p>
    <w:p>
      <w:pPr>
        <w:pStyle w:val="Heading5"/>
        <w:rPr>
          <w:snapToGrid w:val="0"/>
        </w:rPr>
      </w:pPr>
      <w:bookmarkStart w:id="575" w:name="_Toc480623139"/>
      <w:bookmarkStart w:id="576" w:name="_Toc520186145"/>
      <w:bookmarkStart w:id="577" w:name="_Toc108238633"/>
      <w:bookmarkStart w:id="578" w:name="_Toc124125628"/>
      <w:bookmarkStart w:id="579" w:name="_Toc155600355"/>
      <w:r>
        <w:rPr>
          <w:rStyle w:val="CharSectno"/>
        </w:rPr>
        <w:t>73</w:t>
      </w:r>
      <w:r>
        <w:rPr>
          <w:snapToGrid w:val="0"/>
        </w:rPr>
        <w:t>.</w:t>
      </w:r>
      <w:r>
        <w:rPr>
          <w:snapToGrid w:val="0"/>
        </w:rPr>
        <w:tab/>
        <w:t>Power of restraining dealing with trust accounts or other accounts</w:t>
      </w:r>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settlement agent; or</w:t>
      </w:r>
    </w:p>
    <w:p>
      <w:pPr>
        <w:pStyle w:val="Indenta"/>
        <w:rPr>
          <w:snapToGrid w:val="0"/>
        </w:rPr>
      </w:pPr>
      <w:r>
        <w:rPr>
          <w:snapToGrid w:val="0"/>
        </w:rPr>
        <w:tab/>
        <w:t>(b)</w:t>
      </w:r>
      <w:r>
        <w:rPr>
          <w:snapToGrid w:val="0"/>
        </w:rPr>
        <w:tab/>
        <w:t>there has been undue or unreasonable refusal, neglect, or delay on the part of any settlement agent in paying moneys,</w:t>
      </w:r>
    </w:p>
    <w:p>
      <w:pPr>
        <w:pStyle w:val="Indenti"/>
        <w:rPr>
          <w:snapToGrid w:val="0"/>
        </w:rPr>
      </w:pPr>
      <w:r>
        <w:rPr>
          <w:snapToGrid w:val="0"/>
        </w:rPr>
        <w:tab/>
        <w:t>(i)</w:t>
      </w:r>
      <w:r>
        <w:rPr>
          <w:snapToGrid w:val="0"/>
        </w:rPr>
        <w:tab/>
        <w:t>which are, or may be, or have been payable out of the trust account of the settlement agent; or</w:t>
      </w:r>
    </w:p>
    <w:p>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The order shall be made in the first instance ex parte, without any notice to the settlement agent, and is an order to show cause only.</w:t>
      </w:r>
    </w:p>
    <w:p>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b/>
        </w:rPr>
        <w:t>“</w:t>
      </w:r>
      <w:r>
        <w:rPr>
          <w:rStyle w:val="CharDefText"/>
        </w:rPr>
        <w:t>trust account</w:t>
      </w:r>
      <w:r>
        <w:rPr>
          <w:b/>
        </w:rPr>
        <w:t>”</w:t>
      </w:r>
      <w:r>
        <w:t xml:space="preserve"> includes a bank account, whether a general or a separate account into which account, moneys received or held by a settlement agent for or on behalf of any other person are or were required to be paid under this Division; and</w:t>
      </w:r>
    </w:p>
    <w:p>
      <w:pPr>
        <w:pStyle w:val="Indenta"/>
      </w:pPr>
      <w:r>
        <w:tab/>
        <w:t>(b)</w:t>
      </w:r>
      <w:r>
        <w:tab/>
      </w:r>
      <w:r>
        <w:rPr>
          <w:b/>
        </w:rPr>
        <w:t>“</w:t>
      </w:r>
      <w:r>
        <w:rPr>
          <w:rStyle w:val="CharDefText"/>
        </w:rPr>
        <w:t>settlement agent</w:t>
      </w:r>
      <w:r>
        <w:rPr>
          <w:b/>
        </w:rPr>
        <w:t>”</w:t>
      </w:r>
      <w:r>
        <w:t xml:space="preserve"> includes a person who has carried on business as a settlement agent at any time within a period of 12 months prior to the date of the making of the application under subsection (1).</w:t>
      </w:r>
    </w:p>
    <w:p>
      <w:pPr>
        <w:pStyle w:val="Footnotesection"/>
      </w:pPr>
      <w:r>
        <w:tab/>
        <w:t xml:space="preserve">[Section 73 amended by No. 59 of 1995 s. 84; No. 26 of 1999 s. 102(6); No. 55 of 2004 s. 1094.] </w:t>
      </w:r>
    </w:p>
    <w:p>
      <w:pPr>
        <w:pStyle w:val="Heading5"/>
        <w:rPr>
          <w:snapToGrid w:val="0"/>
        </w:rPr>
      </w:pPr>
      <w:bookmarkStart w:id="580" w:name="_Toc480623140"/>
      <w:bookmarkStart w:id="581" w:name="_Toc520186146"/>
      <w:bookmarkStart w:id="582" w:name="_Toc108238634"/>
      <w:bookmarkStart w:id="583" w:name="_Toc124125629"/>
      <w:bookmarkStart w:id="584" w:name="_Toc155600356"/>
      <w:r>
        <w:rPr>
          <w:rStyle w:val="CharSectno"/>
        </w:rPr>
        <w:t>74</w:t>
      </w:r>
      <w:r>
        <w:rPr>
          <w:snapToGrid w:val="0"/>
        </w:rPr>
        <w:t>.</w:t>
      </w:r>
      <w:r>
        <w:rPr>
          <w:snapToGrid w:val="0"/>
        </w:rPr>
        <w:tab/>
        <w:t>Appointment of supervisor</w:t>
      </w:r>
      <w:bookmarkEnd w:id="580"/>
      <w:bookmarkEnd w:id="581"/>
      <w:bookmarkEnd w:id="582"/>
      <w:bookmarkEnd w:id="583"/>
      <w:bookmarkEnd w:id="584"/>
      <w:r>
        <w:rPr>
          <w:snapToGrid w:val="0"/>
        </w:rPr>
        <w:t xml:space="preserve"> </w:t>
      </w:r>
    </w:p>
    <w:p>
      <w:pPr>
        <w:pStyle w:val="Subsection"/>
        <w:keepNext/>
        <w:rPr>
          <w:snapToGrid w:val="0"/>
        </w:rPr>
      </w:pPr>
      <w:r>
        <w:rPr>
          <w:snapToGrid w:val="0"/>
        </w:rPr>
        <w:tab/>
        <w:t>(1)</w:t>
      </w:r>
      <w:r>
        <w:rPr>
          <w:snapToGrid w:val="0"/>
        </w:rPr>
        <w:tab/>
        <w:t>Where the State Administrative Tribunal, on the application of the Board,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settlement agent from carrying on his business for such period as may be specified in the order;</w:t>
      </w:r>
    </w:p>
    <w:p>
      <w:pPr>
        <w:pStyle w:val="Indenta"/>
        <w:rPr>
          <w:snapToGrid w:val="0"/>
        </w:rPr>
      </w:pPr>
      <w:r>
        <w:rPr>
          <w:snapToGrid w:val="0"/>
        </w:rPr>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settlement agent;</w:t>
      </w:r>
    </w:p>
    <w:p>
      <w:pPr>
        <w:pStyle w:val="Indenta"/>
        <w:rPr>
          <w:snapToGrid w:val="0"/>
        </w:rPr>
      </w:pPr>
      <w:r>
        <w:rPr>
          <w:snapToGrid w:val="0"/>
        </w:rPr>
        <w:tab/>
        <w:t>(d)</w:t>
      </w:r>
      <w:r>
        <w:rPr>
          <w:snapToGrid w:val="0"/>
        </w:rPr>
        <w:tab/>
        <w:t>authorise the Board to suspend the settlement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rPr>
          <w:snapToGrid w:val="0"/>
        </w:rPr>
      </w:pPr>
      <w:r>
        <w:rPr>
          <w:snapToGrid w:val="0"/>
        </w:rPr>
        <w:tab/>
        <w:t>(2)</w:t>
      </w:r>
      <w:r>
        <w:rPr>
          <w:snapToGrid w:val="0"/>
        </w:rPr>
        <w:tab/>
        <w:t>Where the State Administrative Tribunal is satisfied, on the application of the Board, that a sole settlement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settlement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pPr>
        <w:pStyle w:val="Indenta"/>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settlement agent or deceased settlement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account at the Treasury, forming part of the Trust Fund constituted under section 9 of the </w:t>
      </w:r>
      <w:r>
        <w:rPr>
          <w:i/>
          <w:snapToGrid w:val="0"/>
        </w:rPr>
        <w:t>Financial Administration and Audit Act 1985</w:t>
      </w:r>
      <w:r>
        <w:rPr>
          <w:snapToGrid w:val="0"/>
        </w:rPr>
        <w:t>, in the name of the Board; and</w:t>
      </w:r>
    </w:p>
    <w:p>
      <w:pPr>
        <w:pStyle w:val="Indenti"/>
        <w:rPr>
          <w:snapToGrid w:val="0"/>
        </w:rPr>
      </w:pPr>
      <w:r>
        <w:rPr>
          <w:snapToGrid w:val="0"/>
        </w:rPr>
        <w:tab/>
        <w:t>(iii)</w:t>
      </w:r>
      <w:r>
        <w:rPr>
          <w:snapToGrid w:val="0"/>
        </w:rPr>
        <w:tab/>
        <w:t>deal with those moneys according to law.</w:t>
      </w:r>
    </w:p>
    <w:p>
      <w:pPr>
        <w:pStyle w:val="Subsection"/>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the Board may, on the certificate of the supervisor, pay to him or as he directs in the certificate, out of the moneys credited to the separate account under the order, such amount or amounts as is or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 account under the order.</w:t>
      </w:r>
    </w:p>
    <w:p>
      <w:pPr>
        <w:pStyle w:val="Footnotesection"/>
      </w:pPr>
      <w:r>
        <w:tab/>
        <w:t xml:space="preserve">[Section 74 amended by No. 59 of 1995 s. 86; No. 55 of 2004 s. 1094.] </w:t>
      </w:r>
    </w:p>
    <w:p>
      <w:pPr>
        <w:pStyle w:val="Heading5"/>
        <w:rPr>
          <w:snapToGrid w:val="0"/>
        </w:rPr>
      </w:pPr>
      <w:bookmarkStart w:id="585" w:name="_Toc480623141"/>
      <w:bookmarkStart w:id="586" w:name="_Toc520186147"/>
      <w:bookmarkStart w:id="587" w:name="_Toc108238635"/>
      <w:bookmarkStart w:id="588" w:name="_Toc124125630"/>
      <w:bookmarkStart w:id="589" w:name="_Toc155600357"/>
      <w:r>
        <w:rPr>
          <w:rStyle w:val="CharSectno"/>
        </w:rPr>
        <w:t>75</w:t>
      </w:r>
      <w:r>
        <w:rPr>
          <w:snapToGrid w:val="0"/>
        </w:rPr>
        <w:t>.</w:t>
      </w:r>
      <w:r>
        <w:rPr>
          <w:snapToGrid w:val="0"/>
        </w:rPr>
        <w:tab/>
        <w:t>Effect of orders under section 74</w:t>
      </w:r>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Where an order made under section 74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settlement agent or deceased settlement agent referred to in the order;</w:t>
      </w:r>
    </w:p>
    <w:p>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pPr>
        <w:pStyle w:val="Indenta"/>
        <w:rPr>
          <w:snapToGrid w:val="0"/>
        </w:rPr>
      </w:pPr>
      <w:r>
        <w:rPr>
          <w:snapToGrid w:val="0"/>
        </w:rPr>
        <w:tab/>
        <w:t>(c)</w:t>
      </w:r>
      <w:r>
        <w:rPr>
          <w:snapToGrid w:val="0"/>
        </w:rPr>
        <w:tab/>
        <w:t>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Footnotesection"/>
      </w:pPr>
      <w:r>
        <w:tab/>
        <w:t xml:space="preserve">[Section 75 amended by No. 98 of 1985 s. 3.] </w:t>
      </w:r>
    </w:p>
    <w:p>
      <w:pPr>
        <w:pStyle w:val="Heading5"/>
        <w:rPr>
          <w:snapToGrid w:val="0"/>
        </w:rPr>
      </w:pPr>
      <w:bookmarkStart w:id="590" w:name="_Toc480623142"/>
      <w:bookmarkStart w:id="591" w:name="_Toc520186148"/>
      <w:bookmarkStart w:id="592" w:name="_Toc108238636"/>
      <w:bookmarkStart w:id="593" w:name="_Toc124125631"/>
      <w:bookmarkStart w:id="594" w:name="_Toc155600358"/>
      <w:r>
        <w:rPr>
          <w:rStyle w:val="CharSectno"/>
        </w:rPr>
        <w:t>76</w:t>
      </w:r>
      <w:r>
        <w:rPr>
          <w:snapToGrid w:val="0"/>
        </w:rPr>
        <w:t>.</w:t>
      </w:r>
      <w:r>
        <w:rPr>
          <w:snapToGrid w:val="0"/>
        </w:rPr>
        <w:tab/>
        <w:t>Duties of supervisor</w:t>
      </w:r>
      <w:bookmarkEnd w:id="590"/>
      <w:bookmarkEnd w:id="591"/>
      <w:bookmarkEnd w:id="592"/>
      <w:bookmarkEnd w:id="593"/>
      <w:bookmarkEnd w:id="594"/>
      <w:r>
        <w:rPr>
          <w:snapToGrid w:val="0"/>
        </w:rPr>
        <w:t xml:space="preserve"> </w:t>
      </w:r>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pPr>
        <w:pStyle w:val="Subsection"/>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require — </w:t>
      </w:r>
    </w:p>
    <w:p>
      <w:pPr>
        <w:pStyle w:val="Indenti"/>
        <w:rPr>
          <w:snapToGrid w:val="0"/>
        </w:rPr>
      </w:pPr>
      <w:r>
        <w:rPr>
          <w:snapToGrid w:val="0"/>
        </w:rPr>
        <w:tab/>
        <w:t>(i)</w:t>
      </w:r>
      <w:r>
        <w:rPr>
          <w:snapToGrid w:val="0"/>
        </w:rPr>
        <w:tab/>
        <w:t>the settlement agent to whom the appointment relates, or any of his clerks, servants, or agents, or in the case of a deceased settlement agent, his personal representative or any of the former clerks, servants, or agents of the deceased settlement agent to produce to the supervisor any books, files, papers, or documents relating to the practice that, in the opinion of the supervisor, may be reasonably necessary for the purposes of carrying on the business; and</w:t>
      </w:r>
    </w:p>
    <w:p>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pPr>
        <w:pStyle w:val="Footnotesection"/>
      </w:pPr>
      <w:r>
        <w:tab/>
        <w:t xml:space="preserve">[Section 76 amended by No. 59 of 1995 s. 84; No. 26 of 1999 s. 102(7).] </w:t>
      </w:r>
    </w:p>
    <w:p>
      <w:pPr>
        <w:pStyle w:val="Heading5"/>
        <w:rPr>
          <w:snapToGrid w:val="0"/>
        </w:rPr>
      </w:pPr>
      <w:bookmarkStart w:id="595" w:name="_Toc480623143"/>
      <w:bookmarkStart w:id="596" w:name="_Toc520186149"/>
      <w:bookmarkStart w:id="597" w:name="_Toc108238637"/>
      <w:bookmarkStart w:id="598" w:name="_Toc124125632"/>
      <w:bookmarkStart w:id="599" w:name="_Toc155600359"/>
      <w:r>
        <w:rPr>
          <w:rStyle w:val="CharSectno"/>
        </w:rPr>
        <w:t>77</w:t>
      </w:r>
      <w:r>
        <w:rPr>
          <w:snapToGrid w:val="0"/>
        </w:rPr>
        <w:t>.</w:t>
      </w:r>
      <w:r>
        <w:rPr>
          <w:snapToGrid w:val="0"/>
        </w:rPr>
        <w:tab/>
        <w:t>Offence</w:t>
      </w:r>
      <w:bookmarkEnd w:id="595"/>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77 amended by No. 59 of 1995 s. 85.] </w:t>
      </w:r>
    </w:p>
    <w:p>
      <w:pPr>
        <w:pStyle w:val="Heading5"/>
        <w:rPr>
          <w:snapToGrid w:val="0"/>
        </w:rPr>
      </w:pPr>
      <w:bookmarkStart w:id="600" w:name="_Toc480623144"/>
      <w:bookmarkStart w:id="601" w:name="_Toc520186150"/>
      <w:bookmarkStart w:id="602" w:name="_Toc108238638"/>
      <w:bookmarkStart w:id="603" w:name="_Toc124125633"/>
      <w:bookmarkStart w:id="604" w:name="_Toc155600360"/>
      <w:r>
        <w:rPr>
          <w:rStyle w:val="CharSectno"/>
        </w:rPr>
        <w:t>78</w:t>
      </w:r>
      <w:r>
        <w:rPr>
          <w:snapToGrid w:val="0"/>
        </w:rPr>
        <w:t>.</w:t>
      </w:r>
      <w:r>
        <w:rPr>
          <w:snapToGrid w:val="0"/>
        </w:rPr>
        <w:tab/>
        <w:t>Power of settlement agent to apply for discharge or variation of order</w:t>
      </w:r>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r>
        <w:tab/>
        <w:t>[Section 78 amended by No. 55 of 2004 s. 1094.]</w:t>
      </w:r>
    </w:p>
    <w:p>
      <w:pPr>
        <w:pStyle w:val="Heading5"/>
        <w:rPr>
          <w:snapToGrid w:val="0"/>
        </w:rPr>
      </w:pPr>
      <w:bookmarkStart w:id="605" w:name="_Toc480623145"/>
      <w:bookmarkStart w:id="606" w:name="_Toc520186151"/>
      <w:bookmarkStart w:id="607" w:name="_Toc108238639"/>
      <w:bookmarkStart w:id="608" w:name="_Toc124125634"/>
      <w:bookmarkStart w:id="609" w:name="_Toc155600361"/>
      <w:r>
        <w:rPr>
          <w:rStyle w:val="CharSectno"/>
        </w:rPr>
        <w:t>79</w:t>
      </w:r>
      <w:r>
        <w:rPr>
          <w:snapToGrid w:val="0"/>
        </w:rPr>
        <w:t>.</w:t>
      </w:r>
      <w:r>
        <w:rPr>
          <w:snapToGrid w:val="0"/>
        </w:rPr>
        <w:tab/>
        <w:t>Power of State Administrative Tribunal to make further orders and give directions</w:t>
      </w:r>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The State Administrative Tribunal may, on the application, of the Board, the Treasurer, or the settlement agent, or the personal representative of a deceased settlement agent, referred to in an order made under the provisions of section 73, 74 or 78,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 xml:space="preserve">shall cause the moneys to be credited to a separate account to be kept at the Treasury as part of the Trust Fund constituted under section 9 of the </w:t>
      </w:r>
      <w:r>
        <w:rPr>
          <w:i/>
          <w:snapToGrid w:val="0"/>
        </w:rPr>
        <w:t>Financial Administration and Audit Act 1985</w:t>
      </w:r>
      <w:r>
        <w:rPr>
          <w:snapToGrid w:val="0"/>
        </w:rP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 account at the Treasury,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79 amended by No. 59 of 1995 s. 84 and 86; No. 26 of 1999 s. 102(8); No. 55 of 2004 s. 1094.] </w:t>
      </w:r>
    </w:p>
    <w:p>
      <w:pPr>
        <w:pStyle w:val="Heading5"/>
        <w:rPr>
          <w:snapToGrid w:val="0"/>
        </w:rPr>
      </w:pPr>
      <w:bookmarkStart w:id="610" w:name="_Toc480623146"/>
      <w:bookmarkStart w:id="611" w:name="_Toc520186152"/>
      <w:bookmarkStart w:id="612" w:name="_Toc108238640"/>
      <w:bookmarkStart w:id="613" w:name="_Toc124125635"/>
      <w:bookmarkStart w:id="614" w:name="_Toc155600362"/>
      <w:r>
        <w:rPr>
          <w:rStyle w:val="CharSectno"/>
        </w:rPr>
        <w:t>80</w:t>
      </w:r>
      <w:r>
        <w:rPr>
          <w:snapToGrid w:val="0"/>
        </w:rPr>
        <w:t>.</w:t>
      </w:r>
      <w:r>
        <w:rPr>
          <w:snapToGrid w:val="0"/>
        </w:rPr>
        <w:tab/>
        <w:t>Service of orders. Penalty for non</w:t>
      </w:r>
      <w:r>
        <w:rPr>
          <w:snapToGrid w:val="0"/>
        </w:rPr>
        <w:noBreakHyphen/>
        <w:t>compliance therewith</w:t>
      </w:r>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r>
      <w:r>
        <w:rPr>
          <w:snapToGrid w:val="0"/>
          <w:spacing w:val="-4"/>
        </w:rPr>
        <w:t>The Board shall, as soon as practicable after any order is, on the application of the Board, made under the provisions of section 73, 74 or 79 serve or cause to be served a copy of the order —</w:t>
      </w:r>
      <w:r>
        <w:rPr>
          <w:snapToGrid w:val="0"/>
        </w:rPr>
        <w:t>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79(1)(b), on the Treasurer.</w:t>
      </w:r>
    </w:p>
    <w:p>
      <w:pPr>
        <w:pStyle w:val="Subsection"/>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settlement agent, or the personal representative of a deceased settlement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80 amended by No. 59 of 1995 s. 84 and 85; No. 26 of 1999 s. 102(9)</w:t>
      </w:r>
      <w:r>
        <w:noBreakHyphen/>
        <w:t xml:space="preserve">(11).] </w:t>
      </w:r>
    </w:p>
    <w:p>
      <w:pPr>
        <w:pStyle w:val="Heading5"/>
        <w:rPr>
          <w:snapToGrid w:val="0"/>
        </w:rPr>
      </w:pPr>
      <w:bookmarkStart w:id="615" w:name="_Toc480623147"/>
      <w:bookmarkStart w:id="616" w:name="_Toc520186153"/>
      <w:bookmarkStart w:id="617" w:name="_Toc108238641"/>
      <w:bookmarkStart w:id="618" w:name="_Toc124125636"/>
      <w:bookmarkStart w:id="619" w:name="_Toc155600363"/>
      <w:r>
        <w:rPr>
          <w:rStyle w:val="CharSectno"/>
        </w:rPr>
        <w:t>81</w:t>
      </w:r>
      <w:r>
        <w:rPr>
          <w:snapToGrid w:val="0"/>
        </w:rPr>
        <w:t>.</w:t>
      </w:r>
      <w:r>
        <w:rPr>
          <w:snapToGrid w:val="0"/>
        </w:rPr>
        <w:tab/>
        <w:t>Duty of managers of financial institutions</w:t>
      </w:r>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 xml:space="preserve">Where the Registrar, an inspector, a supervisor or a member of the Police Force duly authorised to make an investigation or inquiry for the purposes of this Act has reasonable cause to believe that a settlement agent has deposited any money with a bank or other financial institution, whether in an account in the name of the settlement agent or in some other account, he may by notice in writing addressed to the manager or other officer for the time being in charge of the </w:t>
      </w:r>
      <w:r>
        <w:t>bank or other</w:t>
      </w:r>
      <w:r>
        <w:rPr>
          <w:snapToGrid w:val="0"/>
        </w:rPr>
        <w:t xml:space="preserve">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and notwithstanding any law, or rule of law, or contractual obligation to the contrary, permit the Registrar, inspector, supervisor, or member of the Police Force to inspect, and make and take away with him a copy or extract of, the nominated accounts and any book, document, or other record that relates thereto and is in the possession or control of that bank or other institution.</w:t>
      </w:r>
    </w:p>
    <w:p>
      <w:pPr>
        <w:pStyle w:val="Footnotesection"/>
      </w:pPr>
      <w:r>
        <w:tab/>
        <w:t>[Section 81 amended by No. 26 of 1999 s. 102(12); No. 74 of 2003 s. 109.]</w:t>
      </w:r>
    </w:p>
    <w:p>
      <w:pPr>
        <w:pStyle w:val="Heading5"/>
        <w:rPr>
          <w:snapToGrid w:val="0"/>
        </w:rPr>
      </w:pPr>
      <w:bookmarkStart w:id="620" w:name="_Toc480623148"/>
      <w:bookmarkStart w:id="621" w:name="_Toc520186154"/>
      <w:bookmarkStart w:id="622" w:name="_Toc108238642"/>
      <w:bookmarkStart w:id="623" w:name="_Toc124125637"/>
      <w:bookmarkStart w:id="624" w:name="_Toc155600364"/>
      <w:r>
        <w:rPr>
          <w:rStyle w:val="CharSectno"/>
        </w:rPr>
        <w:t>81A</w:t>
      </w:r>
      <w:r>
        <w:rPr>
          <w:snapToGrid w:val="0"/>
        </w:rPr>
        <w:t xml:space="preserve">. </w:t>
      </w:r>
      <w:r>
        <w:rPr>
          <w:snapToGrid w:val="0"/>
        </w:rPr>
        <w:tab/>
        <w:t>Power of Registrar to obtain information relating to trust accounts</w:t>
      </w:r>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 settlement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given on oath or affirmation or by statutory declaration;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keepNext/>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81A inserted by No. 59 of 1995 s. 73; amended by No. 10 of 2001 s. 220.] </w:t>
      </w:r>
    </w:p>
    <w:p>
      <w:pPr>
        <w:pStyle w:val="Heading3"/>
        <w:spacing w:before="120"/>
        <w:rPr>
          <w:snapToGrid w:val="0"/>
        </w:rPr>
      </w:pPr>
      <w:bookmarkStart w:id="625" w:name="_Toc89514534"/>
      <w:bookmarkStart w:id="626" w:name="_Toc89753291"/>
      <w:bookmarkStart w:id="627" w:name="_Toc91307558"/>
      <w:bookmarkStart w:id="628" w:name="_Toc92705790"/>
      <w:bookmarkStart w:id="629" w:name="_Toc96932864"/>
      <w:bookmarkStart w:id="630" w:name="_Toc101079269"/>
      <w:bookmarkStart w:id="631" w:name="_Toc101080873"/>
      <w:bookmarkStart w:id="632" w:name="_Toc104782157"/>
      <w:bookmarkStart w:id="633" w:name="_Toc108238643"/>
      <w:bookmarkStart w:id="634" w:name="_Toc108238810"/>
      <w:bookmarkStart w:id="635" w:name="_Toc110325088"/>
      <w:bookmarkStart w:id="636" w:name="_Toc110325390"/>
      <w:bookmarkStart w:id="637" w:name="_Toc121566791"/>
      <w:bookmarkStart w:id="638" w:name="_Toc124125638"/>
      <w:bookmarkStart w:id="639" w:name="_Toc124141104"/>
      <w:bookmarkStart w:id="640" w:name="_Toc131414769"/>
      <w:bookmarkStart w:id="641" w:name="_Toc155600365"/>
      <w:r>
        <w:rPr>
          <w:rStyle w:val="CharDivNo"/>
        </w:rPr>
        <w:t>Division 3</w:t>
      </w:r>
      <w:r>
        <w:rPr>
          <w:snapToGrid w:val="0"/>
        </w:rPr>
        <w:t> — </w:t>
      </w:r>
      <w:r>
        <w:rPr>
          <w:rStyle w:val="CharDivText"/>
        </w:rPr>
        <w:t>Discipline</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Heading5"/>
        <w:spacing w:before="120"/>
        <w:rPr>
          <w:snapToGrid w:val="0"/>
        </w:rPr>
      </w:pPr>
      <w:bookmarkStart w:id="642" w:name="_Toc480623149"/>
      <w:bookmarkStart w:id="643" w:name="_Toc520186155"/>
      <w:bookmarkStart w:id="644" w:name="_Toc108238644"/>
      <w:bookmarkStart w:id="645" w:name="_Toc124125639"/>
      <w:bookmarkStart w:id="646" w:name="_Toc155600366"/>
      <w:r>
        <w:rPr>
          <w:rStyle w:val="CharSectno"/>
        </w:rPr>
        <w:t>82</w:t>
      </w:r>
      <w:r>
        <w:rPr>
          <w:snapToGrid w:val="0"/>
        </w:rPr>
        <w:t>.</w:t>
      </w:r>
      <w:r>
        <w:rPr>
          <w:snapToGrid w:val="0"/>
        </w:rPr>
        <w:tab/>
        <w:t>Settlement agents’ code</w:t>
      </w:r>
      <w:bookmarkEnd w:id="642"/>
      <w:bookmarkEnd w:id="643"/>
      <w:bookmarkEnd w:id="644"/>
      <w:bookmarkEnd w:id="645"/>
      <w:bookmarkEnd w:id="646"/>
      <w:r>
        <w:rPr>
          <w:snapToGrid w:val="0"/>
        </w:rPr>
        <w:t xml:space="preserve"> </w:t>
      </w:r>
    </w:p>
    <w:p>
      <w:pPr>
        <w:pStyle w:val="Subsection"/>
        <w:spacing w:before="100"/>
        <w:rPr>
          <w:snapToGrid w:val="0"/>
        </w:rPr>
      </w:pPr>
      <w:r>
        <w:rPr>
          <w:snapToGrid w:val="0"/>
        </w:rPr>
        <w:tab/>
      </w:r>
      <w:r>
        <w:rPr>
          <w:snapToGrid w:val="0"/>
        </w:rPr>
        <w:tab/>
        <w:t>The Board may, with the approval of the Minister, make rules prescribing a code of conduct for settlement agents.</w:t>
      </w:r>
    </w:p>
    <w:p>
      <w:pPr>
        <w:pStyle w:val="Heading5"/>
        <w:spacing w:before="120"/>
        <w:rPr>
          <w:snapToGrid w:val="0"/>
        </w:rPr>
      </w:pPr>
      <w:bookmarkStart w:id="647" w:name="_Toc108238645"/>
      <w:bookmarkStart w:id="648" w:name="_Toc124125640"/>
      <w:bookmarkStart w:id="649" w:name="_Toc155600367"/>
      <w:bookmarkStart w:id="650" w:name="_Toc480623151"/>
      <w:bookmarkStart w:id="651" w:name="_Toc520186157"/>
      <w:r>
        <w:rPr>
          <w:rStyle w:val="CharSectno"/>
        </w:rPr>
        <w:t>83</w:t>
      </w:r>
      <w:r>
        <w:rPr>
          <w:snapToGrid w:val="0"/>
        </w:rPr>
        <w:t>.</w:t>
      </w:r>
      <w:r>
        <w:rPr>
          <w:snapToGrid w:val="0"/>
        </w:rPr>
        <w:tab/>
        <w:t>Disciplinary proceedings against settlement agents</w:t>
      </w:r>
      <w:bookmarkEnd w:id="647"/>
      <w:bookmarkEnd w:id="648"/>
      <w:bookmarkEnd w:id="649"/>
      <w:r>
        <w:rPr>
          <w:snapToGrid w:val="0"/>
        </w:rPr>
        <w:t xml:space="preserve"> </w:t>
      </w:r>
    </w:p>
    <w:p>
      <w:pPr>
        <w:pStyle w:val="Subsection"/>
        <w:spacing w:before="100"/>
        <w:rPr>
          <w:snapToGrid w:val="0"/>
        </w:rPr>
      </w:pPr>
      <w:r>
        <w:rPr>
          <w:snapToGrid w:val="0"/>
        </w:rPr>
        <w:tab/>
      </w:r>
      <w:r>
        <w:rPr>
          <w:snapToGrid w:val="0"/>
        </w:rPr>
        <w:tab/>
        <w:t xml:space="preserve">The Board may allege to the State </w:t>
      </w:r>
      <w:r>
        <w:rPr>
          <w:snapToGrid w:val="0"/>
          <w:spacing w:val="-4"/>
        </w:rPr>
        <w:t>Administrative Tribunal</w:t>
      </w:r>
      <w:r>
        <w:rPr>
          <w:snapToGrid w:val="0"/>
        </w:rPr>
        <w:t xml:space="preserve"> that there is proper cause for disciplinary action, as mentioned in section 84(2).</w:t>
      </w:r>
    </w:p>
    <w:p>
      <w:pPr>
        <w:pStyle w:val="Footnotesection"/>
      </w:pPr>
      <w:r>
        <w:tab/>
        <w:t>[Section 83 inserted by No. 55 of 2004 s. 1089.]</w:t>
      </w:r>
    </w:p>
    <w:p>
      <w:pPr>
        <w:pStyle w:val="Heading5"/>
        <w:spacing w:before="120"/>
        <w:rPr>
          <w:snapToGrid w:val="0"/>
        </w:rPr>
      </w:pPr>
      <w:bookmarkStart w:id="652" w:name="_Toc108238646"/>
      <w:bookmarkStart w:id="653" w:name="_Toc124125641"/>
      <w:bookmarkStart w:id="654" w:name="_Toc155600368"/>
      <w:r>
        <w:rPr>
          <w:rStyle w:val="CharSectno"/>
        </w:rPr>
        <w:t>84</w:t>
      </w:r>
      <w:r>
        <w:rPr>
          <w:snapToGrid w:val="0"/>
        </w:rPr>
        <w:t>.</w:t>
      </w:r>
      <w:r>
        <w:rPr>
          <w:snapToGrid w:val="0"/>
        </w:rPr>
        <w:tab/>
        <w:t>Powers on inquiry</w:t>
      </w:r>
      <w:bookmarkEnd w:id="650"/>
      <w:bookmarkEnd w:id="651"/>
      <w:bookmarkEnd w:id="652"/>
      <w:bookmarkEnd w:id="653"/>
      <w:bookmarkEnd w:id="654"/>
      <w:r>
        <w:rPr>
          <w:snapToGrid w:val="0"/>
        </w:rPr>
        <w:t xml:space="preserve"> </w:t>
      </w:r>
    </w:p>
    <w:p>
      <w:pPr>
        <w:pStyle w:val="Subsection"/>
        <w:spacing w:before="100"/>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settlement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pPr>
        <w:pStyle w:val="Subsection"/>
        <w:spacing w:before="100"/>
        <w:rPr>
          <w:snapToGrid w:val="0"/>
        </w:rPr>
      </w:pPr>
      <w:r>
        <w:rPr>
          <w:snapToGrid w:val="0"/>
        </w:rPr>
        <w:tab/>
        <w:t>(2)</w:t>
      </w:r>
      <w:r>
        <w:rPr>
          <w:snapToGrid w:val="0"/>
        </w:rPr>
        <w:tab/>
        <w:t>There shall be proper cause for disciplinary action if — </w:t>
      </w:r>
    </w:p>
    <w:p>
      <w:pPr>
        <w:pStyle w:val="Indenta"/>
        <w:rPr>
          <w:snapToGrid w:val="0"/>
        </w:rPr>
      </w:pPr>
      <w:r>
        <w:rPr>
          <w:snapToGrid w:val="0"/>
        </w:rPr>
        <w:tab/>
        <w:t>(a)</w:t>
      </w:r>
      <w:r>
        <w:rPr>
          <w:snapToGrid w:val="0"/>
        </w:rPr>
        <w:tab/>
        <w:t>the State Administrative Tribunal is satisfied that the settlement agent improperly obtained a licence or triennial certificate;</w:t>
      </w:r>
    </w:p>
    <w:p>
      <w:pPr>
        <w:pStyle w:val="Indenta"/>
        <w:rPr>
          <w:snapToGrid w:val="0"/>
        </w:rPr>
      </w:pPr>
      <w:r>
        <w:rPr>
          <w:snapToGrid w:val="0"/>
        </w:rPr>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rPr>
          <w:snapToGrid w:val="0"/>
        </w:rPr>
      </w:pPr>
      <w:r>
        <w:rPr>
          <w:snapToGrid w:val="0"/>
        </w:rPr>
        <w:tab/>
        <w:t>(c)</w:t>
      </w:r>
      <w:r>
        <w:rPr>
          <w:snapToGrid w:val="0"/>
        </w:rPr>
        <w:tab/>
        <w:t>the settlement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settlement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pPr>
        <w:pStyle w:val="Subsection"/>
        <w:rPr>
          <w:snapToGrid w:val="0"/>
        </w:rPr>
      </w:pPr>
      <w:r>
        <w:rPr>
          <w:snapToGrid w:val="0"/>
        </w:rPr>
        <w:tab/>
        <w:t>(3)</w:t>
      </w:r>
      <w:r>
        <w:rPr>
          <w:snapToGrid w:val="0"/>
        </w:rPr>
        <w:tab/>
        <w:t>Where the State Administrative Tribunal suspends or cancels a licence or triennial certificate, or both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or triennial certificate as the case requires shall be immediately delivered to the Registrar by the settlement agent.</w:t>
      </w:r>
    </w:p>
    <w:p>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pPr>
        <w:pStyle w:val="Footnotesection"/>
      </w:pPr>
      <w:r>
        <w:tab/>
        <w:t xml:space="preserve">[Section 84 amended by No. 59 of 1995 s. 74 and 85; No. 55 of 2004 s. 1090.] </w:t>
      </w:r>
    </w:p>
    <w:p>
      <w:pPr>
        <w:pStyle w:val="Heading5"/>
        <w:rPr>
          <w:snapToGrid w:val="0"/>
        </w:rPr>
      </w:pPr>
      <w:bookmarkStart w:id="655" w:name="_Toc480623152"/>
      <w:bookmarkStart w:id="656" w:name="_Toc520186158"/>
      <w:bookmarkStart w:id="657" w:name="_Toc108238647"/>
      <w:bookmarkStart w:id="658" w:name="_Toc124125642"/>
      <w:bookmarkStart w:id="659" w:name="_Toc155600369"/>
      <w:r>
        <w:rPr>
          <w:rStyle w:val="CharSectno"/>
        </w:rPr>
        <w:t>85</w:t>
      </w:r>
      <w:r>
        <w:rPr>
          <w:snapToGrid w:val="0"/>
        </w:rPr>
        <w:t>.</w:t>
      </w:r>
      <w:r>
        <w:rPr>
          <w:snapToGrid w:val="0"/>
        </w:rPr>
        <w:tab/>
        <w:t>Automatic cancellation of licence and triennial certificate</w:t>
      </w:r>
      <w:bookmarkEnd w:id="655"/>
      <w:bookmarkEnd w:id="656"/>
      <w:bookmarkEnd w:id="657"/>
      <w:bookmarkEnd w:id="658"/>
      <w:bookmarkEnd w:id="659"/>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his licence and any triennial certificate in respect thereof is thereby cancelled, and the registrar of the court convicting him shall forthwith notify the Registrar of the Board accordingly.</w:t>
      </w:r>
    </w:p>
    <w:p>
      <w:pPr>
        <w:pStyle w:val="Footnotesection"/>
      </w:pPr>
      <w:r>
        <w:tab/>
        <w:t>[Section 85 amended by No. 59 of 2004 s. 141.]</w:t>
      </w:r>
    </w:p>
    <w:p>
      <w:pPr>
        <w:pStyle w:val="Heading5"/>
        <w:rPr>
          <w:snapToGrid w:val="0"/>
        </w:rPr>
      </w:pPr>
      <w:bookmarkStart w:id="660" w:name="_Toc480623153"/>
      <w:bookmarkStart w:id="661" w:name="_Toc520186159"/>
      <w:bookmarkStart w:id="662" w:name="_Toc108238648"/>
      <w:bookmarkStart w:id="663" w:name="_Toc124125643"/>
      <w:bookmarkStart w:id="664" w:name="_Toc155600370"/>
      <w:r>
        <w:rPr>
          <w:rStyle w:val="CharSectno"/>
        </w:rPr>
        <w:t>86</w:t>
      </w:r>
      <w:r>
        <w:rPr>
          <w:snapToGrid w:val="0"/>
        </w:rPr>
        <w:t>.</w:t>
      </w:r>
      <w:r>
        <w:rPr>
          <w:snapToGrid w:val="0"/>
        </w:rPr>
        <w:tab/>
        <w:t>Special offence</w:t>
      </w:r>
      <w:bookmarkEnd w:id="660"/>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he is the employer, employee, or partner of a licensee, as such.</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 licensee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 or</w:t>
      </w:r>
    </w:p>
    <w:p>
      <w:pPr>
        <w:pStyle w:val="Indenta"/>
        <w:rPr>
          <w:snapToGrid w:val="0"/>
        </w:rPr>
      </w:pPr>
      <w:r>
        <w:rPr>
          <w:snapToGrid w:val="0"/>
        </w:rPr>
        <w:tab/>
        <w:t>(b)</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pPr>
        <w:pStyle w:val="Footnotesection"/>
      </w:pPr>
      <w:r>
        <w:tab/>
        <w:t xml:space="preserve">[Section 86 amended by No. 59 of 1995 s. 85.] </w:t>
      </w:r>
    </w:p>
    <w:p>
      <w:pPr>
        <w:pStyle w:val="Heading2"/>
      </w:pPr>
      <w:bookmarkStart w:id="665" w:name="_Toc89514540"/>
      <w:bookmarkStart w:id="666" w:name="_Toc89753297"/>
      <w:bookmarkStart w:id="667" w:name="_Toc91307565"/>
      <w:bookmarkStart w:id="668" w:name="_Toc92705796"/>
      <w:bookmarkStart w:id="669" w:name="_Toc96932870"/>
      <w:bookmarkStart w:id="670" w:name="_Toc101079275"/>
      <w:bookmarkStart w:id="671" w:name="_Toc101080879"/>
      <w:bookmarkStart w:id="672" w:name="_Toc104782163"/>
      <w:bookmarkStart w:id="673" w:name="_Toc108238649"/>
      <w:bookmarkStart w:id="674" w:name="_Toc108238816"/>
      <w:bookmarkStart w:id="675" w:name="_Toc110325094"/>
      <w:bookmarkStart w:id="676" w:name="_Toc110325396"/>
      <w:bookmarkStart w:id="677" w:name="_Toc121566797"/>
      <w:bookmarkStart w:id="678" w:name="_Toc124125644"/>
      <w:bookmarkStart w:id="679" w:name="_Toc124141110"/>
      <w:bookmarkStart w:id="680" w:name="_Toc131414775"/>
      <w:bookmarkStart w:id="681" w:name="_Toc155600371"/>
      <w:r>
        <w:rPr>
          <w:rStyle w:val="CharPartNo"/>
        </w:rPr>
        <w:t>Part V</w:t>
      </w:r>
      <w:r>
        <w:rPr>
          <w:rStyle w:val="CharDivNo"/>
        </w:rPr>
        <w:t> </w:t>
      </w:r>
      <w:r>
        <w:t>—</w:t>
      </w:r>
      <w:r>
        <w:rPr>
          <w:rStyle w:val="CharDivText"/>
        </w:rPr>
        <w:t> </w:t>
      </w:r>
      <w:r>
        <w:rPr>
          <w:rStyle w:val="CharPartText"/>
        </w:rPr>
        <w:t>Fidelity Guarantee Fund</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r>
        <w:rPr>
          <w:rStyle w:val="CharPartText"/>
        </w:rPr>
        <w:t xml:space="preserve"> </w:t>
      </w:r>
    </w:p>
    <w:p>
      <w:pPr>
        <w:pStyle w:val="Heading5"/>
        <w:rPr>
          <w:snapToGrid w:val="0"/>
        </w:rPr>
      </w:pPr>
      <w:bookmarkStart w:id="682" w:name="_Toc480623154"/>
      <w:bookmarkStart w:id="683" w:name="_Toc520186160"/>
      <w:bookmarkStart w:id="684" w:name="_Toc108238650"/>
      <w:bookmarkStart w:id="685" w:name="_Toc124125645"/>
      <w:bookmarkStart w:id="686" w:name="_Toc155600372"/>
      <w:r>
        <w:rPr>
          <w:rStyle w:val="CharSectno"/>
        </w:rPr>
        <w:t>87</w:t>
      </w:r>
      <w:r>
        <w:rPr>
          <w:snapToGrid w:val="0"/>
        </w:rPr>
        <w:t>.</w:t>
      </w:r>
      <w:r>
        <w:rPr>
          <w:snapToGrid w:val="0"/>
        </w:rPr>
        <w:tab/>
        <w:t>Settlement Agents Fidelity Guarantee Fund</w:t>
      </w:r>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There is hereby established a fund to be called “Settlement Agents Fidelity Guarantee Fund” which shall be administered by the Board.</w:t>
      </w:r>
    </w:p>
    <w:p>
      <w:pPr>
        <w:pStyle w:val="Subsection"/>
        <w:rPr>
          <w:snapToGrid w:val="0"/>
        </w:rPr>
      </w:pPr>
      <w:r>
        <w:rPr>
          <w:snapToGrid w:val="0"/>
        </w:rPr>
        <w:tab/>
        <w:t>(2)</w:t>
      </w:r>
      <w:r>
        <w:rPr>
          <w:snapToGrid w:val="0"/>
        </w:rPr>
        <w:tab/>
        <w:t>The Fidelity Guarantee Fund is to be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Footnotesection"/>
      </w:pPr>
      <w:r>
        <w:tab/>
        <w:t xml:space="preserve">[Section 87 amended by No. 59 of 1995 s. 75.] </w:t>
      </w:r>
    </w:p>
    <w:p>
      <w:pPr>
        <w:pStyle w:val="Heading5"/>
        <w:rPr>
          <w:snapToGrid w:val="0"/>
        </w:rPr>
      </w:pPr>
      <w:bookmarkStart w:id="687" w:name="_Toc480623155"/>
      <w:bookmarkStart w:id="688" w:name="_Toc520186161"/>
      <w:bookmarkStart w:id="689" w:name="_Toc108238651"/>
      <w:bookmarkStart w:id="690" w:name="_Toc124125646"/>
      <w:bookmarkStart w:id="691" w:name="_Toc155600373"/>
      <w:r>
        <w:rPr>
          <w:rStyle w:val="CharSectno"/>
        </w:rPr>
        <w:t>88</w:t>
      </w:r>
      <w:r>
        <w:rPr>
          <w:snapToGrid w:val="0"/>
        </w:rPr>
        <w:t>.</w:t>
      </w:r>
      <w:r>
        <w:rPr>
          <w:snapToGrid w:val="0"/>
        </w:rPr>
        <w:tab/>
        <w:t>Moneys constituting Fidelity Guarantee Fund</w:t>
      </w:r>
      <w:bookmarkEnd w:id="687"/>
      <w:bookmarkEnd w:id="688"/>
      <w:bookmarkEnd w:id="689"/>
      <w:bookmarkEnd w:id="690"/>
      <w:bookmarkEnd w:id="691"/>
      <w:r>
        <w:rPr>
          <w:snapToGrid w:val="0"/>
        </w:rPr>
        <w:t xml:space="preserve"> </w:t>
      </w:r>
    </w:p>
    <w:p>
      <w:pPr>
        <w:pStyle w:val="Subsection"/>
        <w:rPr>
          <w:snapToGrid w:val="0"/>
        </w:rPr>
      </w:pPr>
      <w:r>
        <w:rPr>
          <w:snapToGrid w:val="0"/>
        </w:rPr>
        <w:tab/>
      </w:r>
      <w:r>
        <w:rPr>
          <w:snapToGrid w:val="0"/>
        </w:rPr>
        <w:tab/>
        <w:t>The Fidelity Guarantee Fund shall consist of and there shall be credited to the Fund — </w:t>
      </w:r>
    </w:p>
    <w:p>
      <w:pPr>
        <w:pStyle w:val="Indenta"/>
        <w:rPr>
          <w:snapToGrid w:val="0"/>
        </w:rPr>
      </w:pPr>
      <w:r>
        <w:rPr>
          <w:snapToGrid w:val="0"/>
        </w:rPr>
        <w:tab/>
        <w:t>(a)</w:t>
      </w:r>
      <w:r>
        <w:rPr>
          <w:snapToGrid w:val="0"/>
        </w:rPr>
        <w:tab/>
        <w:t>all sums paid to the credit of the Fund by settlement agents by way of contribution or levy pursuant to this Act;</w:t>
      </w:r>
    </w:p>
    <w:p>
      <w:pPr>
        <w:pStyle w:val="Indenta"/>
        <w:rPr>
          <w:snapToGrid w:val="0"/>
        </w:rPr>
      </w:pPr>
      <w:r>
        <w:rPr>
          <w:snapToGrid w:val="0"/>
        </w:rPr>
        <w:tab/>
        <w:t>(b)</w:t>
      </w:r>
      <w:r>
        <w:rPr>
          <w:snapToGrid w:val="0"/>
        </w:rPr>
        <w:tab/>
        <w:t>income derived from the investment, under section 89, of moneys standing to the credit of the Fidelity Guarantee Fund;</w:t>
      </w:r>
    </w:p>
    <w:p>
      <w:pPr>
        <w:pStyle w:val="Indenta"/>
        <w:rPr>
          <w:snapToGrid w:val="0"/>
        </w:rPr>
      </w:pPr>
      <w:r>
        <w:rPr>
          <w:snapToGrid w:val="0"/>
        </w:rPr>
        <w:tab/>
        <w:t>(c)</w:t>
      </w:r>
      <w:r>
        <w:rPr>
          <w:snapToGrid w:val="0"/>
        </w:rPr>
        <w:tab/>
        <w:t>all moneys transferred to the Fidelity Guarantee Fund under section 105(b);</w:t>
      </w:r>
    </w:p>
    <w:p>
      <w:pPr>
        <w:pStyle w:val="Indenta"/>
        <w:rPr>
          <w:snapToGrid w:val="0"/>
        </w:rPr>
      </w:pPr>
      <w:r>
        <w:rPr>
          <w:snapToGrid w:val="0"/>
        </w:rPr>
        <w:tab/>
        <w:t>(d)</w:t>
      </w:r>
      <w:r>
        <w:rPr>
          <w:snapToGrid w:val="0"/>
        </w:rPr>
        <w:tab/>
        <w:t>all money recovered by or on behalf of the Board in the exercise of any right of action conferred by this Act; and</w:t>
      </w:r>
    </w:p>
    <w:p>
      <w:pPr>
        <w:pStyle w:val="Indenta"/>
        <w:rPr>
          <w:snapToGrid w:val="0"/>
        </w:rPr>
      </w:pPr>
      <w:r>
        <w:rPr>
          <w:snapToGrid w:val="0"/>
        </w:rPr>
        <w:tab/>
        <w:t>(e)</w:t>
      </w:r>
      <w:r>
        <w:rPr>
          <w:snapToGrid w:val="0"/>
        </w:rPr>
        <w:tab/>
        <w:t>any other money that may be lawfully credited to the Fidelity Guarantee Fund.</w:t>
      </w:r>
    </w:p>
    <w:p>
      <w:pPr>
        <w:pStyle w:val="Footnotesection"/>
      </w:pPr>
      <w:r>
        <w:tab/>
        <w:t xml:space="preserve">[Section 88 amended by No. 59 of 1995 s. 76 and 86.] </w:t>
      </w:r>
    </w:p>
    <w:p>
      <w:pPr>
        <w:pStyle w:val="Heading5"/>
        <w:rPr>
          <w:snapToGrid w:val="0"/>
        </w:rPr>
      </w:pPr>
      <w:bookmarkStart w:id="692" w:name="_Toc480623156"/>
      <w:bookmarkStart w:id="693" w:name="_Toc520186162"/>
      <w:bookmarkStart w:id="694" w:name="_Toc108238652"/>
      <w:bookmarkStart w:id="695" w:name="_Toc124125647"/>
      <w:bookmarkStart w:id="696" w:name="_Toc155600374"/>
      <w:r>
        <w:rPr>
          <w:rStyle w:val="CharSectno"/>
        </w:rPr>
        <w:t>89</w:t>
      </w:r>
      <w:r>
        <w:rPr>
          <w:snapToGrid w:val="0"/>
        </w:rPr>
        <w:t>.</w:t>
      </w:r>
      <w:r>
        <w:rPr>
          <w:snapToGrid w:val="0"/>
        </w:rPr>
        <w:tab/>
        <w:t>Investment of Fidelity Guarantee Fund</w:t>
      </w:r>
      <w:bookmarkEnd w:id="692"/>
      <w:bookmarkEnd w:id="693"/>
      <w:bookmarkEnd w:id="694"/>
      <w:bookmarkEnd w:id="695"/>
      <w:bookmarkEnd w:id="696"/>
      <w:r>
        <w:rPr>
          <w:snapToGrid w:val="0"/>
        </w:rPr>
        <w:t xml:space="preserve"> </w:t>
      </w:r>
    </w:p>
    <w:p>
      <w:pPr>
        <w:pStyle w:val="Subsection"/>
        <w:rPr>
          <w:snapToGrid w:val="0"/>
        </w:rPr>
      </w:pPr>
      <w:r>
        <w:rPr>
          <w:snapToGrid w:val="0"/>
        </w:rPr>
        <w:tab/>
        <w:t>(1)</w:t>
      </w:r>
      <w:r>
        <w:rPr>
          <w:snapToGrid w:val="0"/>
        </w:rPr>
        <w:tab/>
        <w:t>Moneys standing to the credit of the Fidelity Guarantee Fund may, until required for the purposes of section 90,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Fidelity Guarantee Fund.</w:t>
      </w:r>
    </w:p>
    <w:p>
      <w:pPr>
        <w:pStyle w:val="Footnotesection"/>
      </w:pPr>
      <w:r>
        <w:tab/>
        <w:t xml:space="preserve">[Section 89 inserted by No. 59 of 1995 s. 77.] </w:t>
      </w:r>
    </w:p>
    <w:p>
      <w:pPr>
        <w:pStyle w:val="Heading5"/>
        <w:rPr>
          <w:snapToGrid w:val="0"/>
        </w:rPr>
      </w:pPr>
      <w:bookmarkStart w:id="697" w:name="_Toc480623157"/>
      <w:bookmarkStart w:id="698" w:name="_Toc520186163"/>
      <w:bookmarkStart w:id="699" w:name="_Toc108238653"/>
      <w:bookmarkStart w:id="700" w:name="_Toc124125648"/>
      <w:bookmarkStart w:id="701" w:name="_Toc155600375"/>
      <w:r>
        <w:rPr>
          <w:rStyle w:val="CharSectno"/>
        </w:rPr>
        <w:t>90</w:t>
      </w:r>
      <w:r>
        <w:rPr>
          <w:snapToGrid w:val="0"/>
        </w:rPr>
        <w:t>.</w:t>
      </w:r>
      <w:r>
        <w:rPr>
          <w:snapToGrid w:val="0"/>
        </w:rPr>
        <w:tab/>
        <w:t>Expenditure from the Fund</w:t>
      </w:r>
      <w:bookmarkEnd w:id="697"/>
      <w:bookmarkEnd w:id="698"/>
      <w:bookmarkEnd w:id="699"/>
      <w:bookmarkEnd w:id="700"/>
      <w:bookmarkEnd w:id="701"/>
      <w:r>
        <w:rPr>
          <w:snapToGrid w:val="0"/>
        </w:rPr>
        <w:t xml:space="preserve"> </w:t>
      </w:r>
    </w:p>
    <w:p>
      <w:pPr>
        <w:pStyle w:val="Subsection"/>
        <w:rPr>
          <w:snapToGrid w:val="0"/>
        </w:rPr>
      </w:pPr>
      <w:r>
        <w:rPr>
          <w:snapToGrid w:val="0"/>
        </w:rPr>
        <w:tab/>
      </w:r>
      <w:r>
        <w:rPr>
          <w:snapToGrid w:val="0"/>
        </w:rPr>
        <w:tab/>
        <w:t>There shall from time to time be charged to the Fund, as required — </w:t>
      </w:r>
    </w:p>
    <w:p>
      <w:pPr>
        <w:pStyle w:val="Indenta"/>
        <w:rPr>
          <w:snapToGrid w:val="0"/>
        </w:rPr>
      </w:pPr>
      <w:r>
        <w:rPr>
          <w:snapToGrid w:val="0"/>
        </w:rPr>
        <w:tab/>
        <w:t>(a)</w:t>
      </w:r>
      <w:r>
        <w:rPr>
          <w:snapToGrid w:val="0"/>
        </w:rPr>
        <w:tab/>
        <w:t>the amount of all claims, including costs, allowed or established against the Fund;</w:t>
      </w:r>
    </w:p>
    <w:p>
      <w:pPr>
        <w:pStyle w:val="Indenta"/>
        <w:rPr>
          <w:snapToGrid w:val="0"/>
        </w:rPr>
      </w:pPr>
      <w:r>
        <w:rPr>
          <w:snapToGrid w:val="0"/>
        </w:rPr>
        <w:tab/>
        <w:t>(b)</w:t>
      </w:r>
      <w:r>
        <w:rPr>
          <w:snapToGrid w:val="0"/>
        </w:rPr>
        <w:tab/>
        <w:t>all legal expenses incurred in defending claims made against the Fund, or otherwise incurred in relation to the Fund;</w:t>
      </w:r>
    </w:p>
    <w:p>
      <w:pPr>
        <w:pStyle w:val="Indenta"/>
        <w:rPr>
          <w:snapToGrid w:val="0"/>
        </w:rPr>
      </w:pPr>
      <w:r>
        <w:rPr>
          <w:snapToGrid w:val="0"/>
        </w:rPr>
        <w:tab/>
        <w:t>(c)</w:t>
      </w:r>
      <w:r>
        <w:rPr>
          <w:snapToGrid w:val="0"/>
        </w:rPr>
        <w:tab/>
        <w:t>all premiums payable in respect of contracts of insurance entered into by the Board under section 99;</w:t>
      </w:r>
    </w:p>
    <w:p>
      <w:pPr>
        <w:pStyle w:val="Indenta"/>
        <w:rPr>
          <w:snapToGrid w:val="0"/>
        </w:rPr>
      </w:pPr>
      <w:r>
        <w:rPr>
          <w:snapToGrid w:val="0"/>
        </w:rPr>
        <w:tab/>
        <w:t>(d)</w:t>
      </w:r>
      <w:r>
        <w:rPr>
          <w:snapToGrid w:val="0"/>
        </w:rPr>
        <w:tab/>
        <w:t>the expenses involved in the administration of the Fund;</w:t>
      </w:r>
    </w:p>
    <w:p>
      <w:pPr>
        <w:pStyle w:val="Indenta"/>
        <w:rPr>
          <w:snapToGrid w:val="0"/>
        </w:rPr>
      </w:pPr>
      <w:r>
        <w:rPr>
          <w:snapToGrid w:val="0"/>
        </w:rPr>
        <w:tab/>
        <w:t>(e)</w:t>
      </w:r>
      <w:r>
        <w:rPr>
          <w:snapToGrid w:val="0"/>
        </w:rPr>
        <w:tab/>
        <w:t>the cost of any audit that may be charged to the Fund pursuant to Division 2 of Part IV; and</w:t>
      </w:r>
    </w:p>
    <w:p>
      <w:pPr>
        <w:pStyle w:val="Ednotepara"/>
        <w:rPr>
          <w:snapToGrid w:val="0"/>
        </w:rPr>
      </w:pPr>
      <w:r>
        <w:rPr>
          <w:snapToGrid w:val="0"/>
        </w:rPr>
        <w:tab/>
        <w:t xml:space="preserve">[(f) </w:t>
      </w:r>
      <w:r>
        <w:rPr>
          <w:snapToGrid w:val="0"/>
        </w:rPr>
        <w:tab/>
        <w:t xml:space="preserve">deleted] </w:t>
      </w:r>
    </w:p>
    <w:p>
      <w:pPr>
        <w:pStyle w:val="Indenta"/>
        <w:rPr>
          <w:snapToGrid w:val="0"/>
        </w:rPr>
      </w:pPr>
      <w:r>
        <w:rPr>
          <w:snapToGrid w:val="0"/>
        </w:rPr>
        <w:tab/>
        <w:t>(g)</w:t>
      </w:r>
      <w:r>
        <w:rPr>
          <w:snapToGrid w:val="0"/>
        </w:rPr>
        <w:tab/>
        <w:t>any other money chargeable to the Fund in accordance with this Act.</w:t>
      </w:r>
    </w:p>
    <w:p>
      <w:pPr>
        <w:pStyle w:val="Footnotesection"/>
      </w:pPr>
      <w:r>
        <w:tab/>
        <w:t xml:space="preserve">[Section 90 amended by No. 59 of 1995 s. 78 and 86.] </w:t>
      </w:r>
    </w:p>
    <w:p>
      <w:pPr>
        <w:pStyle w:val="Ednotesection"/>
      </w:pPr>
      <w:r>
        <w:t>[</w:t>
      </w:r>
      <w:r>
        <w:rPr>
          <w:b/>
        </w:rPr>
        <w:t>91.</w:t>
      </w:r>
      <w:r>
        <w:tab/>
        <w:t>Repealed by No. 98 of 1985 s. 3.]</w:t>
      </w:r>
    </w:p>
    <w:p>
      <w:pPr>
        <w:pStyle w:val="Heading5"/>
        <w:rPr>
          <w:snapToGrid w:val="0"/>
        </w:rPr>
      </w:pPr>
      <w:bookmarkStart w:id="702" w:name="_Toc480623158"/>
      <w:bookmarkStart w:id="703" w:name="_Toc520186164"/>
      <w:bookmarkStart w:id="704" w:name="_Toc108238654"/>
      <w:bookmarkStart w:id="705" w:name="_Toc124125649"/>
      <w:bookmarkStart w:id="706" w:name="_Toc155600376"/>
      <w:r>
        <w:rPr>
          <w:rStyle w:val="CharSectno"/>
        </w:rPr>
        <w:t>92</w:t>
      </w:r>
      <w:r>
        <w:rPr>
          <w:snapToGrid w:val="0"/>
        </w:rPr>
        <w:t>.</w:t>
      </w:r>
      <w:r>
        <w:rPr>
          <w:snapToGrid w:val="0"/>
        </w:rPr>
        <w:tab/>
        <w:t>Contribution to Fund</w:t>
      </w:r>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Each person who makes application in any year for a licence or the renewal of a triennial certificate shall, in addition to all other fees payable in respect thereof, pay to the Board a sum of $150 or such other sum as the Board approves,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The amounts paid to the Board under this section shall forthwith be credited by the Board to the Fund.</w:t>
      </w:r>
    </w:p>
    <w:p>
      <w:pPr>
        <w:pStyle w:val="Subsection"/>
        <w:rPr>
          <w:snapToGrid w:val="0"/>
        </w:rPr>
      </w:pPr>
      <w:r>
        <w:rPr>
          <w:snapToGrid w:val="0"/>
        </w:rPr>
        <w:tab/>
        <w:t>(3)</w:t>
      </w:r>
      <w:r>
        <w:rPr>
          <w:snapToGrid w:val="0"/>
        </w:rPr>
        <w:tab/>
        <w:t>Where a person makes a payment under this section and the licence or renewal of a triennial certificate is not granted, the Board shall refund the payment to him.</w:t>
      </w:r>
    </w:p>
    <w:p>
      <w:pPr>
        <w:pStyle w:val="Footnotesection"/>
      </w:pPr>
      <w:r>
        <w:tab/>
        <w:t xml:space="preserve">[Section 92 amended by No. 59 of 1995 s. 86.] </w:t>
      </w:r>
    </w:p>
    <w:p>
      <w:pPr>
        <w:pStyle w:val="Heading5"/>
        <w:rPr>
          <w:snapToGrid w:val="0"/>
        </w:rPr>
      </w:pPr>
      <w:bookmarkStart w:id="707" w:name="_Toc480623159"/>
      <w:bookmarkStart w:id="708" w:name="_Toc520186165"/>
      <w:bookmarkStart w:id="709" w:name="_Toc108238655"/>
      <w:bookmarkStart w:id="710" w:name="_Toc124125650"/>
      <w:bookmarkStart w:id="711" w:name="_Toc155600377"/>
      <w:r>
        <w:rPr>
          <w:rStyle w:val="CharSectno"/>
        </w:rPr>
        <w:t>93</w:t>
      </w:r>
      <w:r>
        <w:rPr>
          <w:snapToGrid w:val="0"/>
        </w:rPr>
        <w:t>.</w:t>
      </w:r>
      <w:r>
        <w:rPr>
          <w:snapToGrid w:val="0"/>
        </w:rPr>
        <w:tab/>
        <w:t>Application of Fund</w:t>
      </w:r>
      <w:bookmarkEnd w:id="707"/>
      <w:r>
        <w:rPr>
          <w:snapToGrid w:val="0"/>
        </w:rPr>
        <w:t xml:space="preserve"> and notice of claim</w:t>
      </w:r>
      <w:bookmarkEnd w:id="708"/>
      <w:bookmarkEnd w:id="709"/>
      <w:bookmarkEnd w:id="710"/>
      <w:bookmarkEnd w:id="711"/>
    </w:p>
    <w:p>
      <w:pPr>
        <w:pStyle w:val="Subsection"/>
        <w:rPr>
          <w:snapToGrid w:val="0"/>
        </w:rPr>
      </w:pPr>
      <w:r>
        <w:rPr>
          <w:snapToGrid w:val="0"/>
        </w:rPr>
        <w:tab/>
        <w:t>(1)</w:t>
      </w:r>
      <w:r>
        <w:rPr>
          <w:snapToGrid w:val="0"/>
        </w:rPr>
        <w:tab/>
        <w:t>Subject to this Act, the Fund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pPr>
      <w:r>
        <w:tab/>
        <w:t>(2)</w:t>
      </w:r>
      <w:r>
        <w:tab/>
        <w:t xml:space="preserve">The Board is to disallow a claim against the Fund unless — </w:t>
      </w:r>
    </w:p>
    <w:p>
      <w:pPr>
        <w:pStyle w:val="Indenta"/>
        <w:spacing w:before="120"/>
      </w:pPr>
      <w:r>
        <w:tab/>
        <w:t>(a)</w:t>
      </w:r>
      <w:r>
        <w:tab/>
        <w:t>notice of the claim is given in writing to the Board within 3 years after the day on which the claimant became aware of the defalcation; or</w:t>
      </w:r>
    </w:p>
    <w:p>
      <w:pPr>
        <w:pStyle w:val="Indenta"/>
        <w:spacing w:before="120"/>
      </w:pPr>
      <w:r>
        <w:tab/>
        <w:t>(b)</w:t>
      </w:r>
      <w:r>
        <w:tab/>
        <w:t xml:space="preserve">the Board — </w:t>
      </w:r>
    </w:p>
    <w:p>
      <w:pPr>
        <w:pStyle w:val="Indenti"/>
        <w:spacing w:before="120"/>
      </w:pPr>
      <w:r>
        <w:tab/>
        <w:t>(i)</w:t>
      </w:r>
      <w:r>
        <w:tab/>
        <w:t xml:space="preserve">has been given notice in writing of the claim within 6 years after the day on which the claimant became aware of the defalcation; and </w:t>
      </w:r>
    </w:p>
    <w:p>
      <w:pPr>
        <w:pStyle w:val="Indenti"/>
        <w:spacing w:before="120"/>
      </w:pPr>
      <w:r>
        <w:tab/>
        <w:t>(ii)</w:t>
      </w:r>
      <w:r>
        <w:tab/>
        <w:t>considers that it is just and reasonable in the circumstances to deal with the claim even though notice was not given within the time referred to in paragraph (a).</w:t>
      </w:r>
    </w:p>
    <w:p>
      <w:pPr>
        <w:pStyle w:val="Footnotesection"/>
      </w:pPr>
      <w:r>
        <w:tab/>
        <w:t>[Section 93 amended by No. 3 of 2000 s. 7(1)</w:t>
      </w:r>
      <w:r>
        <w:rPr>
          <w:vertAlign w:val="superscript"/>
        </w:rPr>
        <w:t> 3</w:t>
      </w:r>
      <w:r>
        <w:t>.]</w:t>
      </w:r>
    </w:p>
    <w:p>
      <w:pPr>
        <w:pStyle w:val="Heading5"/>
        <w:rPr>
          <w:snapToGrid w:val="0"/>
        </w:rPr>
      </w:pPr>
      <w:bookmarkStart w:id="712" w:name="_Toc480623160"/>
      <w:bookmarkStart w:id="713" w:name="_Toc520186166"/>
      <w:bookmarkStart w:id="714" w:name="_Toc108238656"/>
      <w:bookmarkStart w:id="715" w:name="_Toc124125651"/>
      <w:bookmarkStart w:id="716" w:name="_Toc155600378"/>
      <w:r>
        <w:rPr>
          <w:rStyle w:val="CharSectno"/>
        </w:rPr>
        <w:t>94</w:t>
      </w:r>
      <w:r>
        <w:rPr>
          <w:snapToGrid w:val="0"/>
        </w:rPr>
        <w:t>.</w:t>
      </w:r>
      <w:r>
        <w:rPr>
          <w:snapToGrid w:val="0"/>
        </w:rPr>
        <w:tab/>
        <w:t>Levies</w:t>
      </w:r>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If at any time moneys standing to the credit of the Fund are in the opinion of the Board not sufficient to satisfy the liabilities of the Board in relation thereto, the Board may by resolution, impose on each holder of a current triennial certificate for payment to the credit of the Fund, a levy of such amount as it thinks fit not exceeding the sum of $20 in any one year.</w:t>
      </w:r>
    </w:p>
    <w:p>
      <w:pPr>
        <w:pStyle w:val="Subsection"/>
        <w:rPr>
          <w:snapToGrid w:val="0"/>
        </w:rPr>
      </w:pPr>
      <w:r>
        <w:rPr>
          <w:snapToGrid w:val="0"/>
        </w:rPr>
        <w:tab/>
        <w:t>(2)</w:t>
      </w:r>
      <w:r>
        <w:rPr>
          <w:snapToGrid w:val="0"/>
        </w:rPr>
        <w:tab/>
        <w:t>The amount of the levy shall become payable on a date and in a manner to be fixed by the Board, and notice thereof shall be sent by the Board to each holder of a current triennial certificate.</w:t>
      </w:r>
    </w:p>
    <w:p>
      <w:pPr>
        <w:pStyle w:val="Subsection"/>
        <w:rPr>
          <w:snapToGrid w:val="0"/>
        </w:rPr>
      </w:pPr>
      <w:r>
        <w:rPr>
          <w:snapToGrid w:val="0"/>
        </w:rPr>
        <w:tab/>
        <w:t>(3)</w:t>
      </w:r>
      <w:r>
        <w:rPr>
          <w:snapToGrid w:val="0"/>
        </w:rPr>
        <w:tab/>
        <w:t>A person who fails to comply with any notice sent to him under subsection (2) is guilty of an offence against this Act.</w:t>
      </w:r>
    </w:p>
    <w:p>
      <w:pPr>
        <w:pStyle w:val="Footnotesection"/>
      </w:pPr>
      <w:r>
        <w:tab/>
        <w:t xml:space="preserve">[Section 94 amended by No. 59 of 1995 s. 86.] </w:t>
      </w:r>
    </w:p>
    <w:p>
      <w:pPr>
        <w:pStyle w:val="Heading5"/>
        <w:rPr>
          <w:snapToGrid w:val="0"/>
        </w:rPr>
      </w:pPr>
      <w:bookmarkStart w:id="717" w:name="_Toc480623161"/>
      <w:bookmarkStart w:id="718" w:name="_Toc520186167"/>
      <w:bookmarkStart w:id="719" w:name="_Toc108238657"/>
      <w:bookmarkStart w:id="720" w:name="_Toc124125652"/>
      <w:bookmarkStart w:id="721" w:name="_Toc155600379"/>
      <w:r>
        <w:rPr>
          <w:rStyle w:val="CharSectno"/>
        </w:rPr>
        <w:t>95</w:t>
      </w:r>
      <w:r>
        <w:rPr>
          <w:snapToGrid w:val="0"/>
        </w:rPr>
        <w:t>.</w:t>
      </w:r>
      <w:r>
        <w:rPr>
          <w:snapToGrid w:val="0"/>
        </w:rPr>
        <w:tab/>
        <w:t>Claims against Fund</w:t>
      </w:r>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 xml:space="preserve">The Board may </w:t>
      </w:r>
      <w:r>
        <w:t>receive and, subject to section 93(2), settle</w:t>
      </w:r>
      <w:r>
        <w:rPr>
          <w:snapToGrid w:val="0"/>
        </w:rPr>
        <w:t xml:space="preserve"> any claim against the Fund at any time after the defalcation in respect of which the claim arose has occurred, but no person is entitled, without the leave of the Board, to commence any action in relation to the Fund,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rPr>
          <w:snapToGrid w:val="0"/>
        </w:rPr>
      </w:pPr>
      <w:r>
        <w:rPr>
          <w:snapToGrid w:val="0"/>
        </w:rPr>
        <w:tab/>
        <w:t>(2)</w:t>
      </w:r>
      <w:r>
        <w:rPr>
          <w:snapToGrid w:val="0"/>
        </w:rPr>
        <w:tab/>
        <w:t>A person is not entitled to recover from the Fund an amount greater than the balance of the actual loss suffered by him after deducting from the total amount of his loss, the amount or value of all money or other benefits received or receivable by him from any source other than the Fund in reduction of his loss, including any benefits received by reason of services rendered or payments made by the defaulting licensee.</w:t>
      </w:r>
    </w:p>
    <w:p>
      <w:pPr>
        <w:pStyle w:val="Subsection"/>
        <w:rPr>
          <w:snapToGrid w:val="0"/>
        </w:rPr>
      </w:pPr>
      <w:r>
        <w:rPr>
          <w:snapToGrid w:val="0"/>
        </w:rPr>
        <w:tab/>
        <w:t>(3)</w:t>
      </w:r>
      <w:r>
        <w:rPr>
          <w:snapToGrid w:val="0"/>
        </w:rPr>
        <w:tab/>
        <w:t>No amount shall be charged or be chargeable to the Fund as interest on the amount of any judgment obtained or of any claim admitted against the Fund.</w:t>
      </w:r>
    </w:p>
    <w:p>
      <w:pPr>
        <w:pStyle w:val="Subsection"/>
        <w:rPr>
          <w:snapToGrid w:val="0"/>
        </w:rPr>
      </w:pPr>
      <w:r>
        <w:rPr>
          <w:snapToGrid w:val="0"/>
        </w:rPr>
        <w:tab/>
        <w:t>(4)</w:t>
      </w:r>
      <w:r>
        <w:rPr>
          <w:snapToGrid w:val="0"/>
        </w:rPr>
        <w:tab/>
        <w:t>No right of action lies in relation to the Fund 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No right of action lies in relation to the Fund 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snapToGrid w:val="0"/>
        </w:rPr>
        <w:t>“</w:t>
      </w:r>
      <w:r>
        <w:rPr>
          <w:rStyle w:val="CharDefText"/>
          <w:b w:val="0"/>
        </w:rPr>
        <w:t>defalcation by a licensee</w:t>
      </w:r>
      <w:r>
        <w:rPr>
          <w:snapToGrid w:val="0"/>
        </w:rPr>
        <w:t>” in section 3.</w:t>
      </w:r>
    </w:p>
    <w:p>
      <w:pPr>
        <w:pStyle w:val="Footnotesection"/>
      </w:pPr>
      <w:r>
        <w:tab/>
        <w:t xml:space="preserve">[Section 95 amended by No. 59 of 1995 s. 86; No. 3 of 2000 s. 8; No. 28 of 2003 s. 182.] </w:t>
      </w:r>
    </w:p>
    <w:p>
      <w:pPr>
        <w:pStyle w:val="Heading5"/>
        <w:rPr>
          <w:snapToGrid w:val="0"/>
        </w:rPr>
      </w:pPr>
      <w:bookmarkStart w:id="722" w:name="_Toc480623162"/>
      <w:bookmarkStart w:id="723" w:name="_Toc520186168"/>
      <w:bookmarkStart w:id="724" w:name="_Toc108238658"/>
      <w:bookmarkStart w:id="725" w:name="_Toc124125653"/>
      <w:bookmarkStart w:id="726" w:name="_Toc155600380"/>
      <w:r>
        <w:rPr>
          <w:rStyle w:val="CharSectno"/>
        </w:rPr>
        <w:t>96</w:t>
      </w:r>
      <w:r>
        <w:rPr>
          <w:snapToGrid w:val="0"/>
        </w:rPr>
        <w:t>.</w:t>
      </w:r>
      <w:r>
        <w:rPr>
          <w:snapToGrid w:val="0"/>
        </w:rPr>
        <w:tab/>
        <w:t>Defences to claims against Fund</w:t>
      </w:r>
      <w:bookmarkEnd w:id="722"/>
      <w:bookmarkEnd w:id="723"/>
      <w:bookmarkEnd w:id="724"/>
      <w:bookmarkEnd w:id="725"/>
      <w:bookmarkEnd w:id="726"/>
      <w:r>
        <w:rPr>
          <w:snapToGrid w:val="0"/>
        </w:rPr>
        <w:t xml:space="preserve"> </w:t>
      </w:r>
    </w:p>
    <w:p>
      <w:pPr>
        <w:pStyle w:val="Subsection"/>
        <w:rPr>
          <w:snapToGrid w:val="0"/>
        </w:rPr>
      </w:pPr>
      <w:r>
        <w:rPr>
          <w:snapToGrid w:val="0"/>
        </w:rPr>
        <w:tab/>
      </w:r>
      <w:r>
        <w:rPr>
          <w:snapToGrid w:val="0"/>
        </w:rPr>
        <w:tab/>
        <w:t>In any action brought against the Board in relation to the Fund, all defences that would have been available to the defaulting licensee are available to the Board.</w:t>
      </w:r>
    </w:p>
    <w:p>
      <w:pPr>
        <w:pStyle w:val="Heading5"/>
        <w:rPr>
          <w:snapToGrid w:val="0"/>
        </w:rPr>
      </w:pPr>
      <w:bookmarkStart w:id="727" w:name="_Toc480623163"/>
      <w:bookmarkStart w:id="728" w:name="_Toc520186169"/>
      <w:bookmarkStart w:id="729" w:name="_Toc108238659"/>
      <w:bookmarkStart w:id="730" w:name="_Toc124125654"/>
      <w:bookmarkStart w:id="731" w:name="_Toc155600381"/>
      <w:r>
        <w:rPr>
          <w:rStyle w:val="CharSectno"/>
        </w:rPr>
        <w:t>97</w:t>
      </w:r>
      <w:r>
        <w:rPr>
          <w:snapToGrid w:val="0"/>
        </w:rPr>
        <w:t>.</w:t>
      </w:r>
      <w:r>
        <w:rPr>
          <w:snapToGrid w:val="0"/>
        </w:rPr>
        <w:tab/>
        <w:t>Subrogation of rights</w:t>
      </w:r>
      <w:bookmarkEnd w:id="727"/>
      <w:bookmarkEnd w:id="728"/>
      <w:bookmarkEnd w:id="729"/>
      <w:bookmarkEnd w:id="730"/>
      <w:bookmarkEnd w:id="731"/>
      <w:r>
        <w:rPr>
          <w:snapToGrid w:val="0"/>
        </w:rPr>
        <w:t xml:space="preserve"> </w:t>
      </w:r>
    </w:p>
    <w:p>
      <w:pPr>
        <w:pStyle w:val="Subsection"/>
        <w:rPr>
          <w:snapToGrid w:val="0"/>
        </w:rPr>
      </w:pPr>
      <w:r>
        <w:rPr>
          <w:snapToGrid w:val="0"/>
        </w:rPr>
        <w:tab/>
      </w:r>
      <w:r>
        <w:rPr>
          <w:snapToGrid w:val="0"/>
        </w:rPr>
        <w:tab/>
        <w:t>On payment out of moneys standing to credit of the Fund of any money in settlement in whole or in part of any claims under this Act, the Board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97 amended by No. 59 of 1995 s. 86.] </w:t>
      </w:r>
    </w:p>
    <w:p>
      <w:pPr>
        <w:pStyle w:val="Heading5"/>
        <w:rPr>
          <w:snapToGrid w:val="0"/>
        </w:rPr>
      </w:pPr>
      <w:bookmarkStart w:id="732" w:name="_Toc480623164"/>
      <w:bookmarkStart w:id="733" w:name="_Toc520186170"/>
      <w:bookmarkStart w:id="734" w:name="_Toc108238660"/>
      <w:bookmarkStart w:id="735" w:name="_Toc124125655"/>
      <w:bookmarkStart w:id="736" w:name="_Toc155600382"/>
      <w:r>
        <w:rPr>
          <w:rStyle w:val="CharSectno"/>
        </w:rPr>
        <w:t>98</w:t>
      </w:r>
      <w:r>
        <w:rPr>
          <w:snapToGrid w:val="0"/>
        </w:rPr>
        <w:t>.</w:t>
      </w:r>
      <w:r>
        <w:rPr>
          <w:snapToGrid w:val="0"/>
        </w:rPr>
        <w:tab/>
        <w:t>Insufficiency in Fund</w:t>
      </w:r>
      <w:bookmarkEnd w:id="732"/>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Subject to section 99, the moneys standing to the credit of the Fund are the only property of the Board available for the satisfaction of any judgment obtained against the Board in relation to the Fund, or for the payment of any claim allowed by the Board, but if at any time the moneys standing to the credit of the Fund are not sufficient to provide for the satisfaction of all such judgments and claims they shall, to the extent to which they are not so satisfied, be charged against the future accumulations of the Fund.</w:t>
      </w:r>
    </w:p>
    <w:p>
      <w:pPr>
        <w:pStyle w:val="Subsection"/>
        <w:rPr>
          <w:snapToGrid w:val="0"/>
        </w:rPr>
      </w:pPr>
      <w:r>
        <w:rPr>
          <w:snapToGrid w:val="0"/>
        </w:rPr>
        <w:tab/>
        <w:t>(2)</w:t>
      </w:r>
      <w:r>
        <w:rPr>
          <w:snapToGrid w:val="0"/>
        </w:rPr>
        <w:tab/>
        <w:t>The Board may determine the order in which the judgments and claims charged against the Fund as provided in subsection (1) shall be satisfied, and may, if the amount accumulated is not sufficient to wholly satisfy all those judgments and claims, satisfy any of those judgments or claims in whole or in part.</w:t>
      </w:r>
    </w:p>
    <w:p>
      <w:pPr>
        <w:pStyle w:val="Subsection"/>
        <w:rPr>
          <w:snapToGrid w:val="0"/>
        </w:rPr>
      </w:pPr>
      <w:r>
        <w:rPr>
          <w:snapToGrid w:val="0"/>
        </w:rPr>
        <w:tab/>
        <w:t>(3)</w:t>
      </w:r>
      <w:r>
        <w:rPr>
          <w:snapToGrid w:val="0"/>
        </w:rPr>
        <w:tab/>
        <w:t>Without limiting the discretion of the Board, the Board shall in applying the Fund towards the settlement of any of the judgments and claims referred to in subsection (2), have regard to the following rules — </w:t>
      </w:r>
    </w:p>
    <w:p>
      <w:pPr>
        <w:pStyle w:val="Indenta"/>
        <w:rPr>
          <w:snapToGrid w:val="0"/>
        </w:rPr>
      </w:pPr>
      <w:r>
        <w:rPr>
          <w:snapToGrid w:val="0"/>
        </w:rPr>
        <w:tab/>
        <w:t>(a)</w:t>
      </w:r>
      <w:r>
        <w:rPr>
          <w:snapToGrid w:val="0"/>
        </w:rPr>
        <w:tab/>
        <w:t>it shall take into consideration the relative degrees of hardship suffered or likely to be suffered by the several claimants in the event of their claims against the Fund 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priority as between themselves, according to the dates of the judgments or the dates when the claims were admitted by the Board, as the case may be.</w:t>
      </w:r>
    </w:p>
    <w:p>
      <w:pPr>
        <w:pStyle w:val="Footnotesection"/>
      </w:pPr>
      <w:r>
        <w:tab/>
        <w:t xml:space="preserve">[Section 98 amended by No. 59 of 1995 s. 79 and 86.] </w:t>
      </w:r>
    </w:p>
    <w:p>
      <w:pPr>
        <w:pStyle w:val="Heading5"/>
        <w:rPr>
          <w:snapToGrid w:val="0"/>
        </w:rPr>
      </w:pPr>
      <w:bookmarkStart w:id="737" w:name="_Toc480623165"/>
      <w:bookmarkStart w:id="738" w:name="_Toc520186171"/>
      <w:bookmarkStart w:id="739" w:name="_Toc108238661"/>
      <w:bookmarkStart w:id="740" w:name="_Toc124125656"/>
      <w:bookmarkStart w:id="741" w:name="_Toc155600383"/>
      <w:r>
        <w:rPr>
          <w:rStyle w:val="CharSectno"/>
        </w:rPr>
        <w:t>99</w:t>
      </w:r>
      <w:r>
        <w:rPr>
          <w:snapToGrid w:val="0"/>
        </w:rPr>
        <w:t>.</w:t>
      </w:r>
      <w:r>
        <w:rPr>
          <w:snapToGrid w:val="0"/>
        </w:rPr>
        <w:tab/>
        <w:t>Power of Board to enter into contracts of insurance</w:t>
      </w:r>
      <w:bookmarkEnd w:id="737"/>
      <w:bookmarkEnd w:id="738"/>
      <w:bookmarkEnd w:id="739"/>
      <w:bookmarkEnd w:id="740"/>
      <w:bookmarkEnd w:id="741"/>
      <w:r>
        <w:rPr>
          <w:snapToGrid w:val="0"/>
        </w:rPr>
        <w:t xml:space="preserve"> </w:t>
      </w:r>
    </w:p>
    <w:p>
      <w:pPr>
        <w:pStyle w:val="Subsection"/>
        <w:rPr>
          <w:snapToGrid w:val="0"/>
        </w:rPr>
      </w:pPr>
      <w:r>
        <w:rPr>
          <w:snapToGrid w:val="0"/>
        </w:rPr>
        <w:tab/>
        <w:t>(1)</w:t>
      </w:r>
      <w:r>
        <w:rPr>
          <w:snapToGrid w:val="0"/>
        </w:rPr>
        <w:tab/>
      </w:r>
      <w:r>
        <w:rPr>
          <w:snapToGrid w:val="0"/>
          <w:spacing w:val="-4"/>
        </w:rPr>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pPr>
        <w:pStyle w:val="Subsection"/>
        <w:rPr>
          <w:snapToGrid w:val="0"/>
        </w:rPr>
      </w:pPr>
      <w:r>
        <w:rPr>
          <w:snapToGrid w:val="0"/>
        </w:rPr>
        <w:tab/>
        <w:t>(3)</w:t>
      </w:r>
      <w:r>
        <w:rPr>
          <w:snapToGrid w:val="0"/>
        </w:rPr>
        <w:tab/>
        <w:t>The Board may publish the fact that a policy has been effected under this section and of the details of the policy.</w:t>
      </w:r>
    </w:p>
    <w:p>
      <w:pPr>
        <w:pStyle w:val="Subsection"/>
        <w:rPr>
          <w:snapToGrid w:val="0"/>
        </w:rPr>
      </w:pPr>
      <w:r>
        <w:rPr>
          <w:snapToGrid w:val="0"/>
        </w:rPr>
        <w:tab/>
        <w:t>(4)</w:t>
      </w:r>
      <w:r>
        <w:rPr>
          <w:snapToGrid w:val="0"/>
        </w:rPr>
        <w:tab/>
        <w:t>An action does not lie against the Board or against a member or servant of the Board for damage alleged to have been suffered by a licensee by reason of the publication in good faith of a statement that a contract entered into under this section does or does not apply with respect to him.</w:t>
      </w:r>
    </w:p>
    <w:p>
      <w:pPr>
        <w:pStyle w:val="Footnotesection"/>
      </w:pPr>
      <w:r>
        <w:tab/>
        <w:t xml:space="preserve">[Section 99 amended by No. 51 of 1986 s. 46(2).] </w:t>
      </w:r>
    </w:p>
    <w:p>
      <w:pPr>
        <w:pStyle w:val="Heading5"/>
        <w:rPr>
          <w:snapToGrid w:val="0"/>
        </w:rPr>
      </w:pPr>
      <w:bookmarkStart w:id="742" w:name="_Toc480623166"/>
      <w:bookmarkStart w:id="743" w:name="_Toc520186172"/>
      <w:bookmarkStart w:id="744" w:name="_Toc108238662"/>
      <w:bookmarkStart w:id="745" w:name="_Toc124125657"/>
      <w:bookmarkStart w:id="746" w:name="_Toc155600384"/>
      <w:r>
        <w:rPr>
          <w:rStyle w:val="CharSectno"/>
        </w:rPr>
        <w:t>100</w:t>
      </w:r>
      <w:r>
        <w:rPr>
          <w:snapToGrid w:val="0"/>
        </w:rPr>
        <w:t>.</w:t>
      </w:r>
      <w:r>
        <w:rPr>
          <w:snapToGrid w:val="0"/>
        </w:rPr>
        <w:tab/>
        <w:t>Application of insurance money</w:t>
      </w:r>
      <w:bookmarkEnd w:id="742"/>
      <w:bookmarkEnd w:id="743"/>
      <w:bookmarkEnd w:id="744"/>
      <w:bookmarkEnd w:id="745"/>
      <w:bookmarkEnd w:id="746"/>
      <w:r>
        <w:rPr>
          <w:snapToGrid w:val="0"/>
        </w:rPr>
        <w:t xml:space="preserve"> </w:t>
      </w:r>
    </w:p>
    <w:p>
      <w:pPr>
        <w:pStyle w:val="Subsection"/>
        <w:rPr>
          <w:snapToGrid w:val="0"/>
        </w:rPr>
      </w:pPr>
      <w:r>
        <w:rPr>
          <w:snapToGrid w:val="0"/>
        </w:rPr>
        <w:tab/>
      </w:r>
      <w:r>
        <w:rPr>
          <w:snapToGrid w:val="0"/>
        </w:rPr>
        <w:tab/>
        <w:t>A claimant against the Fund has no right of action against any person with whom a contract of insurance is made under section 99 in respect of that contract and has no right to claim any money paid by the insurer in accordance with any such contract; but all such moneys shall be credited to the Fund and shall be applied in or towards the settlement of relevant claims.</w:t>
      </w:r>
    </w:p>
    <w:p>
      <w:pPr>
        <w:pStyle w:val="Footnotesection"/>
      </w:pPr>
      <w:r>
        <w:tab/>
        <w:t xml:space="preserve">[Section 100 amended by No. 59 of 1995 s. 86.] </w:t>
      </w:r>
    </w:p>
    <w:p>
      <w:pPr>
        <w:pStyle w:val="Heading5"/>
        <w:rPr>
          <w:snapToGrid w:val="0"/>
        </w:rPr>
      </w:pPr>
      <w:bookmarkStart w:id="747" w:name="_Toc480623167"/>
      <w:bookmarkStart w:id="748" w:name="_Toc520186173"/>
      <w:bookmarkStart w:id="749" w:name="_Toc108238663"/>
      <w:bookmarkStart w:id="750" w:name="_Toc124125658"/>
      <w:bookmarkStart w:id="751" w:name="_Toc155600385"/>
      <w:r>
        <w:rPr>
          <w:rStyle w:val="CharSectno"/>
        </w:rPr>
        <w:t>101</w:t>
      </w:r>
      <w:r>
        <w:rPr>
          <w:snapToGrid w:val="0"/>
        </w:rPr>
        <w:t>.</w:t>
      </w:r>
      <w:r>
        <w:rPr>
          <w:snapToGrid w:val="0"/>
        </w:rPr>
        <w:tab/>
        <w:t>Advertisement relating to defaulting settlement agent and claims</w:t>
      </w:r>
      <w:bookmarkEnd w:id="747"/>
      <w:bookmarkEnd w:id="748"/>
      <w:bookmarkEnd w:id="749"/>
      <w:bookmarkEnd w:id="750"/>
      <w:bookmarkEnd w:id="751"/>
      <w:r>
        <w:rPr>
          <w:snapToGrid w:val="0"/>
        </w:rPr>
        <w:t xml:space="preserve"> </w:t>
      </w:r>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93 and 95, having regard only to judgments and claims allowed against the Fund.</w:t>
      </w:r>
    </w:p>
    <w:p>
      <w:pPr>
        <w:pStyle w:val="Heading5"/>
        <w:rPr>
          <w:snapToGrid w:val="0"/>
        </w:rPr>
      </w:pPr>
      <w:bookmarkStart w:id="752" w:name="_Toc480623168"/>
      <w:bookmarkStart w:id="753" w:name="_Toc520186174"/>
      <w:bookmarkStart w:id="754" w:name="_Toc108238664"/>
      <w:bookmarkStart w:id="755" w:name="_Toc124125659"/>
      <w:bookmarkStart w:id="756" w:name="_Toc155600386"/>
      <w:r>
        <w:rPr>
          <w:rStyle w:val="CharSectno"/>
        </w:rPr>
        <w:t>102</w:t>
      </w:r>
      <w:r>
        <w:rPr>
          <w:snapToGrid w:val="0"/>
        </w:rPr>
        <w:t>.</w:t>
      </w:r>
      <w:r>
        <w:rPr>
          <w:snapToGrid w:val="0"/>
        </w:rPr>
        <w:tab/>
        <w:t>Power of Board to demand securities, and documents</w:t>
      </w:r>
      <w:bookmarkEnd w:id="752"/>
      <w:bookmarkEnd w:id="753"/>
      <w:bookmarkEnd w:id="754"/>
      <w:bookmarkEnd w:id="755"/>
      <w:bookmarkEnd w:id="756"/>
      <w:r>
        <w:rPr>
          <w:snapToGrid w:val="0"/>
        </w:rPr>
        <w:t xml:space="preserve"> </w:t>
      </w:r>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757" w:name="_Toc89514556"/>
      <w:bookmarkStart w:id="758" w:name="_Toc89753313"/>
      <w:bookmarkStart w:id="759" w:name="_Toc91307581"/>
      <w:bookmarkStart w:id="760" w:name="_Toc92705812"/>
      <w:bookmarkStart w:id="761" w:name="_Toc96932886"/>
      <w:bookmarkStart w:id="762" w:name="_Toc101079291"/>
      <w:bookmarkStart w:id="763" w:name="_Toc101080895"/>
      <w:bookmarkStart w:id="764" w:name="_Toc104782179"/>
      <w:bookmarkStart w:id="765" w:name="_Toc108238665"/>
      <w:bookmarkStart w:id="766" w:name="_Toc108238832"/>
      <w:bookmarkStart w:id="767" w:name="_Toc110325110"/>
      <w:bookmarkStart w:id="768" w:name="_Toc110325412"/>
      <w:bookmarkStart w:id="769" w:name="_Toc121566813"/>
      <w:bookmarkStart w:id="770" w:name="_Toc124125660"/>
      <w:bookmarkStart w:id="771" w:name="_Toc124141126"/>
      <w:bookmarkStart w:id="772" w:name="_Toc131414791"/>
      <w:bookmarkStart w:id="773" w:name="_Toc155600387"/>
      <w:r>
        <w:rPr>
          <w:rStyle w:val="CharPartNo"/>
        </w:rPr>
        <w:t>Part VA</w:t>
      </w:r>
      <w:r>
        <w:rPr>
          <w:rStyle w:val="CharDivNo"/>
        </w:rPr>
        <w:t> </w:t>
      </w:r>
      <w:r>
        <w:t>—</w:t>
      </w:r>
      <w:r>
        <w:rPr>
          <w:rStyle w:val="CharDivText"/>
        </w:rPr>
        <w:t> </w:t>
      </w:r>
      <w:r>
        <w:rPr>
          <w:rStyle w:val="CharPartText"/>
        </w:rPr>
        <w:t>Education and General Purpose Fund</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rPr>
          <w:rStyle w:val="CharPartText"/>
        </w:rPr>
        <w:t xml:space="preserve"> </w:t>
      </w:r>
      <w:r>
        <w:rPr>
          <w:rStyle w:val="CharPartText"/>
        </w:rPr>
        <w:tab/>
      </w:r>
    </w:p>
    <w:p>
      <w:pPr>
        <w:pStyle w:val="Footnoteheading"/>
        <w:rPr>
          <w:snapToGrid w:val="0"/>
        </w:rPr>
      </w:pPr>
      <w:r>
        <w:rPr>
          <w:snapToGrid w:val="0"/>
        </w:rPr>
        <w:tab/>
        <w:t xml:space="preserve">[Heading inserted by No. 59 of 1995 s. 80.] </w:t>
      </w:r>
    </w:p>
    <w:p>
      <w:pPr>
        <w:pStyle w:val="Heading5"/>
        <w:rPr>
          <w:snapToGrid w:val="0"/>
        </w:rPr>
      </w:pPr>
      <w:bookmarkStart w:id="774" w:name="_Toc480623169"/>
      <w:bookmarkStart w:id="775" w:name="_Toc520186175"/>
      <w:bookmarkStart w:id="776" w:name="_Toc108238666"/>
      <w:bookmarkStart w:id="777" w:name="_Toc124125661"/>
      <w:bookmarkStart w:id="778" w:name="_Toc155600388"/>
      <w:r>
        <w:rPr>
          <w:rStyle w:val="CharSectno"/>
        </w:rPr>
        <w:t>102A</w:t>
      </w:r>
      <w:r>
        <w:rPr>
          <w:snapToGrid w:val="0"/>
        </w:rPr>
        <w:t xml:space="preserve">. </w:t>
      </w:r>
      <w:r>
        <w:rPr>
          <w:snapToGrid w:val="0"/>
        </w:rPr>
        <w:tab/>
        <w:t>Education and General Purpose Fund established</w:t>
      </w:r>
      <w:bookmarkEnd w:id="774"/>
      <w:bookmarkEnd w:id="775"/>
      <w:bookmarkEnd w:id="776"/>
      <w:bookmarkEnd w:id="777"/>
      <w:bookmarkEnd w:id="778"/>
      <w:r>
        <w:rPr>
          <w:snapToGrid w:val="0"/>
        </w:rPr>
        <w:t xml:space="preserve"> </w:t>
      </w:r>
    </w:p>
    <w:p>
      <w:pPr>
        <w:pStyle w:val="Subsection"/>
        <w:rPr>
          <w:snapToGrid w:val="0"/>
        </w:rPr>
      </w:pPr>
      <w:r>
        <w:rPr>
          <w:snapToGrid w:val="0"/>
        </w:rPr>
        <w:tab/>
        <w:t>(1)</w:t>
      </w:r>
      <w:r>
        <w:rPr>
          <w:snapToGrid w:val="0"/>
        </w:rPr>
        <w:tab/>
        <w:t>An account called the “Education and General Purpose Fund” is to be established and kept — </w:t>
      </w:r>
    </w:p>
    <w:p>
      <w:pPr>
        <w:pStyle w:val="Indenta"/>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General Purpose Fund is to be administered by the Board.</w:t>
      </w:r>
    </w:p>
    <w:p>
      <w:pPr>
        <w:pStyle w:val="Footnotesection"/>
      </w:pPr>
      <w:r>
        <w:tab/>
        <w:t xml:space="preserve">[Section 102A inserted by No. 59 of 1995 s. 80.] </w:t>
      </w:r>
    </w:p>
    <w:p>
      <w:pPr>
        <w:pStyle w:val="Heading5"/>
        <w:rPr>
          <w:snapToGrid w:val="0"/>
        </w:rPr>
      </w:pPr>
      <w:bookmarkStart w:id="779" w:name="_Toc480623170"/>
      <w:bookmarkStart w:id="780" w:name="_Toc520186176"/>
      <w:bookmarkStart w:id="781" w:name="_Toc108238667"/>
      <w:bookmarkStart w:id="782" w:name="_Toc124125662"/>
      <w:bookmarkStart w:id="783" w:name="_Toc155600389"/>
      <w:r>
        <w:rPr>
          <w:rStyle w:val="CharSectno"/>
        </w:rPr>
        <w:t>102B</w:t>
      </w:r>
      <w:r>
        <w:rPr>
          <w:snapToGrid w:val="0"/>
        </w:rPr>
        <w:t xml:space="preserve">. </w:t>
      </w:r>
      <w:r>
        <w:rPr>
          <w:snapToGrid w:val="0"/>
        </w:rPr>
        <w:tab/>
        <w:t>Moneys credited to General Purpose Fund</w:t>
      </w:r>
      <w:bookmarkEnd w:id="779"/>
      <w:bookmarkEnd w:id="780"/>
      <w:bookmarkEnd w:id="781"/>
      <w:bookmarkEnd w:id="782"/>
      <w:bookmarkEnd w:id="783"/>
      <w:r>
        <w:rPr>
          <w:snapToGrid w:val="0"/>
        </w:rPr>
        <w:t xml:space="preserve"> </w:t>
      </w:r>
    </w:p>
    <w:p>
      <w:pPr>
        <w:pStyle w:val="Subsection"/>
        <w:rPr>
          <w:snapToGrid w:val="0"/>
        </w:rPr>
      </w:pPr>
      <w:r>
        <w:rPr>
          <w:snapToGrid w:val="0"/>
        </w:rPr>
        <w:tab/>
      </w:r>
      <w:r>
        <w:rPr>
          <w:snapToGrid w:val="0"/>
        </w:rPr>
        <w:tab/>
        <w:t>There are to be credited to the General Purpose Fund — </w:t>
      </w:r>
    </w:p>
    <w:p>
      <w:pPr>
        <w:pStyle w:val="Indenta"/>
        <w:rPr>
          <w:snapToGrid w:val="0"/>
        </w:rPr>
      </w:pPr>
      <w:r>
        <w:rPr>
          <w:snapToGrid w:val="0"/>
        </w:rPr>
        <w:tab/>
        <w:t>(a)</w:t>
      </w:r>
      <w:r>
        <w:rPr>
          <w:snapToGrid w:val="0"/>
        </w:rPr>
        <w:tab/>
        <w:t>income derived from the investment, under section 102D, of moneys standing to the credit of the General Purpose Fund;</w:t>
      </w:r>
    </w:p>
    <w:p>
      <w:pPr>
        <w:pStyle w:val="Indenta"/>
        <w:rPr>
          <w:snapToGrid w:val="0"/>
        </w:rPr>
      </w:pPr>
      <w:r>
        <w:rPr>
          <w:snapToGrid w:val="0"/>
        </w:rPr>
        <w:tab/>
        <w:t>(b)</w:t>
      </w:r>
      <w:r>
        <w:rPr>
          <w:snapToGrid w:val="0"/>
        </w:rPr>
        <w:tab/>
        <w:t>all moneys transferred to the General Purpose Fund under section 105(b);</w:t>
      </w:r>
    </w:p>
    <w:p>
      <w:pPr>
        <w:pStyle w:val="Indenta"/>
        <w:rPr>
          <w:snapToGrid w:val="0"/>
        </w:rPr>
      </w:pPr>
      <w:r>
        <w:rPr>
          <w:snapToGrid w:val="0"/>
        </w:rPr>
        <w:tab/>
        <w:t>(c)</w:t>
      </w:r>
      <w:r>
        <w:rPr>
          <w:snapToGrid w:val="0"/>
        </w:rPr>
        <w:tab/>
        <w:t>fees, costs and other moneys lawfully received by or payable to the Board;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and (e), that may lawfully be credited to the General Purpose Fund.</w:t>
      </w:r>
    </w:p>
    <w:p>
      <w:pPr>
        <w:pStyle w:val="Footnotesection"/>
      </w:pPr>
      <w:r>
        <w:tab/>
        <w:t xml:space="preserve">[Section 102B inserted by No. 59 of 1995 s. 80; amended by No. 55 of 2004 s. 1091.] </w:t>
      </w:r>
    </w:p>
    <w:p>
      <w:pPr>
        <w:pStyle w:val="Heading5"/>
        <w:rPr>
          <w:snapToGrid w:val="0"/>
        </w:rPr>
      </w:pPr>
      <w:bookmarkStart w:id="784" w:name="_Toc480623171"/>
      <w:bookmarkStart w:id="785" w:name="_Toc520186177"/>
      <w:bookmarkStart w:id="786" w:name="_Toc108238668"/>
      <w:bookmarkStart w:id="787" w:name="_Toc124125663"/>
      <w:bookmarkStart w:id="788" w:name="_Toc155600390"/>
      <w:r>
        <w:rPr>
          <w:rStyle w:val="CharSectno"/>
        </w:rPr>
        <w:t>102C</w:t>
      </w:r>
      <w:r>
        <w:rPr>
          <w:snapToGrid w:val="0"/>
        </w:rPr>
        <w:t xml:space="preserve">. </w:t>
      </w:r>
      <w:r>
        <w:rPr>
          <w:snapToGrid w:val="0"/>
        </w:rPr>
        <w:tab/>
        <w:t>Application of General Purpose Fund</w:t>
      </w:r>
      <w:bookmarkEnd w:id="784"/>
      <w:bookmarkEnd w:id="785"/>
      <w:bookmarkEnd w:id="786"/>
      <w:bookmarkEnd w:id="787"/>
      <w:bookmarkEnd w:id="788"/>
      <w:r>
        <w:rPr>
          <w:snapToGrid w:val="0"/>
        </w:rPr>
        <w:t xml:space="preserve"> </w:t>
      </w:r>
    </w:p>
    <w:p>
      <w:pPr>
        <w:pStyle w:val="Subsection"/>
        <w:keepNext/>
        <w:rPr>
          <w:snapToGrid w:val="0"/>
        </w:rPr>
      </w:pPr>
      <w:r>
        <w:rPr>
          <w:snapToGrid w:val="0"/>
        </w:rPr>
        <w:tab/>
      </w:r>
      <w:r>
        <w:rPr>
          <w:snapToGrid w:val="0"/>
        </w:rPr>
        <w:tab/>
        <w:t>There are to be charged to the General Purpose Fund — </w:t>
      </w:r>
    </w:p>
    <w:p>
      <w:pPr>
        <w:pStyle w:val="Indenta"/>
        <w:rPr>
          <w:snapToGrid w:val="0"/>
        </w:rPr>
      </w:pPr>
      <w:r>
        <w:rPr>
          <w:snapToGrid w:val="0"/>
        </w:rPr>
        <w:tab/>
        <w:t>(a)</w:t>
      </w:r>
      <w:r>
        <w:rPr>
          <w:snapToGrid w:val="0"/>
        </w:rPr>
        <w:tab/>
        <w:t>the costs incurred in the administration of the General Purpose Fund;</w:t>
      </w:r>
    </w:p>
    <w:p>
      <w:pPr>
        <w:pStyle w:val="Indenta"/>
        <w:rPr>
          <w:snapToGrid w:val="0"/>
        </w:rPr>
      </w:pPr>
      <w:r>
        <w:rPr>
          <w:snapToGrid w:val="0"/>
        </w:rPr>
        <w:tab/>
        <w:t>(b)</w:t>
      </w:r>
      <w:r>
        <w:rPr>
          <w:snapToGrid w:val="0"/>
        </w:rPr>
        <w:tab/>
        <w:t>the remuneration and allowances payable to members of the Board;</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102C inserted by No. 59 of 1995 s. 80.] </w:t>
      </w:r>
    </w:p>
    <w:p>
      <w:pPr>
        <w:pStyle w:val="Heading5"/>
        <w:rPr>
          <w:snapToGrid w:val="0"/>
        </w:rPr>
      </w:pPr>
      <w:bookmarkStart w:id="789" w:name="_Toc480623172"/>
      <w:bookmarkStart w:id="790" w:name="_Toc520186178"/>
      <w:bookmarkStart w:id="791" w:name="_Toc108238669"/>
      <w:bookmarkStart w:id="792" w:name="_Toc124125664"/>
      <w:bookmarkStart w:id="793" w:name="_Toc155600391"/>
      <w:r>
        <w:rPr>
          <w:rStyle w:val="CharSectno"/>
        </w:rPr>
        <w:t>102D</w:t>
      </w:r>
      <w:r>
        <w:rPr>
          <w:snapToGrid w:val="0"/>
        </w:rPr>
        <w:t xml:space="preserve">. </w:t>
      </w:r>
      <w:r>
        <w:rPr>
          <w:snapToGrid w:val="0"/>
        </w:rPr>
        <w:tab/>
        <w:t>Investment of General Purpose Fund</w:t>
      </w:r>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Moneys standing to the credit of the General Purpose Fund may, until required for the purposes of section 102C,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General Purpose Fund.</w:t>
      </w:r>
    </w:p>
    <w:p>
      <w:pPr>
        <w:pStyle w:val="Footnotesection"/>
      </w:pPr>
      <w:r>
        <w:tab/>
        <w:t xml:space="preserve">[Section 102D inserted by No. 59 of 1995 s. 80.] </w:t>
      </w:r>
    </w:p>
    <w:p>
      <w:pPr>
        <w:pStyle w:val="Heading2"/>
      </w:pPr>
      <w:bookmarkStart w:id="794" w:name="_Toc89514561"/>
      <w:bookmarkStart w:id="795" w:name="_Toc89753318"/>
      <w:bookmarkStart w:id="796" w:name="_Toc91307586"/>
      <w:bookmarkStart w:id="797" w:name="_Toc92705817"/>
      <w:bookmarkStart w:id="798" w:name="_Toc96932891"/>
      <w:bookmarkStart w:id="799" w:name="_Toc101079296"/>
      <w:bookmarkStart w:id="800" w:name="_Toc101080900"/>
      <w:bookmarkStart w:id="801" w:name="_Toc104782184"/>
      <w:bookmarkStart w:id="802" w:name="_Toc108238670"/>
      <w:bookmarkStart w:id="803" w:name="_Toc108238837"/>
      <w:bookmarkStart w:id="804" w:name="_Toc110325115"/>
      <w:bookmarkStart w:id="805" w:name="_Toc110325417"/>
      <w:bookmarkStart w:id="806" w:name="_Toc121566818"/>
      <w:bookmarkStart w:id="807" w:name="_Toc124125665"/>
      <w:bookmarkStart w:id="808" w:name="_Toc124141131"/>
      <w:bookmarkStart w:id="809" w:name="_Toc131414796"/>
      <w:bookmarkStart w:id="810" w:name="_Toc155600392"/>
      <w:r>
        <w:rPr>
          <w:rStyle w:val="CharPartNo"/>
        </w:rPr>
        <w:t>Part VI</w:t>
      </w:r>
      <w:r>
        <w:rPr>
          <w:rStyle w:val="CharDivNo"/>
        </w:rPr>
        <w:t> </w:t>
      </w:r>
      <w:r>
        <w:t>—</w:t>
      </w:r>
      <w:r>
        <w:rPr>
          <w:rStyle w:val="CharDivText"/>
        </w:rPr>
        <w:t> </w:t>
      </w:r>
      <w:r>
        <w:rPr>
          <w:rStyle w:val="CharPartText"/>
        </w:rPr>
        <w:t>Board Interest Account</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Footnoteheading"/>
        <w:rPr>
          <w:snapToGrid w:val="0"/>
        </w:rPr>
      </w:pPr>
      <w:r>
        <w:rPr>
          <w:snapToGrid w:val="0"/>
        </w:rPr>
        <w:tab/>
        <w:t xml:space="preserve">[Heading inserted by No. 59 of 1995 s. 81.] </w:t>
      </w:r>
    </w:p>
    <w:p>
      <w:pPr>
        <w:pStyle w:val="Heading5"/>
        <w:rPr>
          <w:snapToGrid w:val="0"/>
        </w:rPr>
      </w:pPr>
      <w:bookmarkStart w:id="811" w:name="_Toc480623173"/>
      <w:bookmarkStart w:id="812" w:name="_Toc520186179"/>
      <w:bookmarkStart w:id="813" w:name="_Toc108238671"/>
      <w:bookmarkStart w:id="814" w:name="_Toc124125666"/>
      <w:bookmarkStart w:id="815" w:name="_Toc155600393"/>
      <w:r>
        <w:rPr>
          <w:rStyle w:val="CharSectno"/>
        </w:rPr>
        <w:t>103</w:t>
      </w:r>
      <w:r>
        <w:rPr>
          <w:snapToGrid w:val="0"/>
        </w:rPr>
        <w:t>.</w:t>
      </w:r>
      <w:r>
        <w:rPr>
          <w:snapToGrid w:val="0"/>
        </w:rPr>
        <w:tab/>
        <w:t>Board Interest Account established</w:t>
      </w:r>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An account called the “Board Interest Account” is to be established and kept — </w:t>
      </w:r>
    </w:p>
    <w:p>
      <w:pPr>
        <w:pStyle w:val="Indenta"/>
        <w:spacing w:before="120"/>
        <w:rPr>
          <w:snapToGrid w:val="0"/>
        </w:rPr>
      </w:pPr>
      <w:r>
        <w:rPr>
          <w:snapToGrid w:val="0"/>
        </w:rPr>
        <w:tab/>
        <w:t>(a)</w:t>
      </w:r>
      <w:r>
        <w:rPr>
          <w:snapToGrid w:val="0"/>
        </w:rPr>
        <w:tab/>
        <w:t xml:space="preserve">at the Treasury forming part of the Trust Fund constituted under section 9 of the </w:t>
      </w:r>
      <w:r>
        <w:rPr>
          <w:i/>
          <w:snapToGrid w:val="0"/>
        </w:rPr>
        <w:t>Financial Administration and Audit Act 1985</w:t>
      </w:r>
      <w:r>
        <w:rPr>
          <w:snapToGrid w:val="0"/>
        </w:rPr>
        <w:t>; or</w:t>
      </w:r>
    </w:p>
    <w:p>
      <w:pPr>
        <w:pStyle w:val="Indenta"/>
        <w:spacing w:before="120"/>
        <w:rPr>
          <w:snapToGrid w:val="0"/>
        </w:rPr>
      </w:pPr>
      <w:r>
        <w:rPr>
          <w:snapToGrid w:val="0"/>
        </w:rPr>
        <w:tab/>
        <w:t>(b)</w:t>
      </w:r>
      <w:r>
        <w:rPr>
          <w:snapToGrid w:val="0"/>
        </w:rPr>
        <w:tab/>
        <w:t>with the approval of the Treasurer, at a bank.</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103 inserted by No. 59 of 1995 s. 81.] </w:t>
      </w:r>
    </w:p>
    <w:p>
      <w:pPr>
        <w:pStyle w:val="Heading5"/>
        <w:rPr>
          <w:snapToGrid w:val="0"/>
        </w:rPr>
      </w:pPr>
      <w:bookmarkStart w:id="816" w:name="_Toc480623174"/>
      <w:bookmarkStart w:id="817" w:name="_Toc520186180"/>
      <w:bookmarkStart w:id="818" w:name="_Toc108238672"/>
      <w:bookmarkStart w:id="819" w:name="_Toc124125667"/>
      <w:bookmarkStart w:id="820" w:name="_Toc155600394"/>
      <w:r>
        <w:rPr>
          <w:rStyle w:val="CharSectno"/>
        </w:rPr>
        <w:t>104</w:t>
      </w:r>
      <w:r>
        <w:rPr>
          <w:snapToGrid w:val="0"/>
        </w:rPr>
        <w:t>.</w:t>
      </w:r>
      <w:r>
        <w:rPr>
          <w:snapToGrid w:val="0"/>
        </w:rPr>
        <w:tab/>
        <w:t>Moneys credited to Account</w:t>
      </w:r>
      <w:bookmarkEnd w:id="816"/>
      <w:bookmarkEnd w:id="817"/>
      <w:bookmarkEnd w:id="818"/>
      <w:bookmarkEnd w:id="819"/>
      <w:bookmarkEnd w:id="820"/>
      <w:r>
        <w:rPr>
          <w:snapToGrid w:val="0"/>
        </w:rPr>
        <w:t xml:space="preserve"> </w:t>
      </w:r>
    </w:p>
    <w:p>
      <w:pPr>
        <w:pStyle w:val="Subsection"/>
        <w:rPr>
          <w:snapToGrid w:val="0"/>
        </w:rPr>
      </w:pPr>
      <w:r>
        <w:rPr>
          <w:snapToGrid w:val="0"/>
        </w:rPr>
        <w:tab/>
      </w:r>
      <w:r>
        <w:rPr>
          <w:snapToGrid w:val="0"/>
        </w:rPr>
        <w:tab/>
        <w:t>There are to be credited to the Account — </w:t>
      </w:r>
    </w:p>
    <w:p>
      <w:pPr>
        <w:pStyle w:val="Indenta"/>
        <w:spacing w:before="120"/>
        <w:rPr>
          <w:snapToGrid w:val="0"/>
        </w:rPr>
      </w:pPr>
      <w:r>
        <w:rPr>
          <w:snapToGrid w:val="0"/>
        </w:rPr>
        <w:tab/>
        <w:t>(a)</w:t>
      </w:r>
      <w:r>
        <w:rPr>
          <w:snapToGrid w:val="0"/>
        </w:rPr>
        <w:tab/>
        <w:t>all moneys paid to the credit of the Account under section 49B;</w:t>
      </w:r>
    </w:p>
    <w:p>
      <w:pPr>
        <w:pStyle w:val="Indenta"/>
        <w:spacing w:before="120"/>
        <w:rPr>
          <w:snapToGrid w:val="0"/>
        </w:rPr>
      </w:pPr>
      <w:r>
        <w:rPr>
          <w:snapToGrid w:val="0"/>
        </w:rPr>
        <w:tab/>
        <w:t>(b)</w:t>
      </w:r>
      <w:r>
        <w:rPr>
          <w:snapToGrid w:val="0"/>
        </w:rPr>
        <w:tab/>
        <w:t>income derived from the investment, under section 106, of moneys standing to the credit of the Account; and</w:t>
      </w:r>
    </w:p>
    <w:p>
      <w:pPr>
        <w:pStyle w:val="Indenta"/>
        <w:spacing w:before="120"/>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104 inserted by No. 59 of 1995 s. 81.] </w:t>
      </w:r>
    </w:p>
    <w:p>
      <w:pPr>
        <w:pStyle w:val="Heading5"/>
        <w:rPr>
          <w:snapToGrid w:val="0"/>
        </w:rPr>
      </w:pPr>
      <w:bookmarkStart w:id="821" w:name="_Toc480623175"/>
      <w:bookmarkStart w:id="822" w:name="_Toc520186181"/>
      <w:bookmarkStart w:id="823" w:name="_Toc108238673"/>
      <w:bookmarkStart w:id="824" w:name="_Toc124125668"/>
      <w:bookmarkStart w:id="825" w:name="_Toc155600395"/>
      <w:r>
        <w:rPr>
          <w:rStyle w:val="CharSectno"/>
        </w:rPr>
        <w:t>105</w:t>
      </w:r>
      <w:r>
        <w:rPr>
          <w:snapToGrid w:val="0"/>
        </w:rPr>
        <w:t>.</w:t>
      </w:r>
      <w:r>
        <w:rPr>
          <w:snapToGrid w:val="0"/>
        </w:rPr>
        <w:tab/>
        <w:t>Application of Account</w:t>
      </w:r>
      <w:bookmarkEnd w:id="821"/>
      <w:bookmarkEnd w:id="822"/>
      <w:bookmarkEnd w:id="823"/>
      <w:bookmarkEnd w:id="824"/>
      <w:bookmarkEnd w:id="825"/>
      <w:r>
        <w:rPr>
          <w:snapToGrid w:val="0"/>
        </w:rPr>
        <w:t xml:space="preserve"> </w:t>
      </w:r>
    </w:p>
    <w:p>
      <w:pPr>
        <w:pStyle w:val="Subsection"/>
        <w:rPr>
          <w:snapToGrid w:val="0"/>
        </w:rPr>
      </w:pPr>
      <w:r>
        <w:rPr>
          <w:snapToGrid w:val="0"/>
        </w:rPr>
        <w:tab/>
      </w:r>
      <w:r>
        <w:rPr>
          <w:snapToGrid w:val="0"/>
        </w:rPr>
        <w:tab/>
        <w:t>Moneys standing to the credit of the Account are to be applied at such times as are prescribed — </w:t>
      </w:r>
    </w:p>
    <w:p>
      <w:pPr>
        <w:pStyle w:val="Indenta"/>
        <w:spacing w:before="120"/>
        <w:rPr>
          <w:snapToGrid w:val="0"/>
        </w:rPr>
      </w:pPr>
      <w:r>
        <w:rPr>
          <w:snapToGrid w:val="0"/>
        </w:rPr>
        <w:tab/>
        <w:t>(a)</w:t>
      </w:r>
      <w:r>
        <w:rPr>
          <w:snapToGrid w:val="0"/>
        </w:rPr>
        <w:tab/>
        <w:t>first, in payment of the costs involved in administering the Account; and</w:t>
      </w:r>
    </w:p>
    <w:p>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 Guarantee Fund; and</w:t>
      </w:r>
    </w:p>
    <w:p>
      <w:pPr>
        <w:pStyle w:val="Indenti"/>
        <w:rPr>
          <w:snapToGrid w:val="0"/>
        </w:rPr>
      </w:pPr>
      <w:r>
        <w:rPr>
          <w:snapToGrid w:val="0"/>
        </w:rPr>
        <w:tab/>
        <w:t>(ii)</w:t>
      </w:r>
      <w:r>
        <w:rPr>
          <w:snapToGrid w:val="0"/>
        </w:rPr>
        <w:tab/>
        <w:t>the General Purpose Fund.</w:t>
      </w:r>
    </w:p>
    <w:p>
      <w:pPr>
        <w:pStyle w:val="Footnotesection"/>
      </w:pPr>
      <w:r>
        <w:tab/>
        <w:t xml:space="preserve">[Section 105 inserted by No. 59 of 1995 s. 81.] </w:t>
      </w:r>
    </w:p>
    <w:p>
      <w:pPr>
        <w:pStyle w:val="Heading5"/>
        <w:rPr>
          <w:snapToGrid w:val="0"/>
        </w:rPr>
      </w:pPr>
      <w:bookmarkStart w:id="826" w:name="_Toc480623176"/>
      <w:bookmarkStart w:id="827" w:name="_Toc520186182"/>
      <w:bookmarkStart w:id="828" w:name="_Toc108238674"/>
      <w:bookmarkStart w:id="829" w:name="_Toc124125669"/>
      <w:bookmarkStart w:id="830" w:name="_Toc155600396"/>
      <w:r>
        <w:rPr>
          <w:rStyle w:val="CharSectno"/>
        </w:rPr>
        <w:t>106</w:t>
      </w:r>
      <w:r>
        <w:rPr>
          <w:snapToGrid w:val="0"/>
        </w:rPr>
        <w:t>.</w:t>
      </w:r>
      <w:r>
        <w:rPr>
          <w:snapToGrid w:val="0"/>
        </w:rPr>
        <w:tab/>
        <w:t>Investment of Account</w:t>
      </w:r>
      <w:bookmarkEnd w:id="826"/>
      <w:bookmarkEnd w:id="827"/>
      <w:bookmarkEnd w:id="828"/>
      <w:bookmarkEnd w:id="829"/>
      <w:bookmarkEnd w:id="830"/>
      <w:r>
        <w:rPr>
          <w:snapToGrid w:val="0"/>
        </w:rPr>
        <w:t xml:space="preserve"> </w:t>
      </w:r>
    </w:p>
    <w:p>
      <w:pPr>
        <w:pStyle w:val="Subsection"/>
        <w:rPr>
          <w:snapToGrid w:val="0"/>
        </w:rPr>
      </w:pPr>
      <w:r>
        <w:rPr>
          <w:snapToGrid w:val="0"/>
        </w:rPr>
        <w:tab/>
        <w:t>(1)</w:t>
      </w:r>
      <w:r>
        <w:rPr>
          <w:snapToGrid w:val="0"/>
        </w:rPr>
        <w:tab/>
        <w:t>Moneys standing to the credit of the Account may, until required for the purposes of section 105, be invested in the same manner as — </w:t>
      </w:r>
    </w:p>
    <w:p>
      <w:pPr>
        <w:pStyle w:val="Indenta"/>
        <w:rPr>
          <w:snapToGrid w:val="0"/>
        </w:rPr>
      </w:pPr>
      <w:r>
        <w:rPr>
          <w:snapToGrid w:val="0"/>
        </w:rPr>
        <w:tab/>
        <w:t>(a)</w:t>
      </w:r>
      <w:r>
        <w:rPr>
          <w:snapToGrid w:val="0"/>
        </w:rPr>
        <w:tab/>
        <w:t xml:space="preserve">public moneys may be invested under section 38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trust funds may be invested in accordance with Part III of the </w:t>
      </w:r>
      <w:r>
        <w:rPr>
          <w:i/>
          <w:snapToGrid w:val="0"/>
        </w:rPr>
        <w:t>Trustees Act 1962</w:t>
      </w:r>
      <w:r>
        <w:rPr>
          <w:snapToGrid w:val="0"/>
        </w:rP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106 inserted by No. 59 of 1995 s. 81.] </w:t>
      </w:r>
    </w:p>
    <w:p>
      <w:pPr>
        <w:pStyle w:val="Ednotesection"/>
      </w:pPr>
      <w:r>
        <w:t>[</w:t>
      </w:r>
      <w:r>
        <w:rPr>
          <w:b/>
        </w:rPr>
        <w:t>107, 108.</w:t>
      </w:r>
      <w:r>
        <w:tab/>
        <w:t xml:space="preserve">Repealed by No. 59 of 1995 s. 81.] </w:t>
      </w:r>
    </w:p>
    <w:p>
      <w:pPr>
        <w:pStyle w:val="Ednotesection"/>
      </w:pPr>
      <w:r>
        <w:t>[</w:t>
      </w:r>
      <w:r>
        <w:rPr>
          <w:b/>
        </w:rPr>
        <w:t>109.</w:t>
      </w:r>
      <w:r>
        <w:tab/>
        <w:t xml:space="preserve">Repealed by No. 98 of 1985 s. 3.] </w:t>
      </w:r>
    </w:p>
    <w:p>
      <w:pPr>
        <w:pStyle w:val="Heading2"/>
      </w:pPr>
      <w:bookmarkStart w:id="831" w:name="_Toc89514566"/>
      <w:bookmarkStart w:id="832" w:name="_Toc89753323"/>
      <w:bookmarkStart w:id="833" w:name="_Toc91307591"/>
      <w:bookmarkStart w:id="834" w:name="_Toc92705822"/>
      <w:bookmarkStart w:id="835" w:name="_Toc96932896"/>
      <w:bookmarkStart w:id="836" w:name="_Toc101079301"/>
      <w:bookmarkStart w:id="837" w:name="_Toc101080905"/>
      <w:bookmarkStart w:id="838" w:name="_Toc104782189"/>
      <w:bookmarkStart w:id="839" w:name="_Toc108238675"/>
      <w:bookmarkStart w:id="840" w:name="_Toc108238842"/>
      <w:bookmarkStart w:id="841" w:name="_Toc110325120"/>
      <w:bookmarkStart w:id="842" w:name="_Toc110325422"/>
      <w:bookmarkStart w:id="843" w:name="_Toc121566823"/>
      <w:bookmarkStart w:id="844" w:name="_Toc124125670"/>
      <w:bookmarkStart w:id="845" w:name="_Toc124141136"/>
      <w:bookmarkStart w:id="846" w:name="_Toc131414801"/>
      <w:bookmarkStart w:id="847" w:name="_Toc155600397"/>
      <w:r>
        <w:rPr>
          <w:rStyle w:val="CharPartNo"/>
        </w:rPr>
        <w:t>Part VII</w:t>
      </w:r>
      <w:r>
        <w:rPr>
          <w:rStyle w:val="CharDivNo"/>
        </w:rPr>
        <w:t> </w:t>
      </w:r>
      <w:r>
        <w:t>—</w:t>
      </w:r>
      <w:r>
        <w:rPr>
          <w:rStyle w:val="CharDivText"/>
        </w:rPr>
        <w:t> </w:t>
      </w:r>
      <w:r>
        <w:rPr>
          <w:rStyle w:val="CharPartText"/>
        </w:rPr>
        <w:t>Miscellaneous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r>
        <w:rPr>
          <w:rStyle w:val="CharPartText"/>
        </w:rPr>
        <w:t xml:space="preserve"> </w:t>
      </w:r>
    </w:p>
    <w:p>
      <w:pPr>
        <w:pStyle w:val="Heading5"/>
        <w:rPr>
          <w:snapToGrid w:val="0"/>
        </w:rPr>
      </w:pPr>
      <w:bookmarkStart w:id="848" w:name="_Toc480623177"/>
      <w:bookmarkStart w:id="849" w:name="_Toc520186183"/>
      <w:bookmarkStart w:id="850" w:name="_Toc108238676"/>
      <w:bookmarkStart w:id="851" w:name="_Toc124125671"/>
      <w:bookmarkStart w:id="852" w:name="_Toc155600398"/>
      <w:r>
        <w:rPr>
          <w:rStyle w:val="CharSectno"/>
        </w:rPr>
        <w:t>110</w:t>
      </w:r>
      <w:r>
        <w:rPr>
          <w:snapToGrid w:val="0"/>
        </w:rPr>
        <w:t>.</w:t>
      </w:r>
      <w:r>
        <w:rPr>
          <w:snapToGrid w:val="0"/>
        </w:rPr>
        <w:tab/>
        <w:t>Registers</w:t>
      </w:r>
      <w:bookmarkEnd w:id="848"/>
      <w:bookmarkEnd w:id="849"/>
      <w:bookmarkEnd w:id="850"/>
      <w:bookmarkEnd w:id="851"/>
      <w:bookmarkEnd w:id="852"/>
      <w:r>
        <w:rPr>
          <w:snapToGrid w:val="0"/>
        </w:rPr>
        <w:t xml:space="preserve"> </w:t>
      </w:r>
    </w:p>
    <w:p>
      <w:pPr>
        <w:pStyle w:val="Subsection"/>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 and</w:t>
      </w:r>
    </w:p>
    <w:p>
      <w:pPr>
        <w:pStyle w:val="Indenta"/>
        <w:rPr>
          <w:snapToGrid w:val="0"/>
        </w:rPr>
      </w:pPr>
      <w:r>
        <w:rPr>
          <w:snapToGrid w:val="0"/>
        </w:rPr>
        <w:tab/>
        <w:t>(b)</w:t>
      </w:r>
      <w:r>
        <w:rPr>
          <w:snapToGrid w:val="0"/>
        </w:rPr>
        <w:tab/>
        <w:t>a register of holders of current triennial certificates.</w:t>
      </w:r>
    </w:p>
    <w:p>
      <w:pPr>
        <w:pStyle w:val="Subsection"/>
        <w:rPr>
          <w:snapToGrid w:val="0"/>
        </w:rPr>
      </w:pPr>
      <w:r>
        <w:rPr>
          <w:snapToGrid w:val="0"/>
        </w:rPr>
        <w:tab/>
        <w:t>(2)</w:t>
      </w:r>
      <w:r>
        <w:rPr>
          <w:snapToGrid w:val="0"/>
        </w:rPr>
        <w:tab/>
        <w:t>The Registrar shall record in the registers any prescribed particulars.</w:t>
      </w:r>
    </w:p>
    <w:p>
      <w:pPr>
        <w:pStyle w:val="Subsection"/>
        <w:rPr>
          <w:snapToGrid w:val="0"/>
        </w:rPr>
      </w:pPr>
      <w:r>
        <w:rPr>
          <w:snapToGrid w:val="0"/>
        </w:rPr>
        <w:tab/>
        <w:t>(3)</w:t>
      </w:r>
      <w:r>
        <w:rPr>
          <w:snapToGrid w:val="0"/>
        </w:rPr>
        <w:tab/>
        <w:t>The Registrar shall cause to be removed from the registers the name of every licensee or holder of a current triennial certificate who dies or ceases for any reason to be licensed or to hold a current triennial certificate.</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Heading5"/>
        <w:rPr>
          <w:snapToGrid w:val="0"/>
        </w:rPr>
      </w:pPr>
      <w:bookmarkStart w:id="853" w:name="_Toc480623178"/>
      <w:bookmarkStart w:id="854" w:name="_Toc520186184"/>
      <w:bookmarkStart w:id="855" w:name="_Toc108238677"/>
      <w:bookmarkStart w:id="856" w:name="_Toc124125672"/>
      <w:bookmarkStart w:id="857" w:name="_Toc155600399"/>
      <w:r>
        <w:rPr>
          <w:rStyle w:val="CharSectno"/>
        </w:rPr>
        <w:t>111</w:t>
      </w:r>
      <w:r>
        <w:rPr>
          <w:snapToGrid w:val="0"/>
        </w:rPr>
        <w:t>.</w:t>
      </w:r>
      <w:r>
        <w:rPr>
          <w:snapToGrid w:val="0"/>
        </w:rPr>
        <w:tab/>
        <w:t>Lists and certificates</w:t>
      </w:r>
      <w:bookmarkEnd w:id="853"/>
      <w:bookmarkEnd w:id="854"/>
      <w:bookmarkEnd w:id="855"/>
      <w:bookmarkEnd w:id="856"/>
      <w:bookmarkEnd w:id="857"/>
      <w:r>
        <w:rPr>
          <w:snapToGrid w:val="0"/>
        </w:rPr>
        <w:t xml:space="preserve"> </w:t>
      </w:r>
    </w:p>
    <w:p>
      <w:pPr>
        <w:pStyle w:val="Subsection"/>
        <w:rPr>
          <w:snapToGrid w:val="0"/>
        </w:rPr>
      </w:pPr>
      <w:r>
        <w:rPr>
          <w:snapToGrid w:val="0"/>
        </w:rPr>
        <w:tab/>
        <w:t>(1)</w:t>
      </w:r>
      <w:r>
        <w:rPr>
          <w:snapToGrid w:val="0"/>
        </w:rPr>
        <w:tab/>
        <w:t xml:space="preserve">A list of the names and descriptions of all persons holding licences and current triennial certificates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858" w:name="_Toc480623179"/>
      <w:bookmarkStart w:id="859" w:name="_Toc520186185"/>
      <w:bookmarkStart w:id="860" w:name="_Toc108238678"/>
      <w:bookmarkStart w:id="861" w:name="_Toc124125673"/>
      <w:bookmarkStart w:id="862" w:name="_Toc155600400"/>
      <w:r>
        <w:rPr>
          <w:rStyle w:val="CharSectno"/>
        </w:rPr>
        <w:t>112</w:t>
      </w:r>
      <w:r>
        <w:rPr>
          <w:snapToGrid w:val="0"/>
        </w:rPr>
        <w:t>.</w:t>
      </w:r>
      <w:r>
        <w:rPr>
          <w:snapToGrid w:val="0"/>
        </w:rPr>
        <w:tab/>
        <w:t xml:space="preserve">Application of </w:t>
      </w:r>
      <w:r>
        <w:rPr>
          <w:i/>
          <w:snapToGrid w:val="0"/>
        </w:rPr>
        <w:t>Financial Administration and Audit Act 1985</w:t>
      </w:r>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Board or the Registrar; and</w:t>
      </w:r>
    </w:p>
    <w:p>
      <w:pPr>
        <w:pStyle w:val="Indenti"/>
        <w:rPr>
          <w:snapToGrid w:val="0"/>
        </w:rPr>
      </w:pPr>
      <w:r>
        <w:rPr>
          <w:snapToGrid w:val="0"/>
        </w:rPr>
        <w:tab/>
        <w:t>(ii)</w:t>
      </w:r>
      <w:r>
        <w:rPr>
          <w:snapToGrid w:val="0"/>
        </w:rPr>
        <w:tab/>
        <w:t>matters that have been brought before the State Administrative Tribunal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operation of the Board.</w:t>
      </w:r>
    </w:p>
    <w:p>
      <w:pPr>
        <w:pStyle w:val="Footnotesection"/>
      </w:pPr>
      <w:r>
        <w:tab/>
        <w:t xml:space="preserve">[Section 112 inserted by No. 98 of 1985 s. 3; amended by No. 59 of 1995 s. 82; No. 55 of 2004 s. 1092.] </w:t>
      </w:r>
    </w:p>
    <w:p>
      <w:pPr>
        <w:pStyle w:val="Heading5"/>
        <w:rPr>
          <w:snapToGrid w:val="0"/>
        </w:rPr>
      </w:pPr>
      <w:bookmarkStart w:id="863" w:name="_Toc480623180"/>
      <w:bookmarkStart w:id="864" w:name="_Toc520186186"/>
      <w:bookmarkStart w:id="865" w:name="_Toc108238679"/>
      <w:bookmarkStart w:id="866" w:name="_Toc124125674"/>
      <w:bookmarkStart w:id="867" w:name="_Toc155600401"/>
      <w:r>
        <w:rPr>
          <w:rStyle w:val="CharSectno"/>
        </w:rPr>
        <w:t>113</w:t>
      </w:r>
      <w:r>
        <w:rPr>
          <w:snapToGrid w:val="0"/>
        </w:rPr>
        <w:t>.</w:t>
      </w:r>
      <w:r>
        <w:rPr>
          <w:snapToGrid w:val="0"/>
        </w:rPr>
        <w:tab/>
        <w:t>Further reports</w:t>
      </w:r>
      <w:bookmarkEnd w:id="863"/>
      <w:bookmarkEnd w:id="864"/>
      <w:bookmarkEnd w:id="865"/>
      <w:bookmarkEnd w:id="866"/>
      <w:bookmarkEnd w:id="867"/>
      <w:r>
        <w:rPr>
          <w:snapToGrid w:val="0"/>
        </w:rPr>
        <w:t xml:space="preserve"> </w:t>
      </w:r>
    </w:p>
    <w:p>
      <w:pPr>
        <w:pStyle w:val="Subsection"/>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868" w:name="_Toc480623181"/>
      <w:bookmarkStart w:id="869" w:name="_Toc520186187"/>
      <w:bookmarkStart w:id="870" w:name="_Toc108238680"/>
      <w:bookmarkStart w:id="871" w:name="_Toc124125675"/>
      <w:bookmarkStart w:id="872" w:name="_Toc155600402"/>
      <w:r>
        <w:rPr>
          <w:rStyle w:val="CharSectno"/>
        </w:rPr>
        <w:t>114</w:t>
      </w:r>
      <w:r>
        <w:rPr>
          <w:snapToGrid w:val="0"/>
        </w:rPr>
        <w:t>.</w:t>
      </w:r>
      <w:r>
        <w:rPr>
          <w:snapToGrid w:val="0"/>
        </w:rPr>
        <w:tab/>
        <w:t>Refund of fees</w:t>
      </w:r>
      <w:bookmarkEnd w:id="868"/>
      <w:bookmarkEnd w:id="869"/>
      <w:bookmarkEnd w:id="870"/>
      <w:bookmarkEnd w:id="871"/>
      <w:bookmarkEnd w:id="872"/>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Fund.</w:t>
      </w:r>
    </w:p>
    <w:p>
      <w:pPr>
        <w:pStyle w:val="Heading5"/>
        <w:rPr>
          <w:snapToGrid w:val="0"/>
        </w:rPr>
      </w:pPr>
      <w:bookmarkStart w:id="873" w:name="_Toc480623182"/>
      <w:bookmarkStart w:id="874" w:name="_Toc520186188"/>
      <w:bookmarkStart w:id="875" w:name="_Toc108238681"/>
      <w:bookmarkStart w:id="876" w:name="_Toc124125676"/>
      <w:bookmarkStart w:id="877" w:name="_Toc155600403"/>
      <w:r>
        <w:rPr>
          <w:rStyle w:val="CharSectno"/>
        </w:rPr>
        <w:t>115</w:t>
      </w:r>
      <w:r>
        <w:rPr>
          <w:snapToGrid w:val="0"/>
        </w:rPr>
        <w:t>.</w:t>
      </w:r>
      <w:r>
        <w:rPr>
          <w:snapToGrid w:val="0"/>
        </w:rPr>
        <w:tab/>
        <w:t>Immunity of Board and officers</w:t>
      </w:r>
      <w:bookmarkEnd w:id="873"/>
      <w:bookmarkEnd w:id="874"/>
      <w:bookmarkEnd w:id="875"/>
      <w:bookmarkEnd w:id="876"/>
      <w:bookmarkEnd w:id="877"/>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878" w:name="_Toc480623183"/>
      <w:bookmarkStart w:id="879" w:name="_Toc520186189"/>
      <w:bookmarkStart w:id="880" w:name="_Toc108238682"/>
      <w:bookmarkStart w:id="881" w:name="_Toc124125677"/>
      <w:bookmarkStart w:id="882" w:name="_Toc155600404"/>
      <w:r>
        <w:rPr>
          <w:rStyle w:val="CharSectno"/>
        </w:rPr>
        <w:t>116</w:t>
      </w:r>
      <w:r>
        <w:rPr>
          <w:snapToGrid w:val="0"/>
        </w:rPr>
        <w:t>.</w:t>
      </w:r>
      <w:r>
        <w:rPr>
          <w:snapToGrid w:val="0"/>
        </w:rPr>
        <w:tab/>
        <w:t>Secrecy</w:t>
      </w:r>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Heading5"/>
        <w:rPr>
          <w:snapToGrid w:val="0"/>
        </w:rPr>
      </w:pPr>
      <w:bookmarkStart w:id="883" w:name="_Toc480623184"/>
      <w:bookmarkStart w:id="884" w:name="_Toc520186190"/>
      <w:bookmarkStart w:id="885" w:name="_Toc108238683"/>
      <w:bookmarkStart w:id="886" w:name="_Toc124125678"/>
      <w:bookmarkStart w:id="887" w:name="_Toc155600405"/>
      <w:r>
        <w:rPr>
          <w:rStyle w:val="CharSectno"/>
        </w:rPr>
        <w:t>117</w:t>
      </w:r>
      <w:r>
        <w:rPr>
          <w:snapToGrid w:val="0"/>
        </w:rPr>
        <w:t>.</w:t>
      </w:r>
      <w:r>
        <w:rPr>
          <w:snapToGrid w:val="0"/>
        </w:rPr>
        <w:tab/>
        <w:t>Liability of directors of body corporate</w:t>
      </w:r>
      <w:bookmarkEnd w:id="883"/>
      <w:bookmarkEnd w:id="884"/>
      <w:bookmarkEnd w:id="885"/>
      <w:bookmarkEnd w:id="886"/>
      <w:bookmarkEnd w:id="887"/>
      <w:r>
        <w:rPr>
          <w:snapToGrid w:val="0"/>
        </w:rPr>
        <w:t xml:space="preserve"> </w:t>
      </w:r>
    </w:p>
    <w:p>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Heading5"/>
        <w:rPr>
          <w:snapToGrid w:val="0"/>
        </w:rPr>
      </w:pPr>
      <w:bookmarkStart w:id="888" w:name="_Toc480623185"/>
      <w:bookmarkStart w:id="889" w:name="_Toc520186191"/>
      <w:bookmarkStart w:id="890" w:name="_Toc108238684"/>
      <w:bookmarkStart w:id="891" w:name="_Toc124125679"/>
      <w:bookmarkStart w:id="892" w:name="_Toc155600406"/>
      <w:r>
        <w:rPr>
          <w:rStyle w:val="CharSectno"/>
        </w:rPr>
        <w:t>118</w:t>
      </w:r>
      <w:r>
        <w:rPr>
          <w:snapToGrid w:val="0"/>
        </w:rPr>
        <w:t>.</w:t>
      </w:r>
      <w:r>
        <w:rPr>
          <w:snapToGrid w:val="0"/>
        </w:rPr>
        <w:tab/>
        <w:t>Other rights or remedies</w:t>
      </w:r>
      <w:bookmarkEnd w:id="888"/>
      <w:bookmarkEnd w:id="889"/>
      <w:bookmarkEnd w:id="890"/>
      <w:bookmarkEnd w:id="891"/>
      <w:bookmarkEnd w:id="892"/>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893" w:name="_Toc480623186"/>
      <w:bookmarkStart w:id="894" w:name="_Toc520186192"/>
      <w:bookmarkStart w:id="895" w:name="_Toc108238685"/>
      <w:bookmarkStart w:id="896" w:name="_Toc124125680"/>
      <w:bookmarkStart w:id="897" w:name="_Toc155600407"/>
      <w:r>
        <w:rPr>
          <w:rStyle w:val="CharSectno"/>
        </w:rPr>
        <w:t>119</w:t>
      </w:r>
      <w:r>
        <w:rPr>
          <w:snapToGrid w:val="0"/>
        </w:rPr>
        <w:t>.</w:t>
      </w:r>
      <w:r>
        <w:rPr>
          <w:snapToGrid w:val="0"/>
        </w:rPr>
        <w:tab/>
        <w:t>No waiver of rights</w:t>
      </w:r>
      <w:bookmarkEnd w:id="893"/>
      <w:bookmarkEnd w:id="894"/>
      <w:bookmarkEnd w:id="895"/>
      <w:bookmarkEnd w:id="896"/>
      <w:bookmarkEnd w:id="897"/>
      <w:r>
        <w:rPr>
          <w:snapToGrid w:val="0"/>
        </w:rPr>
        <w:t xml:space="preserve"> </w:t>
      </w:r>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898" w:name="_Toc480623187"/>
      <w:bookmarkStart w:id="899" w:name="_Toc520186193"/>
      <w:bookmarkStart w:id="900" w:name="_Toc108238686"/>
      <w:bookmarkStart w:id="901" w:name="_Toc124125681"/>
      <w:bookmarkStart w:id="902" w:name="_Toc155600408"/>
      <w:r>
        <w:rPr>
          <w:rStyle w:val="CharSectno"/>
        </w:rPr>
        <w:t>120</w:t>
      </w:r>
      <w:r>
        <w:rPr>
          <w:snapToGrid w:val="0"/>
        </w:rPr>
        <w:t>.</w:t>
      </w:r>
      <w:r>
        <w:rPr>
          <w:snapToGrid w:val="0"/>
        </w:rPr>
        <w:tab/>
        <w:t>General penalty</w:t>
      </w:r>
      <w:bookmarkEnd w:id="898"/>
      <w:bookmarkEnd w:id="899"/>
      <w:bookmarkEnd w:id="900"/>
      <w:bookmarkEnd w:id="901"/>
      <w:bookmarkEnd w:id="902"/>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120 amended by No. 59 of 1995 s. 85.] </w:t>
      </w:r>
    </w:p>
    <w:p>
      <w:pPr>
        <w:pStyle w:val="Heading5"/>
        <w:rPr>
          <w:snapToGrid w:val="0"/>
        </w:rPr>
      </w:pPr>
      <w:bookmarkStart w:id="903" w:name="_Toc480623188"/>
      <w:bookmarkStart w:id="904" w:name="_Toc520186194"/>
      <w:bookmarkStart w:id="905" w:name="_Toc108238687"/>
      <w:bookmarkStart w:id="906" w:name="_Toc124125682"/>
      <w:bookmarkStart w:id="907" w:name="_Toc155600409"/>
      <w:r>
        <w:rPr>
          <w:rStyle w:val="CharSectno"/>
        </w:rPr>
        <w:t>121</w:t>
      </w:r>
      <w:r>
        <w:rPr>
          <w:snapToGrid w:val="0"/>
        </w:rPr>
        <w:t>.</w:t>
      </w:r>
      <w:r>
        <w:rPr>
          <w:snapToGrid w:val="0"/>
        </w:rPr>
        <w:tab/>
        <w:t>Proceedings</w:t>
      </w:r>
      <w:bookmarkEnd w:id="903"/>
      <w:bookmarkEnd w:id="904"/>
      <w:bookmarkEnd w:id="905"/>
      <w:bookmarkEnd w:id="906"/>
      <w:bookmarkEnd w:id="907"/>
      <w:r>
        <w:rPr>
          <w:snapToGrid w:val="0"/>
        </w:rPr>
        <w:t xml:space="preserve"> </w:t>
      </w:r>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t xml:space="preserve">An allegation in a charge of an offence against this Act that a person named therein was or was not licensed or the holder of a current triennial certificate at the time specified therein shall, in the absence of proof to the contrary, be taken as proved. </w:t>
      </w:r>
    </w:p>
    <w:p>
      <w:pPr>
        <w:pStyle w:val="Footnotesection"/>
      </w:pPr>
      <w:r>
        <w:tab/>
        <w:t xml:space="preserve">[Section 121 amended by No. 59 of 2004 s. 141; No. 84 of 2004 s. 80.] </w:t>
      </w:r>
    </w:p>
    <w:p>
      <w:pPr>
        <w:pStyle w:val="Heading5"/>
        <w:rPr>
          <w:snapToGrid w:val="0"/>
        </w:rPr>
      </w:pPr>
      <w:bookmarkStart w:id="908" w:name="_Toc480623189"/>
      <w:bookmarkStart w:id="909" w:name="_Toc520186195"/>
      <w:bookmarkStart w:id="910" w:name="_Toc108238688"/>
      <w:bookmarkStart w:id="911" w:name="_Toc124125683"/>
      <w:bookmarkStart w:id="912" w:name="_Toc155600410"/>
      <w:r>
        <w:rPr>
          <w:rStyle w:val="CharSectno"/>
        </w:rPr>
        <w:t>122</w:t>
      </w:r>
      <w:r>
        <w:rPr>
          <w:snapToGrid w:val="0"/>
        </w:rPr>
        <w:t>.</w:t>
      </w:r>
      <w:r>
        <w:rPr>
          <w:snapToGrid w:val="0"/>
        </w:rPr>
        <w:tab/>
        <w:t>Forms</w:t>
      </w:r>
      <w:bookmarkEnd w:id="908"/>
      <w:bookmarkEnd w:id="909"/>
      <w:bookmarkEnd w:id="910"/>
      <w:bookmarkEnd w:id="911"/>
      <w:bookmarkEnd w:id="912"/>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913" w:name="_Toc480623190"/>
      <w:bookmarkStart w:id="914" w:name="_Toc520186196"/>
      <w:bookmarkStart w:id="915" w:name="_Toc108238689"/>
      <w:bookmarkStart w:id="916" w:name="_Toc124125684"/>
      <w:bookmarkStart w:id="917" w:name="_Toc155600411"/>
      <w:r>
        <w:rPr>
          <w:rStyle w:val="CharSectno"/>
        </w:rPr>
        <w:t>123</w:t>
      </w:r>
      <w:r>
        <w:rPr>
          <w:snapToGrid w:val="0"/>
        </w:rPr>
        <w:t>.</w:t>
      </w:r>
      <w:r>
        <w:rPr>
          <w:snapToGrid w:val="0"/>
        </w:rPr>
        <w:tab/>
        <w:t>Regulations</w:t>
      </w:r>
      <w:bookmarkEnd w:id="913"/>
      <w:bookmarkEnd w:id="914"/>
      <w:bookmarkEnd w:id="915"/>
      <w:bookmarkEnd w:id="916"/>
      <w:bookmarkEnd w:id="917"/>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provide for all matters relating to the effecting of a Master Insurance Policy pursuant to section 35;</w:t>
      </w:r>
    </w:p>
    <w:p>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pPr>
        <w:pStyle w:val="Indenta"/>
        <w:rPr>
          <w:snapToGrid w:val="0"/>
        </w:rPr>
      </w:pPr>
      <w:r>
        <w:rPr>
          <w:snapToGrid w:val="0"/>
        </w:rPr>
        <w:tab/>
        <w:t>(g)</w:t>
      </w:r>
      <w:r>
        <w:rPr>
          <w:snapToGrid w:val="0"/>
        </w:rPr>
        <w:tab/>
        <w:t>prescribe the particulars to be recorded in the registers required to be kept under this Act;</w:t>
      </w:r>
    </w:p>
    <w:p>
      <w:pPr>
        <w:pStyle w:val="Indenta"/>
        <w:rPr>
          <w:snapToGrid w:val="0"/>
        </w:rPr>
      </w:pPr>
      <w:r>
        <w:rPr>
          <w:snapToGrid w:val="0"/>
        </w:rPr>
        <w:tab/>
        <w:t>(h)</w:t>
      </w:r>
      <w:r>
        <w:rPr>
          <w:snapToGrid w:val="0"/>
        </w:rPr>
        <w:tab/>
        <w:t>prescribe a body or class of bodies for the purposes of the definition of “authorised financial institution” in section 48;</w:t>
      </w:r>
    </w:p>
    <w:p>
      <w:pPr>
        <w:pStyle w:val="Indenta"/>
        <w:rPr>
          <w:snapToGrid w:val="0"/>
        </w:rPr>
      </w:pPr>
      <w:r>
        <w:rPr>
          <w:snapToGrid w:val="0"/>
        </w:rPr>
        <w:tab/>
        <w:t>(i)</w:t>
      </w:r>
      <w:r>
        <w:rPr>
          <w:snapToGrid w:val="0"/>
        </w:rPr>
        <w:tab/>
        <w:t>prescribe a rate of interest and the times at which such interest is to be paid for the purposes of section 49B(1);</w:t>
      </w:r>
    </w:p>
    <w:p>
      <w:pPr>
        <w:pStyle w:val="Indenta"/>
        <w:rPr>
          <w:snapToGrid w:val="0"/>
        </w:rPr>
      </w:pPr>
      <w:r>
        <w:rPr>
          <w:snapToGrid w:val="0"/>
        </w:rPr>
        <w:tab/>
        <w:t>(ia)</w:t>
      </w:r>
      <w:r>
        <w:rPr>
          <w:snapToGrid w:val="0"/>
        </w:rPr>
        <w:tab/>
        <w:t>prescribe the information to be contained in a receipt for the purposes of section 50(1)(a);</w:t>
      </w:r>
    </w:p>
    <w:p>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pPr>
        <w:pStyle w:val="Indenta"/>
        <w:rPr>
          <w:snapToGrid w:val="0"/>
        </w:rPr>
      </w:pPr>
      <w:r>
        <w:rPr>
          <w:snapToGrid w:val="0"/>
        </w:rPr>
        <w:tab/>
        <w:t>(ic)</w:t>
      </w:r>
      <w:r>
        <w:rPr>
          <w:snapToGrid w:val="0"/>
        </w:rPr>
        <w:tab/>
        <w:t>prescribe the times at which and the proportions in which moneys are to be paid or transferred under section 105;</w:t>
      </w:r>
    </w:p>
    <w:p>
      <w:pPr>
        <w:pStyle w:val="Indenta"/>
        <w:rPr>
          <w:snapToGrid w:val="0"/>
        </w:rPr>
      </w:pPr>
      <w:r>
        <w:rPr>
          <w:snapToGrid w:val="0"/>
        </w:rPr>
        <w:tab/>
        <w:t>(j)</w:t>
      </w:r>
      <w:r>
        <w:rPr>
          <w:snapToGrid w:val="0"/>
        </w:rPr>
        <w:tab/>
        <w:t>prescribe the manner of making claims against the Fidelity Guarantee Fund and the manner of verifying any claim including a condition that the claim be verified by statutory declaration;</w:t>
      </w:r>
    </w:p>
    <w:p>
      <w:pPr>
        <w:pStyle w:val="Ednotepara"/>
        <w:rPr>
          <w:snapToGrid w:val="0"/>
        </w:rPr>
      </w:pPr>
      <w:r>
        <w:rPr>
          <w:snapToGrid w:val="0"/>
        </w:rPr>
        <w:tab/>
        <w:t xml:space="preserve">[(k) </w:t>
      </w:r>
      <w:r>
        <w:rPr>
          <w:snapToGrid w:val="0"/>
        </w:rPr>
        <w:tab/>
        <w:t xml:space="preserve">deleted] </w:t>
      </w:r>
    </w:p>
    <w:p>
      <w:pPr>
        <w:pStyle w:val="Indenta"/>
        <w:rPr>
          <w:snapToGrid w:val="0"/>
        </w:rPr>
      </w:pPr>
      <w:r>
        <w:rPr>
          <w:snapToGrid w:val="0"/>
        </w:rPr>
        <w:tab/>
        <w:t>(l)</w:t>
      </w:r>
      <w:r>
        <w:rPr>
          <w:snapToGrid w:val="0"/>
        </w:rPr>
        <w:tab/>
        <w:t>prescribe penalties not exceeding $1 000 for any breach of the regulations.</w:t>
      </w:r>
    </w:p>
    <w:p>
      <w:pPr>
        <w:pStyle w:val="Footnotesection"/>
      </w:pPr>
      <w:r>
        <w:tab/>
        <w:t xml:space="preserve">[Section 123 amended by No. 65 of 1987 s. 43; No. 59 of 1995 s. 83 and 85; No. 55 of 2004 s. 1093.] </w:t>
      </w:r>
    </w:p>
    <w:p>
      <w:pPr>
        <w:pStyle w:val="Ednotepart"/>
      </w:pPr>
      <w:r>
        <w:t>[Part VIII (s. 124</w:t>
      </w:r>
      <w:r>
        <w:noBreakHyphen/>
        <w:t>126) omitted under the Reprints Act 1984 s. 7(4)(g).]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918" w:name="_Toc101080920"/>
      <w:bookmarkStart w:id="919" w:name="_Toc104782204"/>
      <w:bookmarkStart w:id="920" w:name="_Toc108238690"/>
      <w:bookmarkStart w:id="921" w:name="_Toc108238857"/>
      <w:bookmarkStart w:id="922" w:name="_Toc121566838"/>
      <w:bookmarkStart w:id="923" w:name="_Toc124125685"/>
      <w:bookmarkStart w:id="924" w:name="_Toc124141151"/>
      <w:bookmarkStart w:id="925" w:name="_Toc131414816"/>
      <w:bookmarkStart w:id="926" w:name="_Toc155600412"/>
      <w:r>
        <w:rPr>
          <w:rStyle w:val="CharSchNo"/>
        </w:rPr>
        <w:t>Schedule 1</w:t>
      </w:r>
      <w:bookmarkEnd w:id="918"/>
      <w:bookmarkEnd w:id="919"/>
      <w:bookmarkEnd w:id="920"/>
      <w:bookmarkEnd w:id="921"/>
      <w:bookmarkEnd w:id="922"/>
      <w:bookmarkEnd w:id="923"/>
      <w:bookmarkEnd w:id="924"/>
      <w:bookmarkEnd w:id="925"/>
      <w:bookmarkEnd w:id="926"/>
      <w:r>
        <w:t xml:space="preserve"> </w:t>
      </w:r>
    </w:p>
    <w:p>
      <w:pPr>
        <w:pStyle w:val="yMiscellaneousHeading"/>
        <w:rPr>
          <w:rStyle w:val="CharSchText"/>
          <w:b/>
          <w:bCs/>
          <w:sz w:val="24"/>
        </w:rPr>
      </w:pPr>
      <w:r>
        <w:rPr>
          <w:rStyle w:val="CharSchText"/>
          <w:b/>
          <w:bCs/>
          <w:sz w:val="24"/>
        </w:rPr>
        <w:t>Qualifications for grant of licence</w:t>
      </w:r>
    </w:p>
    <w:p>
      <w:pPr>
        <w:pStyle w:val="yShoulderClause"/>
        <w:rPr>
          <w:snapToGrid w:val="0"/>
        </w:rPr>
      </w:pPr>
      <w:r>
        <w:rPr>
          <w:snapToGrid w:val="0"/>
        </w:rPr>
        <w:t>[Sections 27, 28 and 29]</w:t>
      </w:r>
    </w:p>
    <w:p>
      <w:pPr>
        <w:pStyle w:val="yHeading5"/>
        <w:outlineLvl w:val="9"/>
        <w:rPr>
          <w:snapToGrid w:val="0"/>
        </w:rPr>
      </w:pPr>
      <w:bookmarkStart w:id="927" w:name="_Toc520186197"/>
      <w:bookmarkStart w:id="928" w:name="_Toc108238691"/>
      <w:bookmarkStart w:id="929" w:name="_Toc124125686"/>
      <w:bookmarkStart w:id="930" w:name="_Toc155600413"/>
      <w:r>
        <w:rPr>
          <w:rStyle w:val="CharSClsNo"/>
        </w:rPr>
        <w:t>1</w:t>
      </w:r>
      <w:r>
        <w:rPr>
          <w:snapToGrid w:val="0"/>
        </w:rPr>
        <w:t>.</w:t>
      </w:r>
      <w:r>
        <w:rPr>
          <w:snapToGrid w:val="0"/>
        </w:rPr>
        <w:tab/>
        <w:t>Real estate settlement agent</w:t>
      </w:r>
      <w:bookmarkEnd w:id="927"/>
      <w:bookmarkEnd w:id="928"/>
      <w:bookmarkEnd w:id="929"/>
      <w:bookmarkEnd w:id="930"/>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real estate settlement agent and the duties and liabilities of a real estate settlement agent and who satisfies the Board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real estate settlement agent’s licence.</w:t>
      </w:r>
    </w:p>
    <w:p>
      <w:pPr>
        <w:pStyle w:val="ySubsection"/>
        <w:keepNext/>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real estate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real estate transactions immediately prior to the appointed day,</w:t>
      </w:r>
    </w:p>
    <w:p>
      <w:pPr>
        <w:pStyle w:val="ySubsection"/>
        <w:rPr>
          <w:snapToGrid w:val="0"/>
        </w:rPr>
      </w:pPr>
      <w:r>
        <w:rPr>
          <w:snapToGrid w:val="0"/>
        </w:rPr>
        <w:tab/>
      </w:r>
      <w:r>
        <w:rPr>
          <w:snapToGrid w:val="0"/>
        </w:rPr>
        <w:tab/>
        <w:t>is, subject to this Act, qualified for the grant of a real estate settlement agent’s licence.</w:t>
      </w:r>
    </w:p>
    <w:p>
      <w:pPr>
        <w:pStyle w:val="yFootnotesection"/>
        <w:keepLines w:val="0"/>
      </w:pPr>
      <w:r>
        <w:tab/>
        <w:t>[Clause 1 amended by No. 64 of 1982 s. 5(a); No. 28 of 2003 s. 183(1).]</w:t>
      </w:r>
    </w:p>
    <w:p>
      <w:pPr>
        <w:pStyle w:val="yHeading5"/>
        <w:outlineLvl w:val="9"/>
        <w:rPr>
          <w:snapToGrid w:val="0"/>
        </w:rPr>
      </w:pPr>
      <w:bookmarkStart w:id="931" w:name="_Toc520186198"/>
      <w:bookmarkStart w:id="932" w:name="_Toc108238692"/>
      <w:bookmarkStart w:id="933" w:name="_Toc124125687"/>
      <w:bookmarkStart w:id="934" w:name="_Toc155600414"/>
      <w:r>
        <w:rPr>
          <w:rStyle w:val="CharSClsNo"/>
        </w:rPr>
        <w:t>2</w:t>
      </w:r>
      <w:r>
        <w:rPr>
          <w:snapToGrid w:val="0"/>
        </w:rPr>
        <w:t xml:space="preserve">. </w:t>
      </w:r>
      <w:r>
        <w:rPr>
          <w:snapToGrid w:val="0"/>
        </w:rPr>
        <w:tab/>
        <w:t>Business settlement agent</w:t>
      </w:r>
      <w:bookmarkEnd w:id="931"/>
      <w:bookmarkEnd w:id="932"/>
      <w:bookmarkEnd w:id="933"/>
      <w:bookmarkEnd w:id="934"/>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has passed, subject to approved exemptions, the prescribed examinations relating to the carrying on and conduct of the business of a business settlement agent and the duties and liabilities of a business settlement agent and who has satisfied the Board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w:t>
      </w:r>
    </w:p>
    <w:p>
      <w:pPr>
        <w:pStyle w:val="yIndenta"/>
        <w:rPr>
          <w:snapToGrid w:val="0"/>
        </w:rPr>
      </w:pPr>
      <w:r>
        <w:rPr>
          <w:snapToGrid w:val="0"/>
        </w:rPr>
        <w:tab/>
        <w:t>(b)</w:t>
      </w:r>
      <w:r>
        <w:rPr>
          <w:snapToGrid w:val="0"/>
        </w:rPr>
        <w:tab/>
        <w:t>who is a legal practitioner;</w:t>
      </w:r>
    </w:p>
    <w:p>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w:t>
      </w:r>
    </w:p>
    <w:p>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rPr>
          <w:snapToGrid w:val="0"/>
        </w:rPr>
      </w:pPr>
      <w:r>
        <w:rPr>
          <w:snapToGrid w:val="0"/>
        </w:rPr>
        <w:tab/>
      </w:r>
      <w:r>
        <w:rPr>
          <w:snapToGrid w:val="0"/>
        </w:rPr>
        <w:tab/>
        <w:t>is, subject to this Act, qualified for the grant of a business settlement agent’s licence.</w:t>
      </w:r>
    </w:p>
    <w:p>
      <w:pPr>
        <w:pStyle w:val="ySubsection"/>
        <w:rPr>
          <w:snapToGrid w:val="0"/>
        </w:rPr>
      </w:pPr>
      <w:r>
        <w:rPr>
          <w:snapToGrid w:val="0"/>
        </w:rPr>
        <w:tab/>
        <w:t>(2)</w:t>
      </w:r>
      <w:r>
        <w:rPr>
          <w:snapToGrid w:val="0"/>
        </w:rPr>
        <w:tab/>
        <w:t>Until a date 3 years after the appointed day a person — </w:t>
      </w:r>
    </w:p>
    <w:p>
      <w:pPr>
        <w:pStyle w:val="yIndenta"/>
        <w:rPr>
          <w:snapToGrid w:val="0"/>
        </w:rPr>
      </w:pPr>
      <w:r>
        <w:rPr>
          <w:snapToGrid w:val="0"/>
        </w:rPr>
        <w:tab/>
        <w:t>(a)</w:t>
      </w:r>
      <w:r>
        <w:rPr>
          <w:snapToGrid w:val="0"/>
        </w:rPr>
        <w:tab/>
        <w:t>who satisfies the Board that he has had sufficient, and not less than 2 years, continuous practical experience (whether as a principal or an employee) in arranging and effecting settlements of business transactions immediately prior to the appointed day and further sits for and passes such written and oral examinations as are set by the Board; or</w:t>
      </w:r>
    </w:p>
    <w:p>
      <w:pPr>
        <w:pStyle w:val="yIndenta"/>
        <w:rPr>
          <w:snapToGrid w:val="0"/>
        </w:rPr>
      </w:pPr>
      <w:r>
        <w:rPr>
          <w:snapToGrid w:val="0"/>
        </w:rPr>
        <w:tab/>
        <w:t>(b)</w:t>
      </w:r>
      <w:r>
        <w:rPr>
          <w:snapToGrid w:val="0"/>
        </w:rPr>
        <w:tab/>
        <w:t>who satisfies the Board that he has had sufficient, and not less than 5 years, continuous practical experience (whether as a principal or an employee) in arranging and effecting settlements of business transactions immediately prior to the appointed day,</w:t>
      </w:r>
    </w:p>
    <w:p>
      <w:pPr>
        <w:pStyle w:val="ySubsection"/>
        <w:rPr>
          <w:snapToGrid w:val="0"/>
        </w:rPr>
      </w:pPr>
      <w:r>
        <w:rPr>
          <w:snapToGrid w:val="0"/>
        </w:rPr>
        <w:tab/>
      </w:r>
      <w:r>
        <w:rPr>
          <w:snapToGrid w:val="0"/>
        </w:rPr>
        <w:tab/>
        <w:t>is, subject to this Act, qualified for the grant of a business settlement agent’s licence.</w:t>
      </w:r>
    </w:p>
    <w:p>
      <w:pPr>
        <w:pStyle w:val="yFootnotesection"/>
      </w:pPr>
      <w:bookmarkStart w:id="935" w:name="_Toc520186199"/>
      <w:r>
        <w:tab/>
        <w:t>[Clause 2 amended by No. 64 of 1982 s. 5(b); No. 28 of 2003 s. 183(2).]</w:t>
      </w:r>
    </w:p>
    <w:p>
      <w:pPr>
        <w:pStyle w:val="yHeading5"/>
        <w:spacing w:before="120"/>
        <w:outlineLvl w:val="9"/>
        <w:rPr>
          <w:snapToGrid w:val="0"/>
        </w:rPr>
      </w:pPr>
      <w:bookmarkStart w:id="936" w:name="_Toc108238693"/>
      <w:bookmarkStart w:id="937" w:name="_Toc124125688"/>
      <w:bookmarkStart w:id="938" w:name="_Toc155600415"/>
      <w:r>
        <w:rPr>
          <w:rStyle w:val="CharSClsNo"/>
        </w:rPr>
        <w:t>3</w:t>
      </w:r>
      <w:r>
        <w:rPr>
          <w:snapToGrid w:val="0"/>
        </w:rPr>
        <w:t xml:space="preserve">. </w:t>
      </w:r>
      <w:r>
        <w:rPr>
          <w:snapToGrid w:val="0"/>
        </w:rPr>
        <w:tab/>
        <w:t>Licence by reason of qualification under clauses 1(1)(c) and 2(1)(c)</w:t>
      </w:r>
      <w:bookmarkEnd w:id="935"/>
      <w:bookmarkEnd w:id="936"/>
      <w:bookmarkEnd w:id="937"/>
      <w:bookmarkEnd w:id="938"/>
    </w:p>
    <w:p>
      <w:pPr>
        <w:pStyle w:val="ySubsection"/>
        <w:rPr>
          <w:snapToGrid w:val="0"/>
        </w:rPr>
      </w:pPr>
      <w:r>
        <w:rPr>
          <w:iCs/>
          <w:snapToGrid w:val="0"/>
        </w:rPr>
        <w:tab/>
      </w:r>
      <w:r>
        <w:rPr>
          <w:iCs/>
          <w:snapToGrid w:val="0"/>
        </w:rPr>
        <w:tab/>
      </w:r>
      <w:r>
        <w:rPr>
          <w:snapToGrid w:val="0"/>
        </w:rPr>
        <w:t>Such a licence shall not be effective any longer than is necessary for the licensee to perform his functions, exercise his powers, and carry out his duties as executor, administrator, or trustee of the deceased licensee.</w:t>
      </w:r>
    </w:p>
    <w:p>
      <w:pPr>
        <w:pStyle w:val="yHeading5"/>
        <w:spacing w:before="120"/>
        <w:outlineLvl w:val="9"/>
        <w:rPr>
          <w:snapToGrid w:val="0"/>
        </w:rPr>
      </w:pPr>
      <w:bookmarkStart w:id="939" w:name="_Toc520186200"/>
      <w:bookmarkStart w:id="940" w:name="_Toc108238694"/>
      <w:bookmarkStart w:id="941" w:name="_Toc124125689"/>
      <w:bookmarkStart w:id="942" w:name="_Toc155600416"/>
      <w:r>
        <w:rPr>
          <w:rStyle w:val="CharSClsNo"/>
        </w:rPr>
        <w:t>4</w:t>
      </w:r>
      <w:r>
        <w:rPr>
          <w:snapToGrid w:val="0"/>
        </w:rPr>
        <w:t>.</w:t>
      </w:r>
      <w:r>
        <w:rPr>
          <w:snapToGrid w:val="0"/>
        </w:rPr>
        <w:tab/>
        <w:t>Licence by reason of qualification under clauses 1(1)(d) and 2(1)(d)</w:t>
      </w:r>
      <w:bookmarkEnd w:id="939"/>
      <w:bookmarkEnd w:id="940"/>
      <w:bookmarkEnd w:id="941"/>
      <w:bookmarkEnd w:id="942"/>
    </w:p>
    <w:p>
      <w:pPr>
        <w:pStyle w:val="ySubsection"/>
        <w:rPr>
          <w:snapToGrid w:val="0"/>
        </w:rPr>
      </w:pPr>
      <w:r>
        <w:rPr>
          <w:snapToGrid w:val="0"/>
        </w:rPr>
        <w:tab/>
      </w:r>
      <w:r>
        <w:rPr>
          <w:snapToGrid w:val="0"/>
        </w:rPr>
        <w:tab/>
        <w:t>Such a licence</w:t>
      </w:r>
      <w:r>
        <w:t xml:space="preserve"> 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bookmarkStart w:id="943" w:name="_Toc520186201"/>
      <w:r>
        <w:tab/>
        <w:t>[Clause 4 amended by No. 28 of 2003 s. 183(3).]</w:t>
      </w:r>
    </w:p>
    <w:p>
      <w:pPr>
        <w:pStyle w:val="yHeading5"/>
        <w:outlineLvl w:val="9"/>
        <w:rPr>
          <w:snapToGrid w:val="0"/>
        </w:rPr>
      </w:pPr>
      <w:bookmarkStart w:id="944" w:name="_Toc108238695"/>
      <w:bookmarkStart w:id="945" w:name="_Toc124125690"/>
      <w:bookmarkStart w:id="946" w:name="_Toc155600417"/>
      <w:r>
        <w:rPr>
          <w:rStyle w:val="CharSClsNo"/>
        </w:rPr>
        <w:t>5</w:t>
      </w:r>
      <w:r>
        <w:rPr>
          <w:snapToGrid w:val="0"/>
        </w:rPr>
        <w:t xml:space="preserve">. </w:t>
      </w:r>
      <w:r>
        <w:rPr>
          <w:snapToGrid w:val="0"/>
        </w:rPr>
        <w:tab/>
        <w:t>Death or incapacity of agent</w:t>
      </w:r>
      <w:bookmarkEnd w:id="943"/>
      <w:bookmarkEnd w:id="944"/>
      <w:bookmarkEnd w:id="945"/>
      <w:bookmarkEnd w:id="946"/>
      <w:r>
        <w:rPr>
          <w:snapToGrid w:val="0"/>
        </w:rPr>
        <w:t xml:space="preserve"> </w:t>
      </w:r>
    </w:p>
    <w:p>
      <w:pPr>
        <w:pStyle w:val="ySubsection"/>
      </w:pPr>
      <w:r>
        <w:rPr>
          <w:snapToGrid w:val="0"/>
        </w:rPr>
        <w:tab/>
        <w:t>(1)</w:t>
      </w:r>
      <w:r>
        <w:rPr>
          <w:snapToGrid w:val="0"/>
        </w:rPr>
        <w:tab/>
        <w:t xml:space="preserve">A person who is </w:t>
      </w:r>
      <w:r>
        <w:t xml:space="preserve">not — </w:t>
      </w:r>
    </w:p>
    <w:p>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pPr>
        <w:pStyle w:val="yIndenta"/>
      </w:pPr>
      <w:r>
        <w:tab/>
        <w:t>(b)</w:t>
      </w:r>
      <w:r>
        <w:tab/>
        <w:t>in respect of an incapacitated licensee, the spouse or de facto partner of the licensee, within the meaning of clause 1(1)(d) or 2(1)(d) as is relevant, of the licensee,</w:t>
      </w:r>
    </w:p>
    <w:p>
      <w:pPr>
        <w:pStyle w:val="ySubsection"/>
        <w:rPr>
          <w:snapToGrid w:val="0"/>
        </w:rPr>
      </w:pPr>
      <w:r>
        <w:tab/>
      </w:r>
      <w:r>
        <w:tab/>
        <w:t>may</w:t>
      </w:r>
      <w:r>
        <w:rPr>
          <w:snapToGrid w:val="0"/>
        </w:rPr>
        <w:t>, with the written permission of the Registrar, conduct the business of that licensee for such period not exceeding 3 months as is specified in the written permission notwithstanding that he is not otherwise qualified to hold a licence.</w:t>
      </w:r>
    </w:p>
    <w:p>
      <w:pPr>
        <w:pStyle w:val="ySubsection"/>
        <w:rPr>
          <w:snapToGrid w:val="0"/>
        </w:rPr>
      </w:pPr>
      <w:r>
        <w:rPr>
          <w:snapToGrid w:val="0"/>
        </w:rPr>
        <w:tab/>
        <w:t>(2)</w:t>
      </w:r>
      <w:r>
        <w:rPr>
          <w:snapToGrid w:val="0"/>
        </w:rPr>
        <w:tab/>
        <w:t>The Registrar shall not give his written permission for the purposes of subclause (1) unless — </w:t>
      </w:r>
    </w:p>
    <w:p>
      <w:pPr>
        <w:pStyle w:val="yIndenta"/>
        <w:rPr>
          <w:snapToGrid w:val="0"/>
        </w:rPr>
      </w:pPr>
      <w:r>
        <w:rPr>
          <w:snapToGrid w:val="0"/>
        </w:rPr>
        <w:tab/>
        <w:t>(a)</w:t>
      </w:r>
      <w:r>
        <w:rPr>
          <w:snapToGrid w:val="0"/>
        </w:rPr>
        <w:tab/>
        <w:t>the Registrar receives an application in writing signed by the person seeking to carry on the business; and</w:t>
      </w:r>
    </w:p>
    <w:p>
      <w:pPr>
        <w:pStyle w:val="yIndenta"/>
        <w:rPr>
          <w:snapToGrid w:val="0"/>
        </w:rPr>
      </w:pPr>
      <w:r>
        <w:rPr>
          <w:snapToGrid w:val="0"/>
        </w:rPr>
        <w:tab/>
        <w:t>(b)</w:t>
      </w:r>
      <w:r>
        <w:rPr>
          <w:snapToGrid w:val="0"/>
        </w:rPr>
        <w:tab/>
        <w:t>the Registrar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pPr>
        <w:pStyle w:val="ySubsection"/>
        <w:rPr>
          <w:snapToGrid w:val="0"/>
        </w:rPr>
      </w:pPr>
      <w:r>
        <w:rPr>
          <w:snapToGrid w:val="0"/>
        </w:rPr>
        <w:tab/>
        <w:t>(3)</w:t>
      </w:r>
      <w:r>
        <w:rPr>
          <w:snapToGrid w:val="0"/>
        </w:rPr>
        <w:tab/>
        <w:t xml:space="preserve">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 </w:t>
      </w:r>
    </w:p>
    <w:p>
      <w:pPr>
        <w:pStyle w:val="yFootnotesection"/>
      </w:pPr>
      <w:r>
        <w:tab/>
        <w:t>[Clause 5 amended by No. 28 of 2003 s. 183(4).]</w:t>
      </w:r>
    </w:p>
    <w:p>
      <w:pPr>
        <w:pStyle w:val="yMiscellaneousHeading"/>
        <w:rPr>
          <w:sz w:val="24"/>
        </w:rPr>
      </w:pPr>
      <w:r>
        <w:rPr>
          <w:rStyle w:val="CharSchText"/>
          <w:b/>
          <w:bCs/>
          <w:sz w:val="24"/>
        </w:rPr>
        <w:t>Disqualification</w:t>
      </w:r>
    </w:p>
    <w:p>
      <w:pPr>
        <w:pStyle w:val="yShoulderClause"/>
        <w:rPr>
          <w:snapToGrid w:val="0"/>
        </w:rPr>
      </w:pPr>
      <w:r>
        <w:rPr>
          <w:snapToGrid w:val="0"/>
        </w:rPr>
        <w:t>[Sections 27, 28 and 29]</w:t>
      </w:r>
    </w:p>
    <w:p>
      <w:pPr>
        <w:pStyle w:val="yHeading5"/>
        <w:outlineLvl w:val="9"/>
        <w:rPr>
          <w:snapToGrid w:val="0"/>
        </w:rPr>
      </w:pPr>
      <w:bookmarkStart w:id="947" w:name="_Toc520186202"/>
      <w:bookmarkStart w:id="948" w:name="_Toc108238696"/>
      <w:bookmarkStart w:id="949" w:name="_Toc124125691"/>
      <w:bookmarkStart w:id="950" w:name="_Toc155600418"/>
      <w:r>
        <w:rPr>
          <w:rStyle w:val="CharSClsNo"/>
        </w:rPr>
        <w:t>6</w:t>
      </w:r>
      <w:r>
        <w:rPr>
          <w:snapToGrid w:val="0"/>
        </w:rPr>
        <w:t xml:space="preserve">. </w:t>
      </w:r>
      <w:r>
        <w:rPr>
          <w:snapToGrid w:val="0"/>
        </w:rPr>
        <w:tab/>
        <w:t>Definition of “business licence”</w:t>
      </w:r>
      <w:bookmarkEnd w:id="947"/>
      <w:bookmarkEnd w:id="948"/>
      <w:bookmarkEnd w:id="949"/>
      <w:bookmarkEnd w:id="950"/>
      <w:r>
        <w:rPr>
          <w:snapToGrid w:val="0"/>
        </w:rPr>
        <w:t xml:space="preserve"> </w:t>
      </w:r>
    </w:p>
    <w:p>
      <w:pPr>
        <w:pStyle w:val="ySubsection"/>
        <w:rPr>
          <w:snapToGrid w:val="0"/>
        </w:rPr>
      </w:pPr>
      <w:r>
        <w:rPr>
          <w:snapToGrid w:val="0"/>
        </w:rPr>
        <w:tab/>
      </w:r>
      <w:r>
        <w:rPr>
          <w:snapToGrid w:val="0"/>
        </w:rPr>
        <w:tab/>
        <w:t xml:space="preserve">In clauses 7, 8, and 9 </w:t>
      </w:r>
      <w:r>
        <w:rPr>
          <w:b/>
          <w:snapToGrid w:val="0"/>
        </w:rPr>
        <w:t>“</w:t>
      </w:r>
      <w:r>
        <w:rPr>
          <w:rStyle w:val="CharDefText"/>
        </w:rPr>
        <w:t>business licence</w:t>
      </w:r>
      <w:r>
        <w:rPr>
          <w:b/>
          <w:snapToGrid w:val="0"/>
        </w:rPr>
        <w:t>”</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4</w:t>
      </w:r>
      <w:r>
        <w:rPr>
          <w:snapToGrid w:val="0"/>
        </w:rPr>
        <w:t>, or a similar licence or authority held under a law of another State or a Territory of the Commonwealth regulating the business of finance brokers, real estate agents or business agents.</w:t>
      </w:r>
    </w:p>
    <w:p>
      <w:pPr>
        <w:pStyle w:val="yHeading5"/>
        <w:outlineLvl w:val="9"/>
        <w:rPr>
          <w:snapToGrid w:val="0"/>
        </w:rPr>
      </w:pPr>
      <w:bookmarkStart w:id="951" w:name="_Toc520186203"/>
      <w:bookmarkStart w:id="952" w:name="_Toc108238697"/>
      <w:bookmarkStart w:id="953" w:name="_Toc124125692"/>
      <w:bookmarkStart w:id="954" w:name="_Toc155600419"/>
      <w:r>
        <w:rPr>
          <w:rStyle w:val="CharSClsNo"/>
        </w:rPr>
        <w:t>7</w:t>
      </w:r>
      <w:r>
        <w:rPr>
          <w:snapToGrid w:val="0"/>
        </w:rPr>
        <w:t xml:space="preserve">. </w:t>
      </w:r>
      <w:r>
        <w:rPr>
          <w:snapToGrid w:val="0"/>
        </w:rPr>
        <w:tab/>
        <w:t>Disqualification of natural persons</w:t>
      </w:r>
      <w:bookmarkEnd w:id="951"/>
      <w:bookmarkEnd w:id="952"/>
      <w:bookmarkEnd w:id="953"/>
      <w:bookmarkEnd w:id="954"/>
      <w:r>
        <w:rPr>
          <w:snapToGrid w:val="0"/>
        </w:rPr>
        <w:t xml:space="preserve"> </w:t>
      </w:r>
    </w:p>
    <w:p>
      <w:pPr>
        <w:pStyle w:val="ySubsection"/>
        <w:rPr>
          <w:snapToGrid w:val="0"/>
        </w:rPr>
      </w:pPr>
      <w:r>
        <w:rPr>
          <w:snapToGrid w:val="0"/>
        </w:rPr>
        <w:tab/>
      </w:r>
      <w:r>
        <w:rPr>
          <w:snapToGrid w:val="0"/>
        </w:rPr>
        <w:tab/>
        <w:t>The Board shall not grant a licence on the application of a person if within the period of 5 years immediately preceding the date of the application — </w:t>
      </w:r>
    </w:p>
    <w:p>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w:t>
      </w:r>
    </w:p>
    <w:p>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pPr>
        <w:pStyle w:val="yIndenta"/>
        <w:rPr>
          <w:snapToGrid w:val="0"/>
        </w:rPr>
      </w:pPr>
      <w:r>
        <w:rPr>
          <w:snapToGrid w:val="0"/>
        </w:rPr>
        <w:tab/>
        <w:t>(c)</w:t>
      </w:r>
      <w:r>
        <w:rPr>
          <w:snapToGrid w:val="0"/>
        </w:rPr>
        <w:tab/>
        <w:t>the applicant has been struck off the roll of legal practitioners in this State or elsewhere in the Commonwealth.</w:t>
      </w:r>
    </w:p>
    <w:p>
      <w:pPr>
        <w:pStyle w:val="yHeading5"/>
        <w:outlineLvl w:val="9"/>
        <w:rPr>
          <w:snapToGrid w:val="0"/>
        </w:rPr>
      </w:pPr>
      <w:bookmarkStart w:id="955" w:name="_Toc520186204"/>
      <w:bookmarkStart w:id="956" w:name="_Toc108238698"/>
      <w:bookmarkStart w:id="957" w:name="_Toc124125693"/>
      <w:bookmarkStart w:id="958" w:name="_Toc155600420"/>
      <w:r>
        <w:rPr>
          <w:rStyle w:val="CharSClsNo"/>
        </w:rPr>
        <w:t>8</w:t>
      </w:r>
      <w:r>
        <w:rPr>
          <w:snapToGrid w:val="0"/>
        </w:rPr>
        <w:t xml:space="preserve">. </w:t>
      </w:r>
      <w:r>
        <w:rPr>
          <w:snapToGrid w:val="0"/>
        </w:rPr>
        <w:tab/>
        <w:t>Disqualification of bodies corporate</w:t>
      </w:r>
      <w:bookmarkEnd w:id="955"/>
      <w:bookmarkEnd w:id="956"/>
      <w:bookmarkEnd w:id="957"/>
      <w:bookmarkEnd w:id="958"/>
      <w:r>
        <w:rPr>
          <w:snapToGrid w:val="0"/>
        </w:rPr>
        <w:t xml:space="preserve"> </w:t>
      </w:r>
    </w:p>
    <w:p>
      <w:pPr>
        <w:pStyle w:val="ySubsection"/>
        <w:rPr>
          <w:snapToGrid w:val="0"/>
        </w:rPr>
      </w:pPr>
      <w:r>
        <w:rPr>
          <w:snapToGrid w:val="0"/>
        </w:rPr>
        <w:tab/>
      </w:r>
      <w:r>
        <w:rPr>
          <w:snapToGrid w:val="0"/>
        </w:rPr>
        <w:tab/>
        <w:t>The Board shall not grant a licence on the application of a body corporate if — </w:t>
      </w:r>
    </w:p>
    <w:p>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w:t>
      </w:r>
    </w:p>
    <w:p>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pPr>
        <w:pStyle w:val="yHeading5"/>
        <w:outlineLvl w:val="9"/>
        <w:rPr>
          <w:snapToGrid w:val="0"/>
        </w:rPr>
      </w:pPr>
      <w:bookmarkStart w:id="959" w:name="_Toc520186205"/>
      <w:bookmarkStart w:id="960" w:name="_Toc108238699"/>
      <w:bookmarkStart w:id="961" w:name="_Toc124125694"/>
      <w:bookmarkStart w:id="962" w:name="_Toc155600421"/>
      <w:r>
        <w:rPr>
          <w:rStyle w:val="CharSClsNo"/>
        </w:rPr>
        <w:t>9</w:t>
      </w:r>
      <w:r>
        <w:rPr>
          <w:snapToGrid w:val="0"/>
        </w:rPr>
        <w:t xml:space="preserve">. </w:t>
      </w:r>
      <w:r>
        <w:rPr>
          <w:snapToGrid w:val="0"/>
        </w:rPr>
        <w:tab/>
        <w:t>Disqualification of firms</w:t>
      </w:r>
      <w:bookmarkEnd w:id="959"/>
      <w:bookmarkEnd w:id="960"/>
      <w:bookmarkEnd w:id="961"/>
      <w:bookmarkEnd w:id="962"/>
      <w:r>
        <w:rPr>
          <w:snapToGrid w:val="0"/>
        </w:rPr>
        <w:t xml:space="preserve"> </w:t>
      </w:r>
    </w:p>
    <w:p>
      <w:pPr>
        <w:pStyle w:val="ySubsection"/>
        <w:rPr>
          <w:snapToGrid w:val="0"/>
        </w:rPr>
      </w:pPr>
      <w:r>
        <w:rPr>
          <w:snapToGrid w:val="0"/>
        </w:rPr>
        <w:tab/>
      </w:r>
      <w:r>
        <w:rPr>
          <w:snapToGrid w:val="0"/>
        </w:rPr>
        <w:tab/>
        <w:t>The Board shall not grant a licence on the application of a firm if — </w:t>
      </w:r>
    </w:p>
    <w:p>
      <w:pPr>
        <w:pStyle w:val="yIndenta"/>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pPr>
        <w:pStyle w:val="yIndenta"/>
        <w:rPr>
          <w:snapToGrid w:val="0"/>
        </w:rPr>
      </w:pPr>
      <w:r>
        <w:rPr>
          <w:snapToGrid w:val="0"/>
        </w:rPr>
        <w:tab/>
        <w:t>(b)</w:t>
      </w:r>
      <w:r>
        <w:rPr>
          <w:snapToGrid w:val="0"/>
        </w:rPr>
        <w:tab/>
        <w:t>within the period of 5 years immediately preceding the date of the application a business licence held by the applicant, or by a firm that was in the opinion of the Board substantially the same as the applicant, has been suspended or cancelled by reason of any offence or misconduct connected with the operation of the business carried on pursuant to the licence.</w:t>
      </w:r>
    </w:p>
    <w:p>
      <w:pPr>
        <w:pStyle w:val="yMiscellaneousHeading"/>
        <w:rPr>
          <w:rStyle w:val="CharSchText"/>
          <w:b/>
          <w:bCs/>
          <w:sz w:val="24"/>
        </w:rPr>
      </w:pPr>
      <w:r>
        <w:rPr>
          <w:rStyle w:val="CharSchText"/>
          <w:b/>
          <w:bCs/>
          <w:sz w:val="24"/>
        </w:rPr>
        <w:t>Temporary arrangements</w:t>
      </w:r>
    </w:p>
    <w:p>
      <w:pPr>
        <w:pStyle w:val="yShoulderClause"/>
        <w:keepNext/>
        <w:rPr>
          <w:snapToGrid w:val="0"/>
        </w:rPr>
      </w:pPr>
      <w:r>
        <w:rPr>
          <w:snapToGrid w:val="0"/>
        </w:rPr>
        <w:t>[Sections 28 and 29]</w:t>
      </w:r>
    </w:p>
    <w:p>
      <w:pPr>
        <w:pStyle w:val="yHeading5"/>
        <w:outlineLvl w:val="9"/>
        <w:rPr>
          <w:snapToGrid w:val="0"/>
        </w:rPr>
      </w:pPr>
      <w:bookmarkStart w:id="963" w:name="_Toc520186206"/>
      <w:bookmarkStart w:id="964" w:name="_Toc108238700"/>
      <w:bookmarkStart w:id="965" w:name="_Toc124125695"/>
      <w:bookmarkStart w:id="966" w:name="_Toc155600422"/>
      <w:r>
        <w:rPr>
          <w:rStyle w:val="CharSClsNo"/>
        </w:rPr>
        <w:t>10</w:t>
      </w:r>
      <w:r>
        <w:rPr>
          <w:snapToGrid w:val="0"/>
        </w:rPr>
        <w:t xml:space="preserve">. </w:t>
      </w:r>
      <w:r>
        <w:rPr>
          <w:snapToGrid w:val="0"/>
        </w:rPr>
        <w:tab/>
        <w:t>Death or withdrawal of partner in a firm or director of a body corporate</w:t>
      </w:r>
      <w:bookmarkEnd w:id="963"/>
      <w:bookmarkEnd w:id="964"/>
      <w:bookmarkEnd w:id="965"/>
      <w:bookmarkEnd w:id="966"/>
      <w:r>
        <w:rPr>
          <w:snapToGrid w:val="0"/>
        </w:rPr>
        <w:t xml:space="preserve"> </w:t>
      </w:r>
    </w:p>
    <w:p>
      <w:pPr>
        <w:pStyle w:val="ySubsection"/>
        <w:rPr>
          <w:snapToGrid w:val="0"/>
        </w:rPr>
      </w:pPr>
      <w:r>
        <w:rPr>
          <w:snapToGrid w:val="0"/>
        </w:rPr>
        <w:tab/>
        <w:t>(1)</w:t>
      </w:r>
      <w:r>
        <w:rPr>
          <w:snapToGrid w:val="0"/>
        </w:rPr>
        <w:tab/>
        <w:t>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Registrar written notice to that effect, and the firm or body corporate may, on such terms as the Board may notify to the firm or body corporate, carry on the business for a period of 3 months after the death or withdrawal or until other arrangements are made to comply with the Act, whichever is the sooner.</w:t>
      </w:r>
    </w:p>
    <w:p>
      <w:pPr>
        <w:pStyle w:val="ySubsection"/>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ScheduleHeading"/>
      </w:pPr>
      <w:bookmarkStart w:id="967" w:name="_Toc101080931"/>
      <w:bookmarkStart w:id="968" w:name="_Toc104782215"/>
      <w:bookmarkStart w:id="969" w:name="_Toc108238701"/>
      <w:bookmarkStart w:id="970" w:name="_Toc108238868"/>
      <w:bookmarkStart w:id="971" w:name="_Toc121566849"/>
      <w:bookmarkStart w:id="972" w:name="_Toc124125696"/>
      <w:bookmarkStart w:id="973" w:name="_Toc124141162"/>
      <w:bookmarkStart w:id="974" w:name="_Toc131414827"/>
      <w:bookmarkStart w:id="975" w:name="_Toc155600423"/>
      <w:r>
        <w:rPr>
          <w:rStyle w:val="CharSchNo"/>
        </w:rPr>
        <w:t>Schedule 2</w:t>
      </w:r>
      <w:bookmarkEnd w:id="967"/>
      <w:bookmarkEnd w:id="968"/>
      <w:bookmarkEnd w:id="969"/>
      <w:bookmarkEnd w:id="970"/>
      <w:bookmarkEnd w:id="971"/>
      <w:bookmarkEnd w:id="972"/>
      <w:bookmarkEnd w:id="973"/>
      <w:bookmarkEnd w:id="974"/>
      <w:bookmarkEnd w:id="975"/>
      <w:r>
        <w:t xml:space="preserve"> </w:t>
      </w:r>
    </w:p>
    <w:p>
      <w:pPr>
        <w:pStyle w:val="yMiscellaneousHeading"/>
        <w:rPr>
          <w:rStyle w:val="CharSchText"/>
          <w:b/>
          <w:bCs/>
          <w:sz w:val="24"/>
        </w:rPr>
      </w:pPr>
      <w:r>
        <w:rPr>
          <w:rStyle w:val="CharSchText"/>
          <w:b/>
          <w:bCs/>
          <w:sz w:val="24"/>
        </w:rPr>
        <w:t>Functions of a settlement agent</w:t>
      </w:r>
    </w:p>
    <w:p>
      <w:pPr>
        <w:pStyle w:val="yShoulderClause"/>
        <w:rPr>
          <w:snapToGrid w:val="0"/>
        </w:rPr>
      </w:pPr>
      <w:r>
        <w:rPr>
          <w:snapToGrid w:val="0"/>
        </w:rPr>
        <w:t>[Sections 46 and 47]</w:t>
      </w:r>
    </w:p>
    <w:p>
      <w:pPr>
        <w:pStyle w:val="yHeading5"/>
        <w:outlineLvl w:val="9"/>
        <w:rPr>
          <w:snapToGrid w:val="0"/>
        </w:rPr>
      </w:pPr>
      <w:bookmarkStart w:id="976" w:name="_Toc520186207"/>
      <w:bookmarkStart w:id="977" w:name="_Toc108238702"/>
      <w:bookmarkStart w:id="978" w:name="_Toc124125697"/>
      <w:bookmarkStart w:id="979" w:name="_Toc155600424"/>
      <w:r>
        <w:rPr>
          <w:rStyle w:val="CharSClsNo"/>
        </w:rPr>
        <w:t>1</w:t>
      </w:r>
      <w:r>
        <w:rPr>
          <w:snapToGrid w:val="0"/>
        </w:rPr>
        <w:t>.</w:t>
      </w:r>
      <w:r>
        <w:rPr>
          <w:snapToGrid w:val="0"/>
        </w:rPr>
        <w:tab/>
        <w:t>Real estate settlement agent</w:t>
      </w:r>
      <w:bookmarkEnd w:id="976"/>
      <w:bookmarkEnd w:id="977"/>
      <w:bookmarkEnd w:id="978"/>
      <w:bookmarkEnd w:id="979"/>
      <w:r>
        <w:rPr>
          <w:snapToGrid w:val="0"/>
        </w:rPr>
        <w:t xml:space="preserve"> </w:t>
      </w:r>
    </w:p>
    <w:p>
      <w:pPr>
        <w:pStyle w:val="ySubsection"/>
        <w:rPr>
          <w:snapToGrid w:val="0"/>
        </w:rPr>
      </w:pPr>
      <w:r>
        <w:rPr>
          <w:snapToGrid w:val="0"/>
        </w:rPr>
        <w:tab/>
        <w:t>(1)</w:t>
      </w:r>
      <w:r>
        <w:rPr>
          <w:snapToGrid w:val="0"/>
        </w:rPr>
        <w:tab/>
        <w:t>A licensee who holds a real estate settlement agent’s licence and a current triennial certificate may perform the following functions — </w:t>
      </w:r>
    </w:p>
    <w:p>
      <w:pPr>
        <w:pStyle w:val="yIndenta"/>
      </w:pPr>
      <w:r>
        <w:tab/>
        <w:t>(a)</w:t>
      </w:r>
      <w:r>
        <w:tab/>
        <w:t xml:space="preserve">searching land titles and dealings in the records of the Western Australian Land Information Authority established by the </w:t>
      </w:r>
      <w:r>
        <w:rPr>
          <w:i/>
          <w:iCs/>
        </w:rPr>
        <w:t>Land Information Authority Act 2006</w:t>
      </w:r>
      <w:r>
        <w:t xml:space="preserve"> section 5 (the </w:t>
      </w:r>
      <w:r>
        <w:rPr>
          <w:b/>
        </w:rPr>
        <w:t>“</w:t>
      </w:r>
      <w:r>
        <w:rPr>
          <w:rStyle w:val="CharDefText"/>
        </w:rPr>
        <w:t>Authority</w:t>
      </w:r>
      <w:r>
        <w:rPr>
          <w:b/>
        </w:rPr>
        <w:t>”</w:t>
      </w:r>
      <w:r>
        <w:t>) and searching for caveats against any of those dealings;</w:t>
      </w:r>
    </w:p>
    <w:p>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pPr>
        <w:pStyle w:val="yIndenta"/>
        <w:rPr>
          <w:snapToGrid w:val="0"/>
        </w:rPr>
      </w:pPr>
      <w:r>
        <w:rPr>
          <w:snapToGrid w:val="0"/>
        </w:rPr>
        <w:tab/>
        <w:t>(d)</w:t>
      </w:r>
      <w:r>
        <w:rPr>
          <w:snapToGrid w:val="0"/>
        </w:rPr>
        <w:tab/>
        <w:t xml:space="preserve">arranging the payment of duty imposed under the </w:t>
      </w:r>
      <w:r>
        <w:rPr>
          <w:i/>
          <w:snapToGrid w:val="0"/>
        </w:rPr>
        <w:t>Stamp Act 1921</w:t>
      </w:r>
      <w:r>
        <w:rPr>
          <w:snapToGrid w:val="0"/>
        </w:rPr>
        <w:t>, and any other imposts or fees on documents in respect of the real estate transaction;</w:t>
      </w:r>
    </w:p>
    <w:p>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pPr>
        <w:pStyle w:val="yIndenta"/>
        <w:rPr>
          <w:snapToGrid w:val="0"/>
        </w:rPr>
      </w:pPr>
      <w:r>
        <w:rPr>
          <w:snapToGrid w:val="0"/>
        </w:rPr>
        <w:tab/>
        <w:t>(g)</w:t>
      </w:r>
      <w:r>
        <w:rPr>
          <w:snapToGrid w:val="0"/>
        </w:rPr>
        <w:tab/>
        <w:t xml:space="preserve">uplifting such documents from the </w:t>
      </w:r>
      <w:r>
        <w:t xml:space="preserve">Authority </w:t>
      </w:r>
      <w:r>
        <w:rPr>
          <w:snapToGrid w:val="0"/>
        </w:rPr>
        <w:t>or other Government offices or the offices of statutory authorities;</w:t>
      </w:r>
    </w:p>
    <w:p>
      <w:pPr>
        <w:pStyle w:val="yIndenta"/>
        <w:rPr>
          <w:snapToGrid w:val="0"/>
        </w:rPr>
      </w:pPr>
      <w:r>
        <w:rPr>
          <w:snapToGrid w:val="0"/>
        </w:rPr>
        <w:tab/>
        <w:t>(h)</w:t>
      </w:r>
      <w:r>
        <w:rPr>
          <w:snapToGrid w:val="0"/>
        </w:rPr>
        <w:tab/>
        <w:t xml:space="preserve">completing powers of attorney in such form and subject to such conditions as are prescribed; </w:t>
      </w:r>
    </w:p>
    <w:p>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 </w:t>
      </w:r>
    </w:p>
    <w:p>
      <w:pPr>
        <w:pStyle w:val="yIndenta"/>
        <w:rPr>
          <w:snapToGrid w:val="0"/>
        </w:rPr>
      </w:pPr>
      <w:r>
        <w:rPr>
          <w:snapToGrid w:val="0"/>
        </w:rPr>
        <w:tab/>
        <w:t>(a)</w:t>
      </w:r>
      <w:r>
        <w:rPr>
          <w:snapToGrid w:val="0"/>
        </w:rPr>
        <w:tab/>
        <w:t>an offer and acceptance form in such form and subject to such conditions as are prescribed;</w:t>
      </w:r>
    </w:p>
    <w:p>
      <w:pPr>
        <w:pStyle w:val="yIndenta"/>
        <w:rPr>
          <w:snapToGrid w:val="0"/>
        </w:rPr>
      </w:pPr>
      <w:r>
        <w:rPr>
          <w:snapToGrid w:val="0"/>
        </w:rPr>
        <w:tab/>
        <w:t>(b)</w:t>
      </w:r>
      <w:r>
        <w:rPr>
          <w:snapToGrid w:val="0"/>
        </w:rPr>
        <w:tab/>
        <w:t>requisitions on title in such form and subject to such conditions as are prescribed;</w:t>
      </w:r>
    </w:p>
    <w:p>
      <w:pPr>
        <w:pStyle w:val="yIndenta"/>
        <w:rPr>
          <w:snapToGrid w:val="0"/>
        </w:rPr>
      </w:pPr>
      <w:r>
        <w:rPr>
          <w:snapToGrid w:val="0"/>
        </w:rPr>
        <w:tab/>
        <w:t>(c)</w:t>
      </w:r>
      <w:r>
        <w:rPr>
          <w:snapToGrid w:val="0"/>
        </w:rPr>
        <w:tab/>
        <w:t>such documents that are to be registered or lodged under or for the purposes of the — </w:t>
      </w:r>
    </w:p>
    <w:p>
      <w:pPr>
        <w:pStyle w:val="yIndenti0"/>
        <w:rPr>
          <w:snapToGrid w:val="0"/>
        </w:rPr>
      </w:pPr>
      <w:r>
        <w:rPr>
          <w:snapToGrid w:val="0"/>
        </w:rPr>
        <w:tab/>
        <w:t>(i)</w:t>
      </w:r>
      <w:r>
        <w:rPr>
          <w:snapToGrid w:val="0"/>
        </w:rPr>
        <w:tab/>
      </w:r>
      <w:r>
        <w:rPr>
          <w:i/>
          <w:snapToGrid w:val="0"/>
        </w:rPr>
        <w:t>Land Act 1933</w:t>
      </w:r>
      <w:r>
        <w:rPr>
          <w:snapToGrid w:val="0"/>
          <w:vertAlign w:val="superscript"/>
        </w:rPr>
        <w:t xml:space="preserve"> 5</w:t>
      </w:r>
      <w:r>
        <w:rPr>
          <w:snapToGrid w:val="0"/>
        </w:rPr>
        <w:t>;</w:t>
      </w:r>
    </w:p>
    <w:p>
      <w:pPr>
        <w:pStyle w:val="yIndenti0"/>
        <w:rPr>
          <w:snapToGrid w:val="0"/>
        </w:rPr>
      </w:pPr>
      <w:r>
        <w:rPr>
          <w:snapToGrid w:val="0"/>
        </w:rPr>
        <w:tab/>
        <w:t>(ii)</w:t>
      </w:r>
      <w:r>
        <w:rPr>
          <w:snapToGrid w:val="0"/>
        </w:rPr>
        <w:tab/>
      </w:r>
      <w:r>
        <w:rPr>
          <w:i/>
          <w:snapToGrid w:val="0"/>
        </w:rPr>
        <w:t>Registration of Deeds Act 1856</w:t>
      </w:r>
      <w:r>
        <w:rPr>
          <w:snapToGrid w:val="0"/>
        </w:rPr>
        <w:t>;</w:t>
      </w:r>
    </w:p>
    <w:p>
      <w:pPr>
        <w:pStyle w:val="yIndenti0"/>
        <w:rPr>
          <w:snapToGrid w:val="0"/>
        </w:rPr>
      </w:pPr>
      <w:r>
        <w:rPr>
          <w:snapToGrid w:val="0"/>
        </w:rPr>
        <w:tab/>
        <w:t>(iii)</w:t>
      </w:r>
      <w:r>
        <w:rPr>
          <w:snapToGrid w:val="0"/>
        </w:rPr>
        <w:tab/>
      </w:r>
      <w:r>
        <w:rPr>
          <w:i/>
          <w:snapToGrid w:val="0"/>
        </w:rPr>
        <w:t>Strata Titles Act 1985</w:t>
      </w:r>
      <w:r>
        <w:rPr>
          <w:snapToGrid w:val="0"/>
        </w:rPr>
        <w:t>; or</w:t>
      </w:r>
    </w:p>
    <w:p>
      <w:pPr>
        <w:pStyle w:val="yIndenti0"/>
        <w:rPr>
          <w:snapToGrid w:val="0"/>
        </w:rPr>
      </w:pPr>
      <w:r>
        <w:rPr>
          <w:snapToGrid w:val="0"/>
        </w:rPr>
        <w:tab/>
        <w:t>(iv)</w:t>
      </w:r>
      <w:r>
        <w:rPr>
          <w:snapToGrid w:val="0"/>
        </w:rPr>
        <w:tab/>
      </w:r>
      <w:r>
        <w:rPr>
          <w:i/>
          <w:snapToGrid w:val="0"/>
        </w:rPr>
        <w:t>Transfer of Land Act 1893</w:t>
      </w:r>
      <w:r>
        <w:rPr>
          <w:snapToGrid w:val="0"/>
        </w:rPr>
        <w:t>,</w:t>
      </w:r>
    </w:p>
    <w:p>
      <w:pPr>
        <w:pStyle w:val="yIndenta"/>
        <w:rPr>
          <w:snapToGrid w:val="0"/>
        </w:rPr>
      </w:pPr>
      <w:r>
        <w:rPr>
          <w:snapToGrid w:val="0"/>
        </w:rPr>
        <w:tab/>
      </w:r>
      <w:r>
        <w:rPr>
          <w:snapToGrid w:val="0"/>
        </w:rPr>
        <w:tab/>
        <w:t>as are prescribed and subject to such conditions as are prescribed;</w:t>
      </w:r>
    </w:p>
    <w:p>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pPr>
        <w:pStyle w:val="yIndenta"/>
        <w:rPr>
          <w:snapToGrid w:val="0"/>
        </w:rPr>
      </w:pPr>
      <w:r>
        <w:rPr>
          <w:snapToGrid w:val="0"/>
        </w:rPr>
        <w:tab/>
        <w:t>(e)</w:t>
      </w:r>
      <w:r>
        <w:rPr>
          <w:snapToGrid w:val="0"/>
        </w:rPr>
        <w:tab/>
        <w:t>a declaration to confirm that a power of attorney remains unrevoked.</w:t>
      </w:r>
    </w:p>
    <w:p>
      <w:pPr>
        <w:pStyle w:val="yFootnotesection"/>
      </w:pPr>
      <w:r>
        <w:tab/>
        <w:t>[Clause 1 amended by No. 58 of 1995 s. 98; No. 14 of 1996 s. 4; No. 62 of 1996 s. 5(1); No. 81 of 1996 s. 153(1); No. 60 of 2006 s. 158.]</w:t>
      </w:r>
    </w:p>
    <w:p>
      <w:pPr>
        <w:pStyle w:val="yHeading5"/>
        <w:outlineLvl w:val="9"/>
        <w:rPr>
          <w:snapToGrid w:val="0"/>
        </w:rPr>
      </w:pPr>
      <w:bookmarkStart w:id="980" w:name="_Toc520186208"/>
      <w:bookmarkStart w:id="981" w:name="_Toc108238703"/>
      <w:bookmarkStart w:id="982" w:name="_Toc124125698"/>
      <w:bookmarkStart w:id="983" w:name="_Toc155600425"/>
      <w:r>
        <w:rPr>
          <w:rStyle w:val="CharSClsNo"/>
        </w:rPr>
        <w:t>2</w:t>
      </w:r>
      <w:r>
        <w:rPr>
          <w:snapToGrid w:val="0"/>
        </w:rPr>
        <w:t xml:space="preserve">. </w:t>
      </w:r>
      <w:r>
        <w:rPr>
          <w:snapToGrid w:val="0"/>
        </w:rPr>
        <w:tab/>
        <w:t>Business settlement agent</w:t>
      </w:r>
      <w:bookmarkEnd w:id="980"/>
      <w:bookmarkEnd w:id="981"/>
      <w:bookmarkEnd w:id="982"/>
      <w:bookmarkEnd w:id="983"/>
      <w:r>
        <w:rPr>
          <w:snapToGrid w:val="0"/>
        </w:rPr>
        <w:t xml:space="preserve"> </w:t>
      </w:r>
    </w:p>
    <w:p>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 </w:t>
      </w:r>
    </w:p>
    <w:p>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pPr>
        <w:pStyle w:val="yIndenta"/>
        <w:rPr>
          <w:snapToGrid w:val="0"/>
        </w:rPr>
      </w:pPr>
      <w:r>
        <w:rPr>
          <w:snapToGrid w:val="0"/>
        </w:rPr>
        <w:tab/>
        <w:t>(c)</w:t>
      </w:r>
      <w:r>
        <w:rPr>
          <w:snapToGrid w:val="0"/>
        </w:rPr>
        <w:tab/>
        <w:t>arranging the employment of a stocktaker;</w:t>
      </w:r>
    </w:p>
    <w:p>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pPr>
        <w:pStyle w:val="yIndenta"/>
        <w:rPr>
          <w:snapToGrid w:val="0"/>
        </w:rPr>
      </w:pPr>
      <w:r>
        <w:rPr>
          <w:snapToGrid w:val="0"/>
        </w:rPr>
        <w:tab/>
        <w:t>(e)</w:t>
      </w:r>
      <w:r>
        <w:rPr>
          <w:snapToGrid w:val="0"/>
        </w:rPr>
        <w:tab/>
        <w:t xml:space="preserve">arranging the payment of duty imposed under the </w:t>
      </w:r>
      <w:r>
        <w:rPr>
          <w:i/>
          <w:snapToGrid w:val="0"/>
        </w:rPr>
        <w:t>Stamp Act 1921</w:t>
      </w:r>
      <w:r>
        <w:rPr>
          <w:snapToGrid w:val="0"/>
        </w:rPr>
        <w:t>, and any other imposts or fees on documents in respect of the business transaction;</w:t>
      </w:r>
    </w:p>
    <w:p>
      <w:pPr>
        <w:pStyle w:val="yIndenta"/>
        <w:rPr>
          <w:snapToGrid w:val="0"/>
        </w:rPr>
      </w:pPr>
      <w:r>
        <w:rPr>
          <w:snapToGrid w:val="0"/>
        </w:rPr>
        <w:tab/>
        <w:t>(f)</w:t>
      </w:r>
      <w:r>
        <w:rPr>
          <w:snapToGrid w:val="0"/>
        </w:rPr>
        <w:tab/>
        <w:t>arranging and attending on settlement, including exchanging documents and receiving and disbursing moneys to effect the settlement;</w:t>
      </w:r>
    </w:p>
    <w:p>
      <w:pPr>
        <w:pStyle w:val="yIndenta"/>
        <w:rPr>
          <w:snapToGrid w:val="0"/>
        </w:rPr>
      </w:pPr>
      <w:r>
        <w:rPr>
          <w:snapToGrid w:val="0"/>
        </w:rPr>
        <w:tab/>
        <w:t>(fa)</w:t>
      </w:r>
      <w:r>
        <w:rPr>
          <w:snapToGrid w:val="0"/>
        </w:rPr>
        <w:tab/>
        <w:t xml:space="preserve">drawing or preparing such documents that are to be registered or lodged under the </w:t>
      </w:r>
      <w:r>
        <w:rPr>
          <w:i/>
          <w:snapToGrid w:val="0"/>
        </w:rPr>
        <w:t>Bills of Sale Act 1899</w:t>
      </w:r>
      <w:r>
        <w:rPr>
          <w:snapToGrid w:val="0"/>
        </w:rPr>
        <w:t xml:space="preserve"> as are prescribed and subject to such conditions as are prescribed;</w:t>
      </w:r>
    </w:p>
    <w:p>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pPr>
        <w:pStyle w:val="yIndenta"/>
        <w:rPr>
          <w:snapToGrid w:val="0"/>
        </w:rPr>
      </w:pPr>
      <w:r>
        <w:rPr>
          <w:snapToGrid w:val="0"/>
        </w:rPr>
        <w:tab/>
        <w:t>(h)</w:t>
      </w:r>
      <w:r>
        <w:rPr>
          <w:snapToGrid w:val="0"/>
        </w:rPr>
        <w:tab/>
        <w:t xml:space="preserve">subject to such conditions as are imposed by the code of conduct, preparing and arranging the execution of an application for transfer of a business name under the </w:t>
      </w:r>
      <w:r>
        <w:rPr>
          <w:i/>
          <w:snapToGrid w:val="0"/>
        </w:rPr>
        <w:t>Business Names Act 1962</w:t>
      </w:r>
      <w:r>
        <w:rPr>
          <w:snapToGrid w:val="0"/>
        </w:rPr>
        <w:t>;</w:t>
      </w:r>
    </w:p>
    <w:p>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pPr>
        <w:pStyle w:val="yFootnotesection"/>
      </w:pPr>
      <w:r>
        <w:tab/>
        <w:t xml:space="preserve">[Clause 2 amended by No. 14 of 1996 s. 4; No. 62 of 1996 s. 5(2); No. 81 of 1996 s. 153(2).]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984" w:name="_Toc89514595"/>
      <w:bookmarkStart w:id="985" w:name="_Toc89753352"/>
      <w:bookmarkStart w:id="986" w:name="_Toc91307620"/>
      <w:bookmarkStart w:id="987" w:name="_Toc92705851"/>
      <w:bookmarkStart w:id="988" w:name="_Toc96932925"/>
      <w:bookmarkStart w:id="989" w:name="_Toc101079330"/>
      <w:bookmarkStart w:id="990" w:name="_Toc101080934"/>
      <w:bookmarkStart w:id="991" w:name="_Toc104782218"/>
      <w:bookmarkStart w:id="992" w:name="_Toc108238704"/>
      <w:bookmarkStart w:id="993" w:name="_Toc108238871"/>
      <w:bookmarkStart w:id="994" w:name="_Toc110325149"/>
      <w:bookmarkStart w:id="995" w:name="_Toc110325451"/>
      <w:bookmarkStart w:id="996" w:name="_Toc121566852"/>
      <w:bookmarkStart w:id="997" w:name="_Toc124125699"/>
      <w:bookmarkStart w:id="998" w:name="_Toc124141165"/>
      <w:bookmarkStart w:id="999" w:name="_Toc131414830"/>
      <w:bookmarkStart w:id="1000" w:name="_Toc155600426"/>
      <w:r>
        <w:t>Notes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01" w:name="_Toc108238705"/>
      <w:bookmarkStart w:id="1002" w:name="_Toc124125700"/>
      <w:bookmarkStart w:id="1003" w:name="_Toc155600427"/>
      <w:r>
        <w:rPr>
          <w:snapToGrid w:val="0"/>
        </w:rPr>
        <w:t>Compilation table</w:t>
      </w:r>
      <w:bookmarkEnd w:id="1001"/>
      <w:bookmarkEnd w:id="1002"/>
      <w:bookmarkEnd w:id="1003"/>
    </w:p>
    <w:tbl>
      <w:tblPr>
        <w:tblW w:w="7085" w:type="dxa"/>
        <w:tblInd w:w="28" w:type="dxa"/>
        <w:tblLayout w:type="fixed"/>
        <w:tblCellMar>
          <w:left w:w="56" w:type="dxa"/>
          <w:right w:w="56" w:type="dxa"/>
        </w:tblCellMar>
        <w:tblLook w:val="0000" w:firstRow="0" w:lastRow="0" w:firstColumn="0" w:lastColumn="0" w:noHBand="0" w:noVBand="0"/>
      </w:tblPr>
      <w:tblGrid>
        <w:gridCol w:w="2201"/>
        <w:gridCol w:w="26"/>
        <w:gridCol w:w="17"/>
        <w:gridCol w:w="23"/>
        <w:gridCol w:w="1067"/>
        <w:gridCol w:w="27"/>
        <w:gridCol w:w="17"/>
        <w:gridCol w:w="23"/>
        <w:gridCol w:w="1102"/>
        <w:gridCol w:w="9"/>
        <w:gridCol w:w="23"/>
        <w:gridCol w:w="2512"/>
        <w:gridCol w:w="13"/>
        <w:gridCol w:w="25"/>
      </w:tblGrid>
      <w:tr>
        <w:trPr>
          <w:gridAfter w:val="2"/>
          <w:wAfter w:w="38" w:type="dxa"/>
          <w:cantSplit/>
          <w:tblHeader/>
        </w:trPr>
        <w:tc>
          <w:tcPr>
            <w:tcW w:w="2201"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gridSpan w:val="4"/>
            <w:tcBorders>
              <w:top w:val="single" w:sz="8" w:space="0" w:color="auto"/>
              <w:bottom w:val="single" w:sz="8" w:space="0" w:color="auto"/>
            </w:tcBorders>
          </w:tcPr>
          <w:p>
            <w:pPr>
              <w:pStyle w:val="nTable"/>
              <w:spacing w:after="40"/>
              <w:rPr>
                <w:b/>
                <w:sz w:val="19"/>
              </w:rPr>
            </w:pPr>
            <w:r>
              <w:rPr>
                <w:b/>
                <w:sz w:val="19"/>
              </w:rPr>
              <w:t>Number and year</w:t>
            </w:r>
          </w:p>
        </w:tc>
        <w:tc>
          <w:tcPr>
            <w:tcW w:w="1169" w:type="dxa"/>
            <w:gridSpan w:val="4"/>
            <w:tcBorders>
              <w:top w:val="single" w:sz="8" w:space="0" w:color="auto"/>
              <w:bottom w:val="single" w:sz="8" w:space="0" w:color="auto"/>
            </w:tcBorders>
          </w:tcPr>
          <w:p>
            <w:pPr>
              <w:pStyle w:val="nTable"/>
              <w:spacing w:after="40"/>
              <w:rPr>
                <w:b/>
                <w:sz w:val="19"/>
              </w:rPr>
            </w:pPr>
            <w:r>
              <w:rPr>
                <w:b/>
                <w:sz w:val="19"/>
              </w:rPr>
              <w:t>Assent</w:t>
            </w:r>
          </w:p>
        </w:tc>
        <w:tc>
          <w:tcPr>
            <w:tcW w:w="254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38" w:type="dxa"/>
          <w:cantSplit/>
        </w:trPr>
        <w:tc>
          <w:tcPr>
            <w:tcW w:w="2201" w:type="dxa"/>
          </w:tcPr>
          <w:p>
            <w:pPr>
              <w:pStyle w:val="nTable"/>
              <w:spacing w:after="40"/>
              <w:ind w:right="113"/>
              <w:rPr>
                <w:sz w:val="19"/>
              </w:rPr>
            </w:pPr>
            <w:r>
              <w:rPr>
                <w:i/>
                <w:sz w:val="19"/>
              </w:rPr>
              <w:t>Settlement Agents Act 1981</w:t>
            </w:r>
          </w:p>
        </w:tc>
        <w:tc>
          <w:tcPr>
            <w:tcW w:w="1133" w:type="dxa"/>
            <w:gridSpan w:val="4"/>
          </w:tcPr>
          <w:p>
            <w:pPr>
              <w:pStyle w:val="nTable"/>
              <w:spacing w:after="40"/>
              <w:rPr>
                <w:sz w:val="19"/>
              </w:rPr>
            </w:pPr>
            <w:r>
              <w:rPr>
                <w:sz w:val="19"/>
              </w:rPr>
              <w:t>33 of 1981</w:t>
            </w:r>
          </w:p>
        </w:tc>
        <w:tc>
          <w:tcPr>
            <w:tcW w:w="1169" w:type="dxa"/>
            <w:gridSpan w:val="4"/>
          </w:tcPr>
          <w:p>
            <w:pPr>
              <w:pStyle w:val="nTable"/>
              <w:spacing w:after="40"/>
              <w:rPr>
                <w:sz w:val="19"/>
              </w:rPr>
            </w:pPr>
            <w:r>
              <w:rPr>
                <w:sz w:val="19"/>
              </w:rPr>
              <w:t>26 May 1981</w:t>
            </w:r>
          </w:p>
        </w:tc>
        <w:tc>
          <w:tcPr>
            <w:tcW w:w="2544" w:type="dxa"/>
            <w:gridSpan w:val="3"/>
          </w:tcPr>
          <w:p>
            <w:pPr>
              <w:pStyle w:val="nTable"/>
              <w:spacing w:after="40"/>
              <w:rPr>
                <w:sz w:val="19"/>
              </w:rPr>
            </w:pPr>
            <w:r>
              <w:rPr>
                <w:sz w:val="19"/>
              </w:rPr>
              <w:t xml:space="preserve">1 Jul 1981 (see s. 2 and </w:t>
            </w:r>
            <w:r>
              <w:rPr>
                <w:i/>
                <w:sz w:val="19"/>
              </w:rPr>
              <w:t>Gazette</w:t>
            </w:r>
            <w:r>
              <w:rPr>
                <w:sz w:val="19"/>
              </w:rPr>
              <w:t xml:space="preserve"> 26 Jun 1981 p. 2285)</w:t>
            </w:r>
          </w:p>
        </w:tc>
      </w:tr>
      <w:tr>
        <w:trPr>
          <w:gridAfter w:val="2"/>
          <w:wAfter w:w="38" w:type="dxa"/>
          <w:cantSplit/>
        </w:trPr>
        <w:tc>
          <w:tcPr>
            <w:tcW w:w="2201" w:type="dxa"/>
          </w:tcPr>
          <w:p>
            <w:pPr>
              <w:pStyle w:val="nTable"/>
              <w:spacing w:after="40"/>
              <w:ind w:right="113"/>
              <w:rPr>
                <w:sz w:val="19"/>
              </w:rPr>
            </w:pPr>
            <w:r>
              <w:rPr>
                <w:i/>
                <w:sz w:val="19"/>
              </w:rPr>
              <w:t xml:space="preserve">Companies (Consequential Amendments) Act 1982 </w:t>
            </w:r>
            <w:r>
              <w:rPr>
                <w:sz w:val="19"/>
              </w:rPr>
              <w:t>s. 28</w:t>
            </w:r>
          </w:p>
        </w:tc>
        <w:tc>
          <w:tcPr>
            <w:tcW w:w="1133" w:type="dxa"/>
            <w:gridSpan w:val="4"/>
          </w:tcPr>
          <w:p>
            <w:pPr>
              <w:pStyle w:val="nTable"/>
              <w:spacing w:after="40"/>
              <w:rPr>
                <w:sz w:val="19"/>
              </w:rPr>
            </w:pPr>
            <w:r>
              <w:rPr>
                <w:sz w:val="19"/>
              </w:rPr>
              <w:t>10 of 1982</w:t>
            </w:r>
          </w:p>
        </w:tc>
        <w:tc>
          <w:tcPr>
            <w:tcW w:w="1169" w:type="dxa"/>
            <w:gridSpan w:val="4"/>
          </w:tcPr>
          <w:p>
            <w:pPr>
              <w:pStyle w:val="nTable"/>
              <w:spacing w:after="40"/>
              <w:rPr>
                <w:sz w:val="19"/>
              </w:rPr>
            </w:pPr>
            <w:r>
              <w:rPr>
                <w:sz w:val="19"/>
              </w:rPr>
              <w:t>14 May 1982</w:t>
            </w:r>
          </w:p>
        </w:tc>
        <w:tc>
          <w:tcPr>
            <w:tcW w:w="2544" w:type="dxa"/>
            <w:gridSpan w:val="3"/>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2"/>
          <w:wAfter w:w="38" w:type="dxa"/>
          <w:cantSplit/>
        </w:trPr>
        <w:tc>
          <w:tcPr>
            <w:tcW w:w="2201" w:type="dxa"/>
          </w:tcPr>
          <w:p>
            <w:pPr>
              <w:pStyle w:val="nTable"/>
              <w:spacing w:after="40"/>
              <w:ind w:right="113"/>
              <w:rPr>
                <w:sz w:val="19"/>
              </w:rPr>
            </w:pPr>
            <w:r>
              <w:rPr>
                <w:i/>
                <w:sz w:val="19"/>
              </w:rPr>
              <w:t>Settlement Agents Amendment Act 1982</w:t>
            </w:r>
          </w:p>
        </w:tc>
        <w:tc>
          <w:tcPr>
            <w:tcW w:w="1133" w:type="dxa"/>
            <w:gridSpan w:val="4"/>
          </w:tcPr>
          <w:p>
            <w:pPr>
              <w:pStyle w:val="nTable"/>
              <w:spacing w:after="40"/>
              <w:rPr>
                <w:sz w:val="19"/>
              </w:rPr>
            </w:pPr>
            <w:r>
              <w:rPr>
                <w:sz w:val="19"/>
              </w:rPr>
              <w:t>64 of 1982</w:t>
            </w:r>
          </w:p>
        </w:tc>
        <w:tc>
          <w:tcPr>
            <w:tcW w:w="1169" w:type="dxa"/>
            <w:gridSpan w:val="4"/>
          </w:tcPr>
          <w:p>
            <w:pPr>
              <w:pStyle w:val="nTable"/>
              <w:spacing w:after="40"/>
              <w:rPr>
                <w:sz w:val="19"/>
              </w:rPr>
            </w:pPr>
            <w:r>
              <w:rPr>
                <w:sz w:val="19"/>
              </w:rPr>
              <w:t>19 Oct 1982</w:t>
            </w:r>
          </w:p>
        </w:tc>
        <w:tc>
          <w:tcPr>
            <w:tcW w:w="2544" w:type="dxa"/>
            <w:gridSpan w:val="3"/>
          </w:tcPr>
          <w:p>
            <w:pPr>
              <w:pStyle w:val="nTable"/>
              <w:spacing w:after="40"/>
              <w:rPr>
                <w:sz w:val="19"/>
              </w:rPr>
            </w:pPr>
            <w:r>
              <w:rPr>
                <w:sz w:val="19"/>
              </w:rPr>
              <w:t>19 Oct 1982</w:t>
            </w:r>
          </w:p>
        </w:tc>
      </w:tr>
      <w:tr>
        <w:trPr>
          <w:gridAfter w:val="2"/>
          <w:wAfter w:w="38" w:type="dxa"/>
          <w:cantSplit/>
        </w:trPr>
        <w:tc>
          <w:tcPr>
            <w:tcW w:w="2201" w:type="dxa"/>
          </w:tcPr>
          <w:p>
            <w:pPr>
              <w:pStyle w:val="nTable"/>
              <w:spacing w:after="40"/>
              <w:ind w:right="113"/>
              <w:rPr>
                <w:sz w:val="19"/>
              </w:rPr>
            </w:pPr>
            <w:r>
              <w:rPr>
                <w:i/>
                <w:sz w:val="19"/>
              </w:rPr>
              <w:t xml:space="preserve">Acts Amendment (Financial Administration and Audit) Act 1985 </w:t>
            </w:r>
            <w:r>
              <w:rPr>
                <w:sz w:val="19"/>
              </w:rPr>
              <w:t>s. 3</w:t>
            </w:r>
          </w:p>
        </w:tc>
        <w:tc>
          <w:tcPr>
            <w:tcW w:w="1133" w:type="dxa"/>
            <w:gridSpan w:val="4"/>
          </w:tcPr>
          <w:p>
            <w:pPr>
              <w:pStyle w:val="nTable"/>
              <w:spacing w:after="40"/>
              <w:rPr>
                <w:sz w:val="19"/>
              </w:rPr>
            </w:pPr>
            <w:r>
              <w:rPr>
                <w:sz w:val="19"/>
              </w:rPr>
              <w:t>98 of 1985</w:t>
            </w:r>
          </w:p>
        </w:tc>
        <w:tc>
          <w:tcPr>
            <w:tcW w:w="1169" w:type="dxa"/>
            <w:gridSpan w:val="4"/>
          </w:tcPr>
          <w:p>
            <w:pPr>
              <w:pStyle w:val="nTable"/>
              <w:spacing w:after="40"/>
              <w:rPr>
                <w:sz w:val="19"/>
              </w:rPr>
            </w:pPr>
            <w:r>
              <w:rPr>
                <w:sz w:val="19"/>
              </w:rPr>
              <w:t>4 Dec 1985</w:t>
            </w:r>
          </w:p>
        </w:tc>
        <w:tc>
          <w:tcPr>
            <w:tcW w:w="2544"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2"/>
          <w:wAfter w:w="38" w:type="dxa"/>
          <w:cantSplit/>
        </w:trPr>
        <w:tc>
          <w:tcPr>
            <w:tcW w:w="2201" w:type="dxa"/>
          </w:tcPr>
          <w:p>
            <w:pPr>
              <w:pStyle w:val="nTable"/>
              <w:spacing w:after="40"/>
              <w:ind w:right="113"/>
              <w:rPr>
                <w:sz w:val="19"/>
              </w:rPr>
            </w:pPr>
            <w:r>
              <w:rPr>
                <w:i/>
                <w:sz w:val="19"/>
              </w:rPr>
              <w:t xml:space="preserve">State Government Insurance Commission Act 1986 </w:t>
            </w:r>
            <w:r>
              <w:rPr>
                <w:sz w:val="19"/>
              </w:rPr>
              <w:t>s. 46(2)</w:t>
            </w:r>
          </w:p>
        </w:tc>
        <w:tc>
          <w:tcPr>
            <w:tcW w:w="1133" w:type="dxa"/>
            <w:gridSpan w:val="4"/>
          </w:tcPr>
          <w:p>
            <w:pPr>
              <w:pStyle w:val="nTable"/>
              <w:spacing w:after="40"/>
              <w:rPr>
                <w:sz w:val="19"/>
              </w:rPr>
            </w:pPr>
            <w:r>
              <w:rPr>
                <w:sz w:val="19"/>
              </w:rPr>
              <w:t>51 of 1986</w:t>
            </w:r>
          </w:p>
        </w:tc>
        <w:tc>
          <w:tcPr>
            <w:tcW w:w="1169" w:type="dxa"/>
            <w:gridSpan w:val="4"/>
          </w:tcPr>
          <w:p>
            <w:pPr>
              <w:pStyle w:val="nTable"/>
              <w:spacing w:after="40"/>
              <w:rPr>
                <w:sz w:val="19"/>
              </w:rPr>
            </w:pPr>
            <w:r>
              <w:rPr>
                <w:sz w:val="19"/>
              </w:rPr>
              <w:t>5 Aug 1986</w:t>
            </w:r>
          </w:p>
        </w:tc>
        <w:tc>
          <w:tcPr>
            <w:tcW w:w="2544" w:type="dxa"/>
            <w:gridSpan w:val="3"/>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After w:val="2"/>
          <w:wAfter w:w="38" w:type="dxa"/>
          <w:cantSplit/>
        </w:trPr>
        <w:tc>
          <w:tcPr>
            <w:tcW w:w="2227" w:type="dxa"/>
            <w:gridSpan w:val="2"/>
          </w:tcPr>
          <w:p>
            <w:pPr>
              <w:pStyle w:val="nTable"/>
              <w:spacing w:after="40"/>
              <w:ind w:right="113"/>
              <w:rPr>
                <w:sz w:val="19"/>
              </w:rPr>
            </w:pPr>
            <w:r>
              <w:rPr>
                <w:i/>
                <w:sz w:val="19"/>
              </w:rPr>
              <w:t xml:space="preserve">Acts Amendment (Legal Practitioners, Costs and Taxation) Act 1987 </w:t>
            </w:r>
            <w:r>
              <w:rPr>
                <w:iCs/>
                <w:sz w:val="19"/>
              </w:rPr>
              <w:t>Pt. XVI</w:t>
            </w:r>
          </w:p>
        </w:tc>
        <w:tc>
          <w:tcPr>
            <w:tcW w:w="1134" w:type="dxa"/>
            <w:gridSpan w:val="4"/>
          </w:tcPr>
          <w:p>
            <w:pPr>
              <w:pStyle w:val="nTable"/>
              <w:spacing w:after="40"/>
              <w:rPr>
                <w:sz w:val="19"/>
              </w:rPr>
            </w:pPr>
            <w:r>
              <w:rPr>
                <w:sz w:val="19"/>
              </w:rPr>
              <w:t>65 of 1987</w:t>
            </w:r>
          </w:p>
        </w:tc>
        <w:tc>
          <w:tcPr>
            <w:tcW w:w="1142" w:type="dxa"/>
            <w:gridSpan w:val="3"/>
          </w:tcPr>
          <w:p>
            <w:pPr>
              <w:pStyle w:val="nTable"/>
              <w:spacing w:after="40"/>
              <w:rPr>
                <w:sz w:val="19"/>
              </w:rPr>
            </w:pPr>
            <w:r>
              <w:rPr>
                <w:sz w:val="19"/>
              </w:rPr>
              <w:t>1 Dec 1987</w:t>
            </w:r>
          </w:p>
        </w:tc>
        <w:tc>
          <w:tcPr>
            <w:tcW w:w="2544" w:type="dxa"/>
            <w:gridSpan w:val="3"/>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After w:val="2"/>
          <w:wAfter w:w="38" w:type="dxa"/>
          <w:cantSplit/>
        </w:trPr>
        <w:tc>
          <w:tcPr>
            <w:tcW w:w="2227" w:type="dxa"/>
            <w:gridSpan w:val="2"/>
          </w:tcPr>
          <w:p>
            <w:pPr>
              <w:pStyle w:val="nTable"/>
              <w:spacing w:after="40"/>
              <w:ind w:right="113"/>
              <w:rPr>
                <w:sz w:val="19"/>
              </w:rPr>
            </w:pPr>
            <w:r>
              <w:rPr>
                <w:i/>
                <w:sz w:val="19"/>
              </w:rPr>
              <w:t xml:space="preserve">R &amp; I Bank Act 1990 </w:t>
            </w:r>
            <w:r>
              <w:rPr>
                <w:sz w:val="19"/>
              </w:rPr>
              <w:t>s. 45(1)</w:t>
            </w:r>
          </w:p>
        </w:tc>
        <w:tc>
          <w:tcPr>
            <w:tcW w:w="1134" w:type="dxa"/>
            <w:gridSpan w:val="4"/>
          </w:tcPr>
          <w:p>
            <w:pPr>
              <w:pStyle w:val="nTable"/>
              <w:spacing w:after="40"/>
              <w:rPr>
                <w:sz w:val="19"/>
              </w:rPr>
            </w:pPr>
            <w:r>
              <w:rPr>
                <w:sz w:val="19"/>
              </w:rPr>
              <w:t>73 of 1990</w:t>
            </w:r>
          </w:p>
        </w:tc>
        <w:tc>
          <w:tcPr>
            <w:tcW w:w="1142" w:type="dxa"/>
            <w:gridSpan w:val="3"/>
          </w:tcPr>
          <w:p>
            <w:pPr>
              <w:pStyle w:val="nTable"/>
              <w:spacing w:after="40"/>
              <w:rPr>
                <w:sz w:val="19"/>
              </w:rPr>
            </w:pPr>
            <w:r>
              <w:rPr>
                <w:sz w:val="19"/>
              </w:rPr>
              <w:t>20 Dec 1990</w:t>
            </w:r>
          </w:p>
        </w:tc>
        <w:tc>
          <w:tcPr>
            <w:tcW w:w="2544"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After w:val="2"/>
          <w:wAfter w:w="38" w:type="dxa"/>
          <w:cantSplit/>
        </w:trPr>
        <w:tc>
          <w:tcPr>
            <w:tcW w:w="2227"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4"/>
          </w:tcPr>
          <w:p>
            <w:pPr>
              <w:pStyle w:val="nTable"/>
              <w:keepNext/>
              <w:spacing w:after="40"/>
              <w:rPr>
                <w:sz w:val="19"/>
              </w:rPr>
            </w:pPr>
            <w:r>
              <w:rPr>
                <w:sz w:val="19"/>
              </w:rPr>
              <w:t>32 of 1994</w:t>
            </w:r>
          </w:p>
        </w:tc>
        <w:tc>
          <w:tcPr>
            <w:tcW w:w="1142" w:type="dxa"/>
            <w:gridSpan w:val="3"/>
          </w:tcPr>
          <w:p>
            <w:pPr>
              <w:pStyle w:val="nTable"/>
              <w:keepNext/>
              <w:spacing w:after="40"/>
              <w:rPr>
                <w:sz w:val="19"/>
              </w:rPr>
            </w:pPr>
            <w:r>
              <w:rPr>
                <w:sz w:val="19"/>
              </w:rPr>
              <w:t>29 Jun 1994</w:t>
            </w:r>
          </w:p>
        </w:tc>
        <w:tc>
          <w:tcPr>
            <w:tcW w:w="2544" w:type="dxa"/>
            <w:gridSpan w:val="3"/>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gridAfter w:val="2"/>
          <w:wAfter w:w="38" w:type="dxa"/>
          <w:cantSplit/>
        </w:trPr>
        <w:tc>
          <w:tcPr>
            <w:tcW w:w="2227" w:type="dxa"/>
            <w:gridSpan w:val="2"/>
          </w:tcPr>
          <w:p>
            <w:pPr>
              <w:pStyle w:val="nTable"/>
              <w:spacing w:after="40"/>
              <w:ind w:right="113"/>
              <w:rPr>
                <w:sz w:val="19"/>
              </w:rPr>
            </w:pPr>
            <w:r>
              <w:rPr>
                <w:i/>
                <w:sz w:val="19"/>
              </w:rPr>
              <w:t xml:space="preserve">Statutes (Repeals and Minor Amendments) Act 1994 </w:t>
            </w:r>
            <w:r>
              <w:rPr>
                <w:sz w:val="19"/>
              </w:rPr>
              <w:t>s. 4</w:t>
            </w:r>
          </w:p>
        </w:tc>
        <w:tc>
          <w:tcPr>
            <w:tcW w:w="1134" w:type="dxa"/>
            <w:gridSpan w:val="4"/>
          </w:tcPr>
          <w:p>
            <w:pPr>
              <w:pStyle w:val="nTable"/>
              <w:spacing w:after="40"/>
              <w:rPr>
                <w:sz w:val="19"/>
              </w:rPr>
            </w:pPr>
            <w:r>
              <w:rPr>
                <w:sz w:val="19"/>
              </w:rPr>
              <w:t>73 of 1994</w:t>
            </w:r>
          </w:p>
        </w:tc>
        <w:tc>
          <w:tcPr>
            <w:tcW w:w="1142" w:type="dxa"/>
            <w:gridSpan w:val="3"/>
          </w:tcPr>
          <w:p>
            <w:pPr>
              <w:pStyle w:val="nTable"/>
              <w:spacing w:after="40"/>
              <w:rPr>
                <w:sz w:val="19"/>
              </w:rPr>
            </w:pPr>
            <w:r>
              <w:rPr>
                <w:sz w:val="19"/>
              </w:rPr>
              <w:t>9 Dec 1994</w:t>
            </w:r>
          </w:p>
        </w:tc>
        <w:tc>
          <w:tcPr>
            <w:tcW w:w="2544" w:type="dxa"/>
            <w:gridSpan w:val="3"/>
          </w:tcPr>
          <w:p>
            <w:pPr>
              <w:pStyle w:val="nTable"/>
              <w:spacing w:after="40"/>
              <w:rPr>
                <w:sz w:val="19"/>
              </w:rPr>
            </w:pPr>
            <w:r>
              <w:rPr>
                <w:sz w:val="19"/>
              </w:rPr>
              <w:t>9 Dec 1994 (see s. 2)</w:t>
            </w:r>
          </w:p>
        </w:tc>
      </w:tr>
      <w:tr>
        <w:trPr>
          <w:gridAfter w:val="2"/>
          <w:wAfter w:w="38" w:type="dxa"/>
          <w:cantSplit/>
        </w:trPr>
        <w:tc>
          <w:tcPr>
            <w:tcW w:w="2227" w:type="dxa"/>
            <w:gridSpan w:val="2"/>
          </w:tcPr>
          <w:p>
            <w:pPr>
              <w:pStyle w:val="nTable"/>
              <w:spacing w:after="40"/>
              <w:ind w:right="113"/>
              <w:rPr>
                <w:sz w:val="19"/>
              </w:rPr>
            </w:pPr>
            <w:r>
              <w:rPr>
                <w:i/>
                <w:sz w:val="19"/>
              </w:rPr>
              <w:t xml:space="preserve">Business Licensing Amendment Act 1995 </w:t>
            </w:r>
            <w:r>
              <w:rPr>
                <w:iCs/>
                <w:sz w:val="19"/>
              </w:rPr>
              <w:t>Pt. 9</w:t>
            </w:r>
          </w:p>
        </w:tc>
        <w:tc>
          <w:tcPr>
            <w:tcW w:w="1134" w:type="dxa"/>
            <w:gridSpan w:val="4"/>
          </w:tcPr>
          <w:p>
            <w:pPr>
              <w:pStyle w:val="nTable"/>
              <w:spacing w:after="40"/>
              <w:rPr>
                <w:sz w:val="19"/>
              </w:rPr>
            </w:pPr>
            <w:r>
              <w:rPr>
                <w:sz w:val="19"/>
              </w:rPr>
              <w:t>56 of 1995</w:t>
            </w:r>
          </w:p>
        </w:tc>
        <w:tc>
          <w:tcPr>
            <w:tcW w:w="1142" w:type="dxa"/>
            <w:gridSpan w:val="3"/>
          </w:tcPr>
          <w:p>
            <w:pPr>
              <w:pStyle w:val="nTable"/>
              <w:spacing w:after="40"/>
              <w:rPr>
                <w:sz w:val="19"/>
              </w:rPr>
            </w:pPr>
            <w:r>
              <w:rPr>
                <w:sz w:val="19"/>
              </w:rPr>
              <w:t>20 Dec 1995</w:t>
            </w:r>
          </w:p>
        </w:tc>
        <w:tc>
          <w:tcPr>
            <w:tcW w:w="2544" w:type="dxa"/>
            <w:gridSpan w:val="3"/>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gridAfter w:val="2"/>
          <w:wAfter w:w="38" w:type="dxa"/>
          <w:cantSplit/>
        </w:trPr>
        <w:tc>
          <w:tcPr>
            <w:tcW w:w="2227" w:type="dxa"/>
            <w:gridSpan w:val="2"/>
          </w:tcPr>
          <w:p>
            <w:pPr>
              <w:pStyle w:val="nTable"/>
              <w:spacing w:after="40"/>
              <w:ind w:right="113"/>
              <w:rPr>
                <w:sz w:val="19"/>
                <w:vertAlign w:val="superscript"/>
              </w:rPr>
            </w:pPr>
            <w:r>
              <w:rPr>
                <w:i/>
                <w:sz w:val="19"/>
              </w:rPr>
              <w:t xml:space="preserve">Strata Titles Amendment Act 1995 </w:t>
            </w:r>
            <w:r>
              <w:rPr>
                <w:sz w:val="19"/>
              </w:rPr>
              <w:t>s. 98</w:t>
            </w:r>
          </w:p>
        </w:tc>
        <w:tc>
          <w:tcPr>
            <w:tcW w:w="1134" w:type="dxa"/>
            <w:gridSpan w:val="4"/>
          </w:tcPr>
          <w:p>
            <w:pPr>
              <w:pStyle w:val="nTable"/>
              <w:spacing w:after="40"/>
              <w:rPr>
                <w:sz w:val="19"/>
              </w:rPr>
            </w:pPr>
            <w:r>
              <w:rPr>
                <w:sz w:val="19"/>
              </w:rPr>
              <w:t>58 of 1995</w:t>
            </w:r>
          </w:p>
        </w:tc>
        <w:tc>
          <w:tcPr>
            <w:tcW w:w="1142" w:type="dxa"/>
            <w:gridSpan w:val="3"/>
          </w:tcPr>
          <w:p>
            <w:pPr>
              <w:pStyle w:val="nTable"/>
              <w:spacing w:after="40"/>
              <w:rPr>
                <w:sz w:val="19"/>
              </w:rPr>
            </w:pPr>
            <w:r>
              <w:rPr>
                <w:sz w:val="19"/>
              </w:rPr>
              <w:t>20 Dec 1995</w:t>
            </w:r>
          </w:p>
        </w:tc>
        <w:tc>
          <w:tcPr>
            <w:tcW w:w="2544" w:type="dxa"/>
            <w:gridSpan w:val="3"/>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gridAfter w:val="2"/>
          <w:wAfter w:w="38" w:type="dxa"/>
          <w:cantSplit/>
        </w:trPr>
        <w:tc>
          <w:tcPr>
            <w:tcW w:w="2227" w:type="dxa"/>
            <w:gridSpan w:val="2"/>
          </w:tcPr>
          <w:p>
            <w:pPr>
              <w:pStyle w:val="nTable"/>
              <w:spacing w:after="40"/>
              <w:ind w:right="113"/>
              <w:rPr>
                <w:sz w:val="19"/>
                <w:vertAlign w:val="superscript"/>
              </w:rPr>
            </w:pPr>
            <w:r>
              <w:rPr>
                <w:i/>
                <w:sz w:val="19"/>
              </w:rPr>
              <w:t xml:space="preserve">Real Estate Legislation Amendment Act 1995 </w:t>
            </w:r>
            <w:r>
              <w:rPr>
                <w:sz w:val="19"/>
              </w:rPr>
              <w:t>Pt. 4</w:t>
            </w:r>
            <w:r>
              <w:rPr>
                <w:sz w:val="19"/>
                <w:vertAlign w:val="superscript"/>
              </w:rPr>
              <w:t> 6</w:t>
            </w:r>
          </w:p>
        </w:tc>
        <w:tc>
          <w:tcPr>
            <w:tcW w:w="1134" w:type="dxa"/>
            <w:gridSpan w:val="4"/>
          </w:tcPr>
          <w:p>
            <w:pPr>
              <w:pStyle w:val="nTable"/>
              <w:spacing w:after="40"/>
              <w:rPr>
                <w:sz w:val="19"/>
              </w:rPr>
            </w:pPr>
            <w:r>
              <w:rPr>
                <w:sz w:val="19"/>
              </w:rPr>
              <w:t>59 of 1995</w:t>
            </w:r>
          </w:p>
        </w:tc>
        <w:tc>
          <w:tcPr>
            <w:tcW w:w="1142" w:type="dxa"/>
            <w:gridSpan w:val="3"/>
          </w:tcPr>
          <w:p>
            <w:pPr>
              <w:pStyle w:val="nTable"/>
              <w:spacing w:after="40"/>
              <w:rPr>
                <w:sz w:val="19"/>
              </w:rPr>
            </w:pPr>
            <w:r>
              <w:rPr>
                <w:sz w:val="19"/>
              </w:rPr>
              <w:t>20 Dec 1995</w:t>
            </w:r>
          </w:p>
        </w:tc>
        <w:tc>
          <w:tcPr>
            <w:tcW w:w="2544" w:type="dxa"/>
            <w:gridSpan w:val="3"/>
          </w:tcPr>
          <w:p>
            <w:pPr>
              <w:pStyle w:val="nTable"/>
              <w:spacing w:after="40"/>
              <w:rPr>
                <w:sz w:val="19"/>
              </w:rPr>
            </w:pPr>
            <w:r>
              <w:rPr>
                <w:sz w:val="19"/>
              </w:rPr>
              <w:t xml:space="preserve">1 Jul 1996 (see s. 2 and </w:t>
            </w:r>
            <w:r>
              <w:rPr>
                <w:i/>
                <w:sz w:val="19"/>
              </w:rPr>
              <w:t>Gazette</w:t>
            </w:r>
            <w:r>
              <w:rPr>
                <w:sz w:val="19"/>
              </w:rPr>
              <w:t xml:space="preserve"> 25 Jun 1996 p. 2902)</w:t>
            </w:r>
          </w:p>
        </w:tc>
      </w:tr>
      <w:tr>
        <w:trPr>
          <w:gridAfter w:val="2"/>
          <w:wAfter w:w="38" w:type="dxa"/>
          <w:cantSplit/>
        </w:trPr>
        <w:tc>
          <w:tcPr>
            <w:tcW w:w="2227"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4"/>
          </w:tcPr>
          <w:p>
            <w:pPr>
              <w:pStyle w:val="nTable"/>
              <w:spacing w:after="40"/>
              <w:rPr>
                <w:sz w:val="19"/>
              </w:rPr>
            </w:pPr>
            <w:r>
              <w:rPr>
                <w:sz w:val="19"/>
              </w:rPr>
              <w:t>14 of 1996</w:t>
            </w:r>
          </w:p>
        </w:tc>
        <w:tc>
          <w:tcPr>
            <w:tcW w:w="1142" w:type="dxa"/>
            <w:gridSpan w:val="3"/>
          </w:tcPr>
          <w:p>
            <w:pPr>
              <w:pStyle w:val="nTable"/>
              <w:spacing w:after="40"/>
              <w:rPr>
                <w:sz w:val="19"/>
              </w:rPr>
            </w:pPr>
            <w:r>
              <w:rPr>
                <w:sz w:val="19"/>
              </w:rPr>
              <w:t>28 Jun 1996</w:t>
            </w:r>
          </w:p>
        </w:tc>
        <w:tc>
          <w:tcPr>
            <w:tcW w:w="2544" w:type="dxa"/>
            <w:gridSpan w:val="3"/>
          </w:tcPr>
          <w:p>
            <w:pPr>
              <w:pStyle w:val="nTable"/>
              <w:spacing w:after="40"/>
              <w:rPr>
                <w:sz w:val="19"/>
              </w:rPr>
            </w:pPr>
            <w:r>
              <w:rPr>
                <w:sz w:val="19"/>
              </w:rPr>
              <w:t>1 Jul 1996 (see s. 2)</w:t>
            </w:r>
          </w:p>
        </w:tc>
      </w:tr>
      <w:tr>
        <w:trPr>
          <w:gridAfter w:val="1"/>
          <w:wAfter w:w="25" w:type="dxa"/>
          <w:cantSplit/>
        </w:trPr>
        <w:tc>
          <w:tcPr>
            <w:tcW w:w="7060" w:type="dxa"/>
            <w:gridSpan w:val="13"/>
          </w:tcPr>
          <w:p>
            <w:pPr>
              <w:pStyle w:val="nTable"/>
              <w:spacing w:after="40"/>
              <w:rPr>
                <w:sz w:val="19"/>
              </w:rPr>
            </w:pPr>
            <w:r>
              <w:rPr>
                <w:b/>
                <w:bCs/>
                <w:sz w:val="19"/>
              </w:rPr>
              <w:t xml:space="preserve">Reprint of the </w:t>
            </w:r>
            <w:r>
              <w:rPr>
                <w:b/>
                <w:bCs/>
                <w:i/>
                <w:iCs/>
                <w:sz w:val="19"/>
              </w:rPr>
              <w:t>Settlement Agents Act 1981</w:t>
            </w:r>
            <w:r>
              <w:rPr>
                <w:b/>
                <w:bCs/>
                <w:sz w:val="19"/>
              </w:rPr>
              <w:t xml:space="preserve"> as at 23 Sep 1996</w:t>
            </w:r>
            <w:r>
              <w:rPr>
                <w:sz w:val="19"/>
              </w:rPr>
              <w:t xml:space="preserve"> (includes amendments listed above)</w:t>
            </w:r>
          </w:p>
        </w:tc>
      </w:tr>
      <w:tr>
        <w:trPr>
          <w:gridAfter w:val="1"/>
          <w:wAfter w:w="25" w:type="dxa"/>
          <w:cantSplit/>
        </w:trPr>
        <w:tc>
          <w:tcPr>
            <w:tcW w:w="2244" w:type="dxa"/>
            <w:gridSpan w:val="3"/>
          </w:tcPr>
          <w:p>
            <w:pPr>
              <w:pStyle w:val="nTable"/>
              <w:spacing w:after="40"/>
              <w:ind w:right="113"/>
              <w:rPr>
                <w:sz w:val="19"/>
              </w:rPr>
            </w:pPr>
            <w:r>
              <w:rPr>
                <w:i/>
                <w:sz w:val="19"/>
              </w:rPr>
              <w:t>Settlement Agents Amendment Act 1996</w:t>
            </w:r>
          </w:p>
        </w:tc>
        <w:tc>
          <w:tcPr>
            <w:tcW w:w="1134" w:type="dxa"/>
            <w:gridSpan w:val="4"/>
          </w:tcPr>
          <w:p>
            <w:pPr>
              <w:pStyle w:val="nTable"/>
              <w:spacing w:after="40"/>
              <w:rPr>
                <w:sz w:val="19"/>
              </w:rPr>
            </w:pPr>
            <w:r>
              <w:rPr>
                <w:sz w:val="19"/>
              </w:rPr>
              <w:t>62 of 1996</w:t>
            </w:r>
          </w:p>
        </w:tc>
        <w:tc>
          <w:tcPr>
            <w:tcW w:w="1134" w:type="dxa"/>
            <w:gridSpan w:val="3"/>
          </w:tcPr>
          <w:p>
            <w:pPr>
              <w:pStyle w:val="nTable"/>
              <w:spacing w:after="40"/>
              <w:rPr>
                <w:sz w:val="19"/>
              </w:rPr>
            </w:pPr>
            <w:r>
              <w:rPr>
                <w:sz w:val="19"/>
              </w:rPr>
              <w:t>11 Nov 1996</w:t>
            </w:r>
          </w:p>
        </w:tc>
        <w:tc>
          <w:tcPr>
            <w:tcW w:w="2548" w:type="dxa"/>
            <w:gridSpan w:val="3"/>
          </w:tcPr>
          <w:p>
            <w:pPr>
              <w:pStyle w:val="nTable"/>
              <w:spacing w:after="40"/>
              <w:rPr>
                <w:sz w:val="19"/>
              </w:rPr>
            </w:pPr>
            <w:r>
              <w:rPr>
                <w:sz w:val="19"/>
              </w:rPr>
              <w:t xml:space="preserve">24 May 1997 (see s. 2 and </w:t>
            </w:r>
            <w:r>
              <w:rPr>
                <w:i/>
                <w:sz w:val="19"/>
              </w:rPr>
              <w:t>Gazette</w:t>
            </w:r>
            <w:r>
              <w:rPr>
                <w:sz w:val="19"/>
              </w:rPr>
              <w:t xml:space="preserve"> 23 May 1997 p. 2417)</w:t>
            </w:r>
          </w:p>
        </w:tc>
      </w:tr>
      <w:tr>
        <w:trPr>
          <w:gridAfter w:val="1"/>
          <w:wAfter w:w="25" w:type="dxa"/>
          <w:cantSplit/>
        </w:trPr>
        <w:tc>
          <w:tcPr>
            <w:tcW w:w="2244" w:type="dxa"/>
            <w:gridSpan w:val="3"/>
          </w:tcPr>
          <w:p>
            <w:pPr>
              <w:pStyle w:val="nTable"/>
              <w:spacing w:after="40"/>
              <w:ind w:right="113"/>
              <w:rPr>
                <w:sz w:val="19"/>
              </w:rPr>
            </w:pPr>
            <w:r>
              <w:rPr>
                <w:i/>
                <w:sz w:val="19"/>
              </w:rPr>
              <w:t xml:space="preserve">Transfer of Land Amendment Act 1996 </w:t>
            </w:r>
            <w:r>
              <w:rPr>
                <w:sz w:val="19"/>
              </w:rPr>
              <w:t>s. 153(1) and (2)</w:t>
            </w:r>
          </w:p>
        </w:tc>
        <w:tc>
          <w:tcPr>
            <w:tcW w:w="1134" w:type="dxa"/>
            <w:gridSpan w:val="4"/>
          </w:tcPr>
          <w:p>
            <w:pPr>
              <w:pStyle w:val="nTable"/>
              <w:spacing w:after="40"/>
              <w:rPr>
                <w:sz w:val="19"/>
              </w:rPr>
            </w:pPr>
            <w:r>
              <w:rPr>
                <w:sz w:val="19"/>
              </w:rPr>
              <w:t>81 of 1996</w:t>
            </w:r>
          </w:p>
        </w:tc>
        <w:tc>
          <w:tcPr>
            <w:tcW w:w="1134" w:type="dxa"/>
            <w:gridSpan w:val="3"/>
          </w:tcPr>
          <w:p>
            <w:pPr>
              <w:pStyle w:val="nTable"/>
              <w:spacing w:after="40"/>
              <w:rPr>
                <w:sz w:val="19"/>
              </w:rPr>
            </w:pPr>
            <w:r>
              <w:rPr>
                <w:sz w:val="19"/>
              </w:rPr>
              <w:t>14 Nov 1996</w:t>
            </w:r>
          </w:p>
        </w:tc>
        <w:tc>
          <w:tcPr>
            <w:tcW w:w="2548" w:type="dxa"/>
            <w:gridSpan w:val="3"/>
          </w:tcPr>
          <w:p>
            <w:pPr>
              <w:pStyle w:val="nTable"/>
              <w:spacing w:after="40"/>
              <w:rPr>
                <w:sz w:val="19"/>
              </w:rPr>
            </w:pPr>
            <w:r>
              <w:rPr>
                <w:sz w:val="19"/>
              </w:rPr>
              <w:t>14 Nov 1996 (see s. 2(1))</w:t>
            </w:r>
          </w:p>
        </w:tc>
      </w:tr>
      <w:tr>
        <w:trPr>
          <w:gridAfter w:val="1"/>
          <w:wAfter w:w="25" w:type="dxa"/>
          <w:cantSplit/>
        </w:trPr>
        <w:tc>
          <w:tcPr>
            <w:tcW w:w="2244" w:type="dxa"/>
            <w:gridSpan w:val="3"/>
          </w:tcPr>
          <w:p>
            <w:pPr>
              <w:pStyle w:val="nTable"/>
              <w:spacing w:after="40"/>
              <w:ind w:right="113"/>
              <w:rPr>
                <w:sz w:val="19"/>
              </w:rPr>
            </w:pPr>
            <w:r>
              <w:rPr>
                <w:i/>
                <w:sz w:val="19"/>
              </w:rPr>
              <w:t xml:space="preserve">Acts Amendment (Land Administration) Act 1997 </w:t>
            </w:r>
            <w:r>
              <w:rPr>
                <w:sz w:val="19"/>
              </w:rPr>
              <w:t>s. 141</w:t>
            </w:r>
          </w:p>
        </w:tc>
        <w:tc>
          <w:tcPr>
            <w:tcW w:w="1134" w:type="dxa"/>
            <w:gridSpan w:val="4"/>
          </w:tcPr>
          <w:p>
            <w:pPr>
              <w:pStyle w:val="nTable"/>
              <w:keepNext/>
              <w:keepLines/>
              <w:spacing w:after="40"/>
              <w:rPr>
                <w:sz w:val="19"/>
              </w:rPr>
            </w:pPr>
            <w:r>
              <w:rPr>
                <w:sz w:val="19"/>
              </w:rPr>
              <w:t>31 of 1997</w:t>
            </w:r>
          </w:p>
        </w:tc>
        <w:tc>
          <w:tcPr>
            <w:tcW w:w="1134" w:type="dxa"/>
            <w:gridSpan w:val="3"/>
          </w:tcPr>
          <w:p>
            <w:pPr>
              <w:pStyle w:val="nTable"/>
              <w:keepNext/>
              <w:keepLines/>
              <w:spacing w:after="40"/>
              <w:rPr>
                <w:sz w:val="19"/>
              </w:rPr>
            </w:pPr>
            <w:r>
              <w:rPr>
                <w:sz w:val="19"/>
              </w:rPr>
              <w:t>3 Oct 1997</w:t>
            </w:r>
          </w:p>
        </w:tc>
        <w:tc>
          <w:tcPr>
            <w:tcW w:w="2548" w:type="dxa"/>
            <w:gridSpan w:val="3"/>
          </w:tcPr>
          <w:p>
            <w:pPr>
              <w:pStyle w:val="nTable"/>
              <w:keepNext/>
              <w:keepLines/>
              <w:spacing w:after="40"/>
              <w:rPr>
                <w:sz w:val="19"/>
              </w:rPr>
            </w:pPr>
            <w:r>
              <w:rPr>
                <w:sz w:val="19"/>
              </w:rPr>
              <w:t xml:space="preserve">30 Mar 1998 (see s. 2 and </w:t>
            </w:r>
            <w:r>
              <w:rPr>
                <w:i/>
                <w:sz w:val="19"/>
              </w:rPr>
              <w:t>Gazette</w:t>
            </w:r>
            <w:r>
              <w:rPr>
                <w:sz w:val="19"/>
              </w:rPr>
              <w:t xml:space="preserve"> 27 Mar 1998 p. 1765)</w:t>
            </w:r>
          </w:p>
        </w:tc>
      </w:tr>
      <w:tr>
        <w:trPr>
          <w:gridAfter w:val="1"/>
          <w:wAfter w:w="25" w:type="dxa"/>
          <w:cantSplit/>
        </w:trPr>
        <w:tc>
          <w:tcPr>
            <w:tcW w:w="2244" w:type="dxa"/>
            <w:gridSpan w:val="3"/>
          </w:tcPr>
          <w:p>
            <w:pPr>
              <w:pStyle w:val="nTable"/>
              <w:spacing w:after="40"/>
              <w:ind w:right="113"/>
              <w:rPr>
                <w:sz w:val="19"/>
              </w:rPr>
            </w:pPr>
            <w:r>
              <w:rPr>
                <w:i/>
                <w:sz w:val="19"/>
              </w:rPr>
              <w:t xml:space="preserve">Acts Amendment and Repeal (Financial Sector Reform) Act 1999 </w:t>
            </w:r>
            <w:r>
              <w:rPr>
                <w:sz w:val="19"/>
              </w:rPr>
              <w:t>s. 102</w:t>
            </w:r>
          </w:p>
        </w:tc>
        <w:tc>
          <w:tcPr>
            <w:tcW w:w="1134" w:type="dxa"/>
            <w:gridSpan w:val="4"/>
          </w:tcPr>
          <w:p>
            <w:pPr>
              <w:pStyle w:val="nTable"/>
              <w:keepNext/>
              <w:keepLines/>
              <w:spacing w:after="40"/>
              <w:rPr>
                <w:sz w:val="19"/>
              </w:rPr>
            </w:pPr>
            <w:r>
              <w:rPr>
                <w:sz w:val="19"/>
              </w:rPr>
              <w:t>26 of 1999</w:t>
            </w:r>
          </w:p>
        </w:tc>
        <w:tc>
          <w:tcPr>
            <w:tcW w:w="1134" w:type="dxa"/>
            <w:gridSpan w:val="3"/>
          </w:tcPr>
          <w:p>
            <w:pPr>
              <w:pStyle w:val="nTable"/>
              <w:keepNext/>
              <w:keepLines/>
              <w:spacing w:after="40"/>
              <w:rPr>
                <w:sz w:val="19"/>
              </w:rPr>
            </w:pPr>
            <w:r>
              <w:rPr>
                <w:sz w:val="19"/>
              </w:rPr>
              <w:t>29 Jun 1999</w:t>
            </w:r>
          </w:p>
        </w:tc>
        <w:tc>
          <w:tcPr>
            <w:tcW w:w="2548"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7" w:type="dxa"/>
            <w:gridSpan w:val="4"/>
          </w:tcPr>
          <w:p>
            <w:pPr>
              <w:pStyle w:val="nTable"/>
              <w:spacing w:after="40"/>
              <w:ind w:right="113"/>
              <w:rPr>
                <w:sz w:val="19"/>
                <w:vertAlign w:val="superscript"/>
              </w:rPr>
            </w:pPr>
            <w:r>
              <w:rPr>
                <w:i/>
                <w:sz w:val="19"/>
              </w:rPr>
              <w:t xml:space="preserve">Real Estate Legislation (Fidelity Guarantee Funds) Amendment Act 2000 </w:t>
            </w:r>
            <w:r>
              <w:rPr>
                <w:sz w:val="19"/>
              </w:rPr>
              <w:t>Pt. 3</w:t>
            </w:r>
            <w:r>
              <w:rPr>
                <w:sz w:val="19"/>
                <w:vertAlign w:val="superscript"/>
              </w:rPr>
              <w:t> 3</w:t>
            </w:r>
          </w:p>
        </w:tc>
        <w:tc>
          <w:tcPr>
            <w:tcW w:w="1134" w:type="dxa"/>
            <w:gridSpan w:val="4"/>
          </w:tcPr>
          <w:p>
            <w:pPr>
              <w:pStyle w:val="nTable"/>
              <w:keepNext/>
              <w:keepLines/>
              <w:spacing w:after="40"/>
              <w:rPr>
                <w:sz w:val="19"/>
              </w:rPr>
            </w:pPr>
            <w:r>
              <w:rPr>
                <w:sz w:val="19"/>
              </w:rPr>
              <w:t>3 of 2000</w:t>
            </w:r>
          </w:p>
        </w:tc>
        <w:tc>
          <w:tcPr>
            <w:tcW w:w="1134" w:type="dxa"/>
            <w:gridSpan w:val="3"/>
          </w:tcPr>
          <w:p>
            <w:pPr>
              <w:pStyle w:val="nTable"/>
              <w:keepNext/>
              <w:keepLines/>
              <w:spacing w:after="40"/>
              <w:rPr>
                <w:sz w:val="19"/>
              </w:rPr>
            </w:pPr>
            <w:r>
              <w:rPr>
                <w:sz w:val="19"/>
              </w:rPr>
              <w:t>12 Apr 2000</w:t>
            </w:r>
          </w:p>
        </w:tc>
        <w:tc>
          <w:tcPr>
            <w:tcW w:w="2550" w:type="dxa"/>
            <w:gridSpan w:val="3"/>
          </w:tcPr>
          <w:p>
            <w:pPr>
              <w:pStyle w:val="nTable"/>
              <w:keepNext/>
              <w:keepLines/>
              <w:spacing w:after="40"/>
              <w:rPr>
                <w:sz w:val="19"/>
              </w:rPr>
            </w:pPr>
            <w:r>
              <w:rPr>
                <w:sz w:val="19"/>
              </w:rPr>
              <w:t>12 Apr 2000 (see s. 2)</w:t>
            </w:r>
          </w:p>
        </w:tc>
      </w:tr>
      <w:tr>
        <w:trPr>
          <w:cantSplit/>
        </w:trPr>
        <w:tc>
          <w:tcPr>
            <w:tcW w:w="7085" w:type="dxa"/>
            <w:gridSpan w:val="14"/>
          </w:tcPr>
          <w:p>
            <w:pPr>
              <w:pStyle w:val="nTable"/>
              <w:keepNext/>
              <w:keepLines/>
              <w:spacing w:after="40"/>
              <w:rPr>
                <w:sz w:val="19"/>
              </w:rPr>
            </w:pPr>
            <w:r>
              <w:rPr>
                <w:b/>
                <w:bCs/>
                <w:sz w:val="19"/>
              </w:rPr>
              <w:t xml:space="preserve">Reprint of the </w:t>
            </w:r>
            <w:r>
              <w:rPr>
                <w:b/>
                <w:bCs/>
                <w:i/>
                <w:iCs/>
                <w:sz w:val="19"/>
              </w:rPr>
              <w:t>Settlement Agents Act 1981</w:t>
            </w:r>
            <w:r>
              <w:rPr>
                <w:b/>
                <w:bCs/>
                <w:sz w:val="19"/>
              </w:rPr>
              <w:t xml:space="preserve"> as at 3 Nov 2000</w:t>
            </w:r>
            <w:r>
              <w:rPr>
                <w:sz w:val="19"/>
              </w:rPr>
              <w:t xml:space="preserve"> (includes amendments listed above)</w:t>
            </w:r>
          </w:p>
        </w:tc>
      </w:tr>
      <w:tr>
        <w:trPr>
          <w:cantSplit/>
        </w:trPr>
        <w:tc>
          <w:tcPr>
            <w:tcW w:w="2267" w:type="dxa"/>
            <w:gridSpan w:val="4"/>
          </w:tcPr>
          <w:p>
            <w:pPr>
              <w:pStyle w:val="nTable"/>
              <w:spacing w:after="40"/>
              <w:ind w:right="113"/>
              <w:rPr>
                <w:i/>
                <w:sz w:val="19"/>
              </w:rPr>
            </w:pPr>
            <w:r>
              <w:rPr>
                <w:i/>
                <w:sz w:val="19"/>
              </w:rPr>
              <w:t xml:space="preserve">Corporations (Consequential Amendments) Act 2001 </w:t>
            </w:r>
            <w:r>
              <w:rPr>
                <w:sz w:val="19"/>
              </w:rPr>
              <w:t>s. 220 and 222</w:t>
            </w:r>
          </w:p>
        </w:tc>
        <w:tc>
          <w:tcPr>
            <w:tcW w:w="1134" w:type="dxa"/>
            <w:gridSpan w:val="4"/>
          </w:tcPr>
          <w:p>
            <w:pPr>
              <w:pStyle w:val="nTable"/>
              <w:keepNext/>
              <w:keepLines/>
              <w:spacing w:after="40"/>
              <w:rPr>
                <w:sz w:val="19"/>
              </w:rPr>
            </w:pPr>
            <w:r>
              <w:rPr>
                <w:sz w:val="19"/>
              </w:rPr>
              <w:t>10 of 2001</w:t>
            </w:r>
          </w:p>
        </w:tc>
        <w:tc>
          <w:tcPr>
            <w:tcW w:w="1134" w:type="dxa"/>
            <w:gridSpan w:val="3"/>
          </w:tcPr>
          <w:p>
            <w:pPr>
              <w:pStyle w:val="nTable"/>
              <w:keepNext/>
              <w:keepLines/>
              <w:spacing w:after="40"/>
              <w:rPr>
                <w:sz w:val="19"/>
              </w:rPr>
            </w:pPr>
            <w:r>
              <w:rPr>
                <w:sz w:val="19"/>
              </w:rPr>
              <w:t>28 Jun 2001</w:t>
            </w:r>
          </w:p>
        </w:tc>
        <w:tc>
          <w:tcPr>
            <w:tcW w:w="2550" w:type="dxa"/>
            <w:gridSpan w:val="3"/>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7" w:type="dxa"/>
            <w:gridSpan w:val="4"/>
          </w:tcPr>
          <w:p>
            <w:pPr>
              <w:pStyle w:val="nTable"/>
              <w:spacing w:after="40"/>
              <w:ind w:right="113"/>
              <w:rPr>
                <w:i/>
                <w:sz w:val="19"/>
              </w:rPr>
            </w:pPr>
            <w:r>
              <w:rPr>
                <w:i/>
                <w:sz w:val="19"/>
              </w:rPr>
              <w:t xml:space="preserve">Corporations (Consequential Amendments) Act (No. 3) 2003 </w:t>
            </w:r>
            <w:r>
              <w:rPr>
                <w:sz w:val="19"/>
              </w:rPr>
              <w:t>Pt. 13 </w:t>
            </w:r>
            <w:r>
              <w:rPr>
                <w:sz w:val="19"/>
                <w:vertAlign w:val="superscript"/>
              </w:rPr>
              <w:t>7</w:t>
            </w:r>
          </w:p>
        </w:tc>
        <w:tc>
          <w:tcPr>
            <w:tcW w:w="1134" w:type="dxa"/>
            <w:gridSpan w:val="4"/>
          </w:tcPr>
          <w:p>
            <w:pPr>
              <w:pStyle w:val="nTable"/>
              <w:keepNext/>
              <w:keepLines/>
              <w:spacing w:after="40"/>
              <w:rPr>
                <w:sz w:val="19"/>
              </w:rPr>
            </w:pPr>
            <w:r>
              <w:rPr>
                <w:sz w:val="19"/>
              </w:rPr>
              <w:t>21 of 2003</w:t>
            </w:r>
          </w:p>
        </w:tc>
        <w:tc>
          <w:tcPr>
            <w:tcW w:w="1134" w:type="dxa"/>
            <w:gridSpan w:val="3"/>
          </w:tcPr>
          <w:p>
            <w:pPr>
              <w:pStyle w:val="nTable"/>
              <w:keepNext/>
              <w:keepLines/>
              <w:spacing w:after="40"/>
              <w:rPr>
                <w:sz w:val="19"/>
              </w:rPr>
            </w:pPr>
            <w:r>
              <w:rPr>
                <w:sz w:val="19"/>
              </w:rPr>
              <w:t>23 Apr 2003</w:t>
            </w:r>
          </w:p>
        </w:tc>
        <w:tc>
          <w:tcPr>
            <w:tcW w:w="2550" w:type="dxa"/>
            <w:gridSpan w:val="3"/>
          </w:tcPr>
          <w:p>
            <w:pPr>
              <w:pStyle w:val="nTable"/>
              <w:keepNext/>
              <w:keepLines/>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7" w:type="dxa"/>
            <w:gridSpan w:val="4"/>
          </w:tcPr>
          <w:p>
            <w:pPr>
              <w:pStyle w:val="nTable"/>
              <w:spacing w:after="40"/>
              <w:ind w:right="113"/>
              <w:rPr>
                <w:sz w:val="19"/>
              </w:rPr>
            </w:pPr>
            <w:r>
              <w:rPr>
                <w:i/>
                <w:sz w:val="19"/>
              </w:rPr>
              <w:t>Acts Amendment (Equality of Status) Act 2003</w:t>
            </w:r>
            <w:r>
              <w:rPr>
                <w:sz w:val="19"/>
              </w:rPr>
              <w:t xml:space="preserve"> Pt. 53</w:t>
            </w:r>
          </w:p>
        </w:tc>
        <w:tc>
          <w:tcPr>
            <w:tcW w:w="1134" w:type="dxa"/>
            <w:gridSpan w:val="4"/>
          </w:tcPr>
          <w:p>
            <w:pPr>
              <w:pStyle w:val="nTable"/>
              <w:keepNext/>
              <w:keepLines/>
              <w:spacing w:after="40"/>
              <w:rPr>
                <w:sz w:val="19"/>
              </w:rPr>
            </w:pPr>
            <w:r>
              <w:rPr>
                <w:sz w:val="19"/>
              </w:rPr>
              <w:t>28 of 2003</w:t>
            </w:r>
          </w:p>
        </w:tc>
        <w:tc>
          <w:tcPr>
            <w:tcW w:w="1134" w:type="dxa"/>
            <w:gridSpan w:val="3"/>
          </w:tcPr>
          <w:p>
            <w:pPr>
              <w:pStyle w:val="nTable"/>
              <w:keepNext/>
              <w:keepLines/>
              <w:spacing w:after="40"/>
              <w:rPr>
                <w:sz w:val="19"/>
              </w:rPr>
            </w:pPr>
            <w:r>
              <w:rPr>
                <w:sz w:val="19"/>
              </w:rPr>
              <w:t>22 May 2003</w:t>
            </w:r>
          </w:p>
        </w:tc>
        <w:tc>
          <w:tcPr>
            <w:tcW w:w="2550" w:type="dxa"/>
            <w:gridSpan w:val="3"/>
          </w:tcPr>
          <w:p>
            <w:pPr>
              <w:pStyle w:val="nTable"/>
              <w:keepNext/>
              <w:keepLines/>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7" w:type="dxa"/>
            <w:gridSpan w:val="4"/>
          </w:tcPr>
          <w:p>
            <w:pPr>
              <w:pStyle w:val="nTable"/>
              <w:spacing w:after="40"/>
              <w:ind w:right="113"/>
              <w:rPr>
                <w:i/>
                <w:sz w:val="19"/>
              </w:rPr>
            </w:pPr>
            <w:r>
              <w:rPr>
                <w:i/>
                <w:sz w:val="19"/>
              </w:rPr>
              <w:t>Acts Amendment and Repeal (Courts and Legal Practice) Act 2003</w:t>
            </w:r>
            <w:r>
              <w:rPr>
                <w:sz w:val="19"/>
              </w:rPr>
              <w:t xml:space="preserve"> s</w:t>
            </w:r>
            <w:r>
              <w:rPr>
                <w:i/>
                <w:sz w:val="19"/>
              </w:rPr>
              <w:t>.</w:t>
            </w:r>
            <w:r>
              <w:rPr>
                <w:sz w:val="19"/>
              </w:rPr>
              <w:t> 66</w:t>
            </w:r>
          </w:p>
        </w:tc>
        <w:tc>
          <w:tcPr>
            <w:tcW w:w="1134" w:type="dxa"/>
            <w:gridSpan w:val="4"/>
          </w:tcPr>
          <w:p>
            <w:pPr>
              <w:pStyle w:val="nTable"/>
              <w:keepNext/>
              <w:keepLines/>
              <w:spacing w:after="40"/>
              <w:rPr>
                <w:sz w:val="19"/>
              </w:rPr>
            </w:pPr>
            <w:r>
              <w:rPr>
                <w:sz w:val="19"/>
              </w:rPr>
              <w:t>65 of 2003</w:t>
            </w:r>
          </w:p>
        </w:tc>
        <w:tc>
          <w:tcPr>
            <w:tcW w:w="1134" w:type="dxa"/>
            <w:gridSpan w:val="3"/>
          </w:tcPr>
          <w:p>
            <w:pPr>
              <w:pStyle w:val="nTable"/>
              <w:keepNext/>
              <w:keepLines/>
              <w:spacing w:after="40"/>
              <w:rPr>
                <w:sz w:val="19"/>
              </w:rPr>
            </w:pPr>
            <w:r>
              <w:rPr>
                <w:sz w:val="19"/>
              </w:rPr>
              <w:t>4 Dec 2003</w:t>
            </w:r>
          </w:p>
        </w:tc>
        <w:tc>
          <w:tcPr>
            <w:tcW w:w="2550" w:type="dxa"/>
            <w:gridSpan w:val="3"/>
          </w:tcPr>
          <w:p>
            <w:pPr>
              <w:pStyle w:val="nTable"/>
              <w:keepNext/>
              <w:keepLines/>
              <w:spacing w:after="40"/>
              <w:rPr>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7" w:type="dxa"/>
            <w:gridSpan w:val="4"/>
          </w:tcPr>
          <w:p>
            <w:pPr>
              <w:pStyle w:val="nTable"/>
              <w:spacing w:after="40"/>
              <w:ind w:right="113"/>
              <w:rPr>
                <w:sz w:val="19"/>
              </w:rPr>
            </w:pPr>
            <w:r>
              <w:rPr>
                <w:i/>
                <w:sz w:val="19"/>
              </w:rPr>
              <w:t>Statutes (Repeals and Minor Amendments) Act 2003</w:t>
            </w:r>
            <w:r>
              <w:rPr>
                <w:sz w:val="19"/>
              </w:rPr>
              <w:t xml:space="preserve"> s. 109</w:t>
            </w:r>
          </w:p>
        </w:tc>
        <w:tc>
          <w:tcPr>
            <w:tcW w:w="1134" w:type="dxa"/>
            <w:gridSpan w:val="4"/>
          </w:tcPr>
          <w:p>
            <w:pPr>
              <w:pStyle w:val="nTable"/>
              <w:keepNext/>
              <w:keepLines/>
              <w:spacing w:after="40"/>
              <w:rPr>
                <w:sz w:val="19"/>
              </w:rPr>
            </w:pPr>
            <w:r>
              <w:rPr>
                <w:sz w:val="19"/>
              </w:rPr>
              <w:t>74 of 2003</w:t>
            </w:r>
          </w:p>
        </w:tc>
        <w:tc>
          <w:tcPr>
            <w:tcW w:w="1134" w:type="dxa"/>
            <w:gridSpan w:val="3"/>
          </w:tcPr>
          <w:p>
            <w:pPr>
              <w:pStyle w:val="nTable"/>
              <w:keepNext/>
              <w:keepLines/>
              <w:spacing w:after="40"/>
              <w:rPr>
                <w:sz w:val="19"/>
              </w:rPr>
            </w:pPr>
            <w:r>
              <w:rPr>
                <w:sz w:val="19"/>
              </w:rPr>
              <w:t>15 Dec 2003</w:t>
            </w:r>
          </w:p>
        </w:tc>
        <w:tc>
          <w:tcPr>
            <w:tcW w:w="2550" w:type="dxa"/>
            <w:gridSpan w:val="3"/>
          </w:tcPr>
          <w:p>
            <w:pPr>
              <w:pStyle w:val="nTable"/>
              <w:keepNext/>
              <w:keepLines/>
              <w:spacing w:after="40"/>
              <w:rPr>
                <w:sz w:val="19"/>
              </w:rPr>
            </w:pPr>
            <w:r>
              <w:rPr>
                <w:spacing w:val="-2"/>
                <w:sz w:val="19"/>
              </w:rPr>
              <w:t>15 Dec 2003 (see s. 2)</w:t>
            </w:r>
          </w:p>
        </w:tc>
      </w:tr>
      <w:tr>
        <w:trPr>
          <w:cantSplit/>
        </w:trPr>
        <w:tc>
          <w:tcPr>
            <w:tcW w:w="2267" w:type="dxa"/>
            <w:gridSpan w:val="4"/>
          </w:tcPr>
          <w:p>
            <w:pPr>
              <w:pStyle w:val="nTable"/>
              <w:keepNext/>
              <w:keepLines/>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4"/>
          </w:tcPr>
          <w:p>
            <w:pPr>
              <w:pStyle w:val="nTable"/>
              <w:keepNext/>
              <w:keepLines/>
              <w:spacing w:after="40"/>
              <w:rPr>
                <w:sz w:val="19"/>
              </w:rPr>
            </w:pPr>
            <w:r>
              <w:rPr>
                <w:snapToGrid w:val="0"/>
                <w:sz w:val="19"/>
                <w:lang w:val="en-US"/>
              </w:rPr>
              <w:t>59 of 2004</w:t>
            </w:r>
          </w:p>
        </w:tc>
        <w:tc>
          <w:tcPr>
            <w:tcW w:w="1134" w:type="dxa"/>
            <w:gridSpan w:val="3"/>
          </w:tcPr>
          <w:p>
            <w:pPr>
              <w:pStyle w:val="nTable"/>
              <w:keepNext/>
              <w:keepLines/>
              <w:spacing w:after="40"/>
              <w:rPr>
                <w:sz w:val="19"/>
              </w:rPr>
            </w:pPr>
            <w:r>
              <w:rPr>
                <w:sz w:val="19"/>
              </w:rPr>
              <w:t>23 Nov 2004</w:t>
            </w:r>
          </w:p>
        </w:tc>
        <w:tc>
          <w:tcPr>
            <w:tcW w:w="2550" w:type="dxa"/>
            <w:gridSpan w:val="3"/>
          </w:tcPr>
          <w:p>
            <w:pPr>
              <w:pStyle w:val="nTable"/>
              <w:keepNext/>
              <w:keepLines/>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7" w:type="dxa"/>
            <w:gridSpan w:val="4"/>
          </w:tcPr>
          <w:p>
            <w:pPr>
              <w:pStyle w:val="nTable"/>
              <w:spacing w:after="40"/>
              <w:ind w:right="113"/>
              <w:rPr>
                <w:i/>
                <w:sz w:val="19"/>
              </w:rPr>
            </w:pPr>
            <w:r>
              <w:rPr>
                <w:i/>
                <w:sz w:val="19"/>
              </w:rPr>
              <w:t xml:space="preserve">State Administrative Tribunal (Conferral of Jurisdiction) Amendment and Repeal Act 2004 </w:t>
            </w:r>
            <w:r>
              <w:rPr>
                <w:sz w:val="19"/>
              </w:rPr>
              <w:t>Pt. 2 Div. 118</w:t>
            </w:r>
            <w:r>
              <w:rPr>
                <w:sz w:val="19"/>
                <w:vertAlign w:val="superscript"/>
              </w:rPr>
              <w:t> 8</w:t>
            </w:r>
          </w:p>
        </w:tc>
        <w:tc>
          <w:tcPr>
            <w:tcW w:w="1134" w:type="dxa"/>
            <w:gridSpan w:val="4"/>
          </w:tcPr>
          <w:p>
            <w:pPr>
              <w:pStyle w:val="nTable"/>
              <w:keepNext/>
              <w:keepLines/>
              <w:spacing w:after="40"/>
              <w:rPr>
                <w:sz w:val="19"/>
              </w:rPr>
            </w:pPr>
            <w:r>
              <w:rPr>
                <w:sz w:val="19"/>
              </w:rPr>
              <w:t>55 of 2004</w:t>
            </w:r>
          </w:p>
        </w:tc>
        <w:tc>
          <w:tcPr>
            <w:tcW w:w="1134" w:type="dxa"/>
            <w:gridSpan w:val="3"/>
          </w:tcPr>
          <w:p>
            <w:pPr>
              <w:pStyle w:val="nTable"/>
              <w:keepNext/>
              <w:keepLines/>
              <w:spacing w:after="40"/>
              <w:rPr>
                <w:sz w:val="19"/>
              </w:rPr>
            </w:pPr>
            <w:r>
              <w:rPr>
                <w:sz w:val="19"/>
              </w:rPr>
              <w:t>24 Nov 2004</w:t>
            </w:r>
          </w:p>
        </w:tc>
        <w:tc>
          <w:tcPr>
            <w:tcW w:w="2550" w:type="dxa"/>
            <w:gridSpan w:val="3"/>
          </w:tcPr>
          <w:p>
            <w:pPr>
              <w:pStyle w:val="nTable"/>
              <w:keepNext/>
              <w:keepLines/>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7" w:type="dxa"/>
            <w:gridSpan w:val="4"/>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 and 82 </w:t>
            </w:r>
          </w:p>
        </w:tc>
        <w:tc>
          <w:tcPr>
            <w:tcW w:w="1134" w:type="dxa"/>
            <w:gridSpan w:val="4"/>
          </w:tcPr>
          <w:p>
            <w:pPr>
              <w:pStyle w:val="nTable"/>
              <w:keepNext/>
              <w:keepLines/>
              <w:spacing w:after="40"/>
              <w:rPr>
                <w:sz w:val="19"/>
              </w:rPr>
            </w:pPr>
            <w:r>
              <w:rPr>
                <w:snapToGrid w:val="0"/>
                <w:sz w:val="19"/>
                <w:lang w:val="en-US"/>
              </w:rPr>
              <w:t>84 of 2004</w:t>
            </w:r>
          </w:p>
        </w:tc>
        <w:tc>
          <w:tcPr>
            <w:tcW w:w="1134" w:type="dxa"/>
            <w:gridSpan w:val="3"/>
          </w:tcPr>
          <w:p>
            <w:pPr>
              <w:pStyle w:val="nTable"/>
              <w:keepNext/>
              <w:keepLines/>
              <w:spacing w:after="40"/>
              <w:rPr>
                <w:sz w:val="19"/>
              </w:rPr>
            </w:pPr>
            <w:r>
              <w:rPr>
                <w:sz w:val="19"/>
              </w:rPr>
              <w:t>16 Dec 2004</w:t>
            </w:r>
          </w:p>
        </w:tc>
        <w:tc>
          <w:tcPr>
            <w:tcW w:w="2550" w:type="dxa"/>
            <w:gridSpan w:val="3"/>
          </w:tcPr>
          <w:p>
            <w:pPr>
              <w:pStyle w:val="nTable"/>
              <w:keepNext/>
              <w:keepLines/>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5" w:type="dxa"/>
            <w:gridSpan w:val="14"/>
          </w:tcPr>
          <w:p>
            <w:pPr>
              <w:pStyle w:val="nTable"/>
              <w:keepNext/>
              <w:keepLines/>
              <w:spacing w:after="40"/>
              <w:rPr>
                <w:spacing w:val="-2"/>
                <w:sz w:val="19"/>
              </w:rPr>
            </w:pPr>
            <w:r>
              <w:rPr>
                <w:b/>
                <w:bCs/>
                <w:spacing w:val="-2"/>
                <w:sz w:val="19"/>
              </w:rPr>
              <w:t xml:space="preserve">Reprint 3: The </w:t>
            </w:r>
            <w:r>
              <w:rPr>
                <w:b/>
                <w:bCs/>
                <w:i/>
                <w:iCs/>
                <w:spacing w:val="-2"/>
                <w:sz w:val="19"/>
              </w:rPr>
              <w:t>Settlement Agents Act 1981</w:t>
            </w:r>
            <w:r>
              <w:rPr>
                <w:b/>
                <w:bCs/>
                <w:spacing w:val="-2"/>
                <w:sz w:val="19"/>
              </w:rPr>
              <w:t xml:space="preserve"> as at 8 Jul 2005</w:t>
            </w:r>
            <w:r>
              <w:rPr>
                <w:spacing w:val="-2"/>
                <w:sz w:val="19"/>
              </w:rPr>
              <w:t xml:space="preserve"> (includes amendments listed above)</w:t>
            </w:r>
          </w:p>
        </w:tc>
      </w:tr>
      <w:tr>
        <w:trPr>
          <w:cantSplit/>
        </w:trPr>
        <w:tc>
          <w:tcPr>
            <w:tcW w:w="2267" w:type="dxa"/>
            <w:gridSpan w:val="4"/>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gridSpan w:val="4"/>
          </w:tcPr>
          <w:p>
            <w:pPr>
              <w:pStyle w:val="nTable"/>
              <w:spacing w:after="40"/>
              <w:rPr>
                <w:sz w:val="19"/>
              </w:rPr>
            </w:pPr>
            <w:r>
              <w:rPr>
                <w:sz w:val="19"/>
              </w:rPr>
              <w:t>24 of 2005</w:t>
            </w:r>
          </w:p>
        </w:tc>
        <w:tc>
          <w:tcPr>
            <w:tcW w:w="1134" w:type="dxa"/>
            <w:gridSpan w:val="3"/>
          </w:tcPr>
          <w:p>
            <w:pPr>
              <w:pStyle w:val="nTable"/>
              <w:spacing w:after="40"/>
              <w:rPr>
                <w:sz w:val="19"/>
              </w:rPr>
            </w:pPr>
            <w:r>
              <w:rPr>
                <w:sz w:val="19"/>
              </w:rPr>
              <w:t>2 Dec 2005</w:t>
            </w:r>
          </w:p>
        </w:tc>
        <w:tc>
          <w:tcPr>
            <w:tcW w:w="2550" w:type="dxa"/>
            <w:gridSpan w:val="3"/>
          </w:tcPr>
          <w:p>
            <w:pPr>
              <w:pStyle w:val="nTable"/>
              <w:spacing w:after="40"/>
              <w:rPr>
                <w:sz w:val="19"/>
              </w:rPr>
            </w:pPr>
            <w:r>
              <w:rPr>
                <w:sz w:val="19"/>
              </w:rPr>
              <w:t xml:space="preserve">1 Jan 2006 (see s. 2 and </w:t>
            </w:r>
            <w:r>
              <w:rPr>
                <w:i/>
                <w:iCs/>
                <w:sz w:val="19"/>
              </w:rPr>
              <w:t>Gazette</w:t>
            </w:r>
            <w:r>
              <w:rPr>
                <w:sz w:val="19"/>
              </w:rPr>
              <w:t xml:space="preserve"> 23 Dec 2005 p. 6244)</w:t>
            </w:r>
          </w:p>
        </w:tc>
      </w:tr>
      <w:tr>
        <w:trPr>
          <w:cantSplit/>
        </w:trPr>
        <w:tc>
          <w:tcPr>
            <w:tcW w:w="2267" w:type="dxa"/>
            <w:gridSpan w:val="4"/>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gridSpan w:val="4"/>
          </w:tcPr>
          <w:p>
            <w:pPr>
              <w:pStyle w:val="nTable"/>
              <w:spacing w:after="40"/>
              <w:rPr>
                <w:sz w:val="19"/>
              </w:rPr>
            </w:pPr>
            <w:r>
              <w:rPr>
                <w:snapToGrid w:val="0"/>
                <w:sz w:val="19"/>
                <w:lang w:val="en-US"/>
              </w:rPr>
              <w:t>38 of 2005</w:t>
            </w:r>
          </w:p>
        </w:tc>
        <w:tc>
          <w:tcPr>
            <w:tcW w:w="1134" w:type="dxa"/>
            <w:gridSpan w:val="3"/>
          </w:tcPr>
          <w:p>
            <w:pPr>
              <w:pStyle w:val="nTable"/>
              <w:spacing w:after="40"/>
              <w:rPr>
                <w:sz w:val="19"/>
              </w:rPr>
            </w:pPr>
            <w:r>
              <w:rPr>
                <w:sz w:val="19"/>
              </w:rPr>
              <w:t>12 Dec 2005</w:t>
            </w:r>
          </w:p>
        </w:tc>
        <w:tc>
          <w:tcPr>
            <w:tcW w:w="2550" w:type="dxa"/>
            <w:gridSpan w:val="3"/>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2267" w:type="dxa"/>
            <w:gridSpan w:val="4"/>
            <w:tcBorders>
              <w:bottom w:val="single" w:sz="8" w:space="0" w:color="auto"/>
            </w:tcBorders>
          </w:tcPr>
          <w:p>
            <w:pPr>
              <w:pStyle w:val="nTable"/>
              <w:spacing w:after="40"/>
              <w:ind w:right="113"/>
              <w:rPr>
                <w:i/>
                <w:snapToGrid w:val="0"/>
                <w:sz w:val="19"/>
                <w:lang w:val="en-US"/>
              </w:rPr>
            </w:pPr>
            <w:r>
              <w:rPr>
                <w:i/>
                <w:snapToGrid w:val="0"/>
                <w:sz w:val="19"/>
                <w:lang w:val="en-US"/>
              </w:rPr>
              <w:t>Land Information Authority Act 2006</w:t>
            </w:r>
            <w:r>
              <w:rPr>
                <w:iCs/>
                <w:snapToGrid w:val="0"/>
                <w:sz w:val="19"/>
                <w:lang w:val="en-US"/>
              </w:rPr>
              <w:t xml:space="preserve"> s. 158</w:t>
            </w:r>
            <w:r>
              <w:rPr>
                <w:iCs/>
                <w:snapToGrid w:val="0"/>
                <w:sz w:val="19"/>
                <w:vertAlign w:val="superscript"/>
                <w:lang w:val="en-US"/>
              </w:rPr>
              <w:t xml:space="preserve"> </w:t>
            </w:r>
          </w:p>
        </w:tc>
        <w:tc>
          <w:tcPr>
            <w:tcW w:w="1134" w:type="dxa"/>
            <w:gridSpan w:val="4"/>
            <w:tcBorders>
              <w:bottom w:val="single" w:sz="8" w:space="0" w:color="auto"/>
            </w:tcBorders>
          </w:tcPr>
          <w:p>
            <w:pPr>
              <w:pStyle w:val="nTable"/>
              <w:spacing w:after="40"/>
              <w:rPr>
                <w:snapToGrid w:val="0"/>
                <w:sz w:val="19"/>
                <w:lang w:val="en-US"/>
              </w:rPr>
            </w:pPr>
            <w:r>
              <w:rPr>
                <w:snapToGrid w:val="0"/>
                <w:sz w:val="19"/>
                <w:lang w:val="en-US"/>
              </w:rPr>
              <w:t>60 of 2006</w:t>
            </w:r>
          </w:p>
        </w:tc>
        <w:tc>
          <w:tcPr>
            <w:tcW w:w="1134" w:type="dxa"/>
            <w:gridSpan w:val="3"/>
            <w:tcBorders>
              <w:bottom w:val="single" w:sz="8" w:space="0" w:color="auto"/>
            </w:tcBorders>
          </w:tcPr>
          <w:p>
            <w:pPr>
              <w:pStyle w:val="nTable"/>
              <w:spacing w:after="40"/>
              <w:rPr>
                <w:sz w:val="19"/>
              </w:rPr>
            </w:pPr>
            <w:r>
              <w:rPr>
                <w:snapToGrid w:val="0"/>
                <w:sz w:val="19"/>
                <w:lang w:val="en-US"/>
              </w:rPr>
              <w:t>16 Nov 2006</w:t>
            </w:r>
          </w:p>
        </w:tc>
        <w:tc>
          <w:tcPr>
            <w:tcW w:w="2550" w:type="dxa"/>
            <w:gridSpan w:val="3"/>
            <w:tcBorders>
              <w:bottom w:val="single" w:sz="8" w:space="0" w:color="auto"/>
            </w:tcBorders>
          </w:tcPr>
          <w:p>
            <w:pPr>
              <w:pStyle w:val="nTable"/>
              <w:spacing w:after="40"/>
              <w:rPr>
                <w:sz w:val="19"/>
              </w:rPr>
            </w:pPr>
            <w:r>
              <w:rPr>
                <w:sz w:val="19"/>
              </w:rPr>
              <w:t xml:space="preserve">1 Jan 2007 (see s. 2(1) and </w:t>
            </w:r>
            <w:r>
              <w:rPr>
                <w:i/>
                <w:iCs/>
                <w:sz w:val="19"/>
              </w:rPr>
              <w:t xml:space="preserve">Gazette </w:t>
            </w:r>
            <w:r>
              <w:rPr>
                <w:sz w:val="19"/>
              </w:rPr>
              <w:t>8 Dec 2006 p. 5369)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04" w:name="_Toc155600428"/>
      <w:r>
        <w:rPr>
          <w:snapToGrid w:val="0"/>
        </w:rPr>
        <w:t>Provisions that have not come into operation</w:t>
      </w:r>
      <w:bookmarkEnd w:id="1004"/>
    </w:p>
    <w:tbl>
      <w:tblPr>
        <w:tblW w:w="7093" w:type="dxa"/>
        <w:tblInd w:w="15"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trPr>
        <w:tc>
          <w:tcPr>
            <w:tcW w:w="2268" w:type="dxa"/>
            <w:gridSpan w:val="2"/>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gridSpan w:val="2"/>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gridSpan w:val="2"/>
            <w:tcBorders>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6" w:type="dxa"/>
          <w:cantSplit/>
        </w:trPr>
        <w:tc>
          <w:tcPr>
            <w:tcW w:w="2268" w:type="dxa"/>
            <w:gridSpan w:val="2"/>
          </w:tcPr>
          <w:p>
            <w:pPr>
              <w:pStyle w:val="nTable"/>
              <w:spacing w:after="40"/>
              <w:ind w:right="113"/>
              <w:rPr>
                <w:iCs/>
                <w:snapToGrid w:val="0"/>
                <w:sz w:val="19"/>
                <w:lang w:val="en-US"/>
              </w:rPr>
            </w:pPr>
            <w:r>
              <w:rPr>
                <w:i/>
                <w:snapToGrid w:val="0"/>
                <w:sz w:val="19"/>
                <w:lang w:val="en-US"/>
              </w:rPr>
              <w:t xml:space="preserve">Consumer </w:t>
            </w:r>
            <w:r>
              <w:rPr>
                <w:i/>
                <w:sz w:val="19"/>
              </w:rPr>
              <w:t>Protection</w:t>
            </w:r>
            <w:r>
              <w:rPr>
                <w:i/>
                <w:snapToGrid w:val="0"/>
                <w:sz w:val="19"/>
                <w:lang w:val="en-US"/>
              </w:rPr>
              <w:t xml:space="preserve"> Legislation Amendment and Repeal Act 2006 </w:t>
            </w:r>
            <w:r>
              <w:rPr>
                <w:iCs/>
                <w:snapToGrid w:val="0"/>
                <w:sz w:val="19"/>
                <w:lang w:val="en-US"/>
              </w:rPr>
              <w:t>Pt. 11 </w:t>
            </w:r>
            <w:r>
              <w:rPr>
                <w:iCs/>
                <w:snapToGrid w:val="0"/>
                <w:sz w:val="19"/>
                <w:vertAlign w:val="superscript"/>
                <w:lang w:val="en-US"/>
              </w:rPr>
              <w:t>10</w:t>
            </w:r>
            <w:r>
              <w:rPr>
                <w:iCs/>
                <w:snapToGrid w:val="0"/>
                <w:sz w:val="19"/>
                <w:lang w:val="en-US"/>
              </w:rPr>
              <w:t xml:space="preserve"> </w:t>
            </w:r>
          </w:p>
        </w:tc>
        <w:tc>
          <w:tcPr>
            <w:tcW w:w="1134" w:type="dxa"/>
            <w:gridSpan w:val="2"/>
          </w:tcPr>
          <w:p>
            <w:pPr>
              <w:pStyle w:val="nTable"/>
              <w:spacing w:after="40"/>
              <w:rPr>
                <w:snapToGrid w:val="0"/>
                <w:sz w:val="19"/>
                <w:lang w:val="en-US"/>
              </w:rPr>
            </w:pPr>
            <w:r>
              <w:rPr>
                <w:snapToGrid w:val="0"/>
                <w:sz w:val="19"/>
                <w:lang w:val="en-US"/>
              </w:rPr>
              <w:t>69 of 2006</w:t>
            </w:r>
          </w:p>
        </w:tc>
        <w:tc>
          <w:tcPr>
            <w:tcW w:w="1134" w:type="dxa"/>
            <w:gridSpan w:val="2"/>
          </w:tcPr>
          <w:p>
            <w:pPr>
              <w:pStyle w:val="nTable"/>
              <w:spacing w:after="40"/>
              <w:ind w:right="15"/>
              <w:rPr>
                <w:snapToGrid w:val="0"/>
                <w:sz w:val="19"/>
                <w:lang w:val="en-US"/>
              </w:rPr>
            </w:pPr>
            <w:r>
              <w:rPr>
                <w:snapToGrid w:val="0"/>
                <w:sz w:val="19"/>
                <w:lang w:val="en-US"/>
              </w:rPr>
              <w:t>13 Dec 2006</w:t>
            </w:r>
          </w:p>
        </w:tc>
        <w:tc>
          <w:tcPr>
            <w:tcW w:w="2551" w:type="dxa"/>
            <w:gridSpan w:val="2"/>
          </w:tcPr>
          <w:p>
            <w:pPr>
              <w:pStyle w:val="nTable"/>
              <w:spacing w:after="40"/>
              <w:rPr>
                <w:snapToGrid w:val="0"/>
                <w:sz w:val="19"/>
                <w:lang w:val="en-US"/>
              </w:rPr>
            </w:pPr>
            <w:r>
              <w:rPr>
                <w:snapToGrid w:val="0"/>
                <w:sz w:val="19"/>
                <w:lang w:val="en-US"/>
              </w:rPr>
              <w:t xml:space="preserve">To be </w:t>
            </w:r>
            <w:r>
              <w:rPr>
                <w:sz w:val="19"/>
              </w:rPr>
              <w:t>proclaimed</w:t>
            </w:r>
            <w:r>
              <w:rPr>
                <w:snapToGrid w:val="0"/>
                <w:sz w:val="19"/>
                <w:lang w:val="en-US"/>
              </w:rPr>
              <w:t xml:space="preserve"> (see s. 2)</w:t>
            </w:r>
          </w:p>
        </w:tc>
      </w:tr>
      <w:tr>
        <w:tblPrEx>
          <w:tblBorders>
            <w:top w:val="none" w:sz="0" w:space="0" w:color="auto"/>
            <w:bottom w:val="none" w:sz="0" w:space="0" w:color="auto"/>
            <w:insideH w:val="none" w:sz="0" w:space="0" w:color="auto"/>
          </w:tblBorders>
        </w:tblPrEx>
        <w:trPr>
          <w:gridAfter w:val="1"/>
          <w:wAfter w:w="6" w:type="dxa"/>
          <w:cantSplit/>
        </w:trPr>
        <w:tc>
          <w:tcPr>
            <w:tcW w:w="2268" w:type="dxa"/>
            <w:gridSpan w:val="2"/>
            <w:tcBorders>
              <w:bottom w:val="single" w:sz="8" w:space="0" w:color="auto"/>
            </w:tcBorders>
          </w:tcPr>
          <w:p>
            <w:pPr>
              <w:pStyle w:val="nTable"/>
              <w:spacing w:after="40"/>
              <w:ind w:right="113"/>
              <w:rPr>
                <w:i/>
                <w:snapToGrid w:val="0"/>
                <w:sz w:val="19"/>
                <w:lang w:val="en-US"/>
              </w:rPr>
            </w:pPr>
            <w:r>
              <w:rPr>
                <w:i/>
                <w:snapToGrid w:val="0"/>
                <w:sz w:val="19"/>
                <w:lang w:val="en-US"/>
              </w:rPr>
              <w:t xml:space="preserve">Financial </w:t>
            </w:r>
            <w:r>
              <w:rPr>
                <w:i/>
                <w:sz w:val="19"/>
              </w:rPr>
              <w:t>Legislation</w:t>
            </w:r>
            <w:r>
              <w:rPr>
                <w:i/>
                <w:snapToGrid w:val="0"/>
                <w:sz w:val="19"/>
                <w:lang w:val="en-US"/>
              </w:rPr>
              <w:t xml:space="preserve"> Amendment and Repeal Act 2006 </w:t>
            </w:r>
            <w:r>
              <w:rPr>
                <w:iCs/>
                <w:snapToGrid w:val="0"/>
                <w:sz w:val="19"/>
                <w:lang w:val="en-US"/>
              </w:rPr>
              <w:t>s. 17 </w:t>
            </w:r>
            <w:r>
              <w:rPr>
                <w:iCs/>
                <w:snapToGrid w:val="0"/>
                <w:sz w:val="19"/>
                <w:vertAlign w:val="superscript"/>
                <w:lang w:val="en-US"/>
              </w:rPr>
              <w:t>9</w:t>
            </w:r>
          </w:p>
        </w:tc>
        <w:tc>
          <w:tcPr>
            <w:tcW w:w="1134" w:type="dxa"/>
            <w:gridSpan w:val="2"/>
            <w:tcBorders>
              <w:bottom w:val="single" w:sz="8" w:space="0" w:color="auto"/>
            </w:tcBorders>
          </w:tcPr>
          <w:p>
            <w:pPr>
              <w:pStyle w:val="nTable"/>
              <w:spacing w:after="40"/>
              <w:rPr>
                <w:snapToGrid w:val="0"/>
                <w:sz w:val="19"/>
                <w:lang w:val="en-US"/>
              </w:rPr>
            </w:pPr>
            <w:r>
              <w:rPr>
                <w:snapToGrid w:val="0"/>
                <w:sz w:val="19"/>
                <w:lang w:val="en-US"/>
              </w:rPr>
              <w:t>77 of 2006</w:t>
            </w:r>
          </w:p>
        </w:tc>
        <w:tc>
          <w:tcPr>
            <w:tcW w:w="1134" w:type="dxa"/>
            <w:gridSpan w:val="2"/>
            <w:tcBorders>
              <w:bottom w:val="single" w:sz="8" w:space="0" w:color="auto"/>
            </w:tcBorders>
          </w:tcPr>
          <w:p>
            <w:pPr>
              <w:pStyle w:val="nTable"/>
              <w:spacing w:after="40"/>
              <w:ind w:right="15"/>
              <w:rPr>
                <w:snapToGrid w:val="0"/>
                <w:sz w:val="19"/>
                <w:lang w:val="en-US"/>
              </w:rPr>
            </w:pPr>
            <w:r>
              <w:rPr>
                <w:snapToGrid w:val="0"/>
                <w:sz w:val="19"/>
                <w:lang w:val="en-US"/>
              </w:rPr>
              <w:t>21 Dec 2006</w:t>
            </w:r>
          </w:p>
        </w:tc>
        <w:tc>
          <w:tcPr>
            <w:tcW w:w="2551" w:type="dxa"/>
            <w:gridSpan w:val="2"/>
            <w:tcBorders>
              <w:bottom w:val="single" w:sz="8" w:space="0" w:color="auto"/>
            </w:tcBorders>
          </w:tcPr>
          <w:p>
            <w:pPr>
              <w:pStyle w:val="nTable"/>
              <w:spacing w:after="40"/>
              <w:rPr>
                <w:snapToGrid w:val="0"/>
                <w:sz w:val="19"/>
                <w:lang w:val="en-US"/>
              </w:rPr>
            </w:pPr>
            <w:r>
              <w:rPr>
                <w:snapToGrid w:val="0"/>
                <w:sz w:val="19"/>
                <w:lang w:val="en-US"/>
              </w:rPr>
              <w:t xml:space="preserve">To be </w:t>
            </w:r>
            <w:r>
              <w:rPr>
                <w:sz w:val="19"/>
              </w:rPr>
              <w:t>proclaimed</w:t>
            </w:r>
            <w:r>
              <w:rPr>
                <w:snapToGrid w:val="0"/>
                <w:sz w:val="19"/>
                <w:lang w:val="en-US"/>
              </w:rPr>
              <w:t xml:space="preserve"> (see s. 2(1))</w:t>
            </w:r>
          </w:p>
        </w:tc>
      </w:tr>
    </w:tbl>
    <w:p>
      <w:pPr>
        <w:pStyle w:val="nSubsection"/>
        <w:spacing w:before="160"/>
        <w:rPr>
          <w:snapToGrid w:val="0"/>
        </w:rPr>
      </w:pPr>
      <w:r>
        <w:rPr>
          <w:snapToGrid w:val="0"/>
          <w:vertAlign w:val="superscript"/>
        </w:rPr>
        <w:t>2</w:t>
      </w:r>
      <w:r>
        <w:rPr>
          <w:snapToGrid w:val="0"/>
        </w:rPr>
        <w:tab/>
        <w:t xml:space="preserve">The appointed day is 1 Nov 1982, see </w:t>
      </w:r>
      <w:r>
        <w:rPr>
          <w:i/>
          <w:snapToGrid w:val="0"/>
        </w:rPr>
        <w:t>Gazette</w:t>
      </w:r>
      <w:r>
        <w:rPr>
          <w:snapToGrid w:val="0"/>
        </w:rPr>
        <w:t xml:space="preserve"> 29 Oct 1982 p. 4322.</w:t>
      </w:r>
    </w:p>
    <w:p>
      <w:pPr>
        <w:pStyle w:val="nSubsection"/>
        <w:rPr>
          <w:snapToGrid w:val="0"/>
        </w:rPr>
      </w:pPr>
      <w:r>
        <w:rPr>
          <w:snapToGrid w:val="0"/>
          <w:vertAlign w:val="superscript"/>
        </w:rPr>
        <w:t>3</w:t>
      </w:r>
      <w:r>
        <w:rPr>
          <w:snapToGrid w:val="0"/>
        </w:rPr>
        <w:tab/>
        <w:t xml:space="preserve">The </w:t>
      </w:r>
      <w:r>
        <w:rPr>
          <w:i/>
          <w:snapToGrid w:val="0"/>
        </w:rPr>
        <w:t>Real Estate Legislation (Fidelity Guarantee Funds) Amendment Act 2000</w:t>
      </w:r>
      <w:r>
        <w:rPr>
          <w:snapToGrid w:val="0"/>
        </w:rPr>
        <w:t xml:space="preserve"> s. 7(2) and (3) read as follows: </w:t>
      </w:r>
    </w:p>
    <w:p>
      <w:pPr>
        <w:pStyle w:val="MiscOpen"/>
        <w:rPr>
          <w:snapToGrid w:val="0"/>
        </w:rPr>
      </w:pPr>
      <w:r>
        <w:rPr>
          <w:snapToGrid w:val="0"/>
        </w:rPr>
        <w:t>“</w:t>
      </w:r>
    </w:p>
    <w:p>
      <w:pPr>
        <w:pStyle w:val="nzSubsection"/>
      </w:pPr>
      <w:r>
        <w:tab/>
        <w:t>(2)</w:t>
      </w:r>
      <w:r>
        <w:tab/>
        <w:t>A person may give notice of a claim under section 93(2) as amended by this section even if the time within which that notice was to be given under that section before that amendment had expired.</w:t>
      </w:r>
    </w:p>
    <w:p>
      <w:pPr>
        <w:pStyle w:val="nzSubsection"/>
      </w:pPr>
      <w:r>
        <w:tab/>
        <w:t>(3)</w:t>
      </w:r>
      <w:r>
        <w:tab/>
        <w:t>Where a person may give notice of a claim under section 93(2)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Real Estate and Business Agents Act 1978 </w:t>
      </w:r>
      <w:r>
        <w:rPr>
          <w:iCs/>
          <w:snapToGrid w:val="0"/>
        </w:rPr>
        <w:t>s. 5.</w:t>
      </w:r>
    </w:p>
    <w:p>
      <w:pPr>
        <w:pStyle w:val="nSubsection"/>
        <w:rPr>
          <w:snapToGrid w:val="0"/>
        </w:rPr>
      </w:pPr>
      <w:r>
        <w:rPr>
          <w:snapToGrid w:val="0"/>
          <w:vertAlign w:val="superscript"/>
        </w:rPr>
        <w:t>5</w:t>
      </w:r>
      <w:r>
        <w:rPr>
          <w:snapToGrid w:val="0"/>
        </w:rPr>
        <w:tab/>
        <w:t xml:space="preserve">Repealed by the </w:t>
      </w:r>
      <w:r>
        <w:rPr>
          <w:i/>
          <w:snapToGrid w:val="0"/>
        </w:rPr>
        <w:t>Land Administration Act 1997</w:t>
      </w:r>
      <w:r>
        <w:rPr>
          <w:snapToGrid w:val="0"/>
        </w:rPr>
        <w:t xml:space="preserve"> s. 281.</w:t>
      </w:r>
    </w:p>
    <w:p>
      <w:pPr>
        <w:pStyle w:val="nSubsection"/>
        <w:rPr>
          <w:snapToGrid w:val="0"/>
        </w:rPr>
      </w:pPr>
      <w:r>
        <w:rPr>
          <w:snapToGrid w:val="0"/>
          <w:vertAlign w:val="superscript"/>
        </w:rPr>
        <w:t>6</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pPr>
        <w:pStyle w:val="nSubsection"/>
        <w:keepNext/>
      </w:pPr>
      <w:r>
        <w:rPr>
          <w:vertAlign w:val="superscript"/>
        </w:rPr>
        <w:t>7</w:t>
      </w:r>
      <w:r>
        <w:tab/>
        <w:t xml:space="preserve">The </w:t>
      </w:r>
      <w:r>
        <w:rPr>
          <w:i/>
        </w:rPr>
        <w:t>Corporations (Consequential Amendments) Act (No. 3) 2003</w:t>
      </w:r>
      <w:r>
        <w:t xml:space="preserve"> s. 2</w:t>
      </w:r>
      <w:r>
        <w:noBreakHyphen/>
        <w:t>4 read as follows:</w:t>
      </w:r>
    </w:p>
    <w:p>
      <w:pPr>
        <w:pStyle w:val="MiscOpen"/>
        <w:spacing w:before="80"/>
      </w:pPr>
      <w:r>
        <w:t>“</w:t>
      </w:r>
    </w:p>
    <w:p>
      <w:pPr>
        <w:pStyle w:val="nzHeading5"/>
        <w:spacing w:before="80"/>
        <w:rPr>
          <w:snapToGrid w:val="0"/>
        </w:rPr>
      </w:pPr>
      <w:bookmarkStart w:id="1005" w:name="_Toc471793482"/>
      <w:bookmarkStart w:id="1006" w:name="_Toc38091139"/>
      <w:r>
        <w:rPr>
          <w:rStyle w:val="CharSectno"/>
        </w:rPr>
        <w:t>2</w:t>
      </w:r>
      <w:r>
        <w:rPr>
          <w:snapToGrid w:val="0"/>
        </w:rPr>
        <w:t>.</w:t>
      </w:r>
      <w:r>
        <w:rPr>
          <w:snapToGrid w:val="0"/>
        </w:rPr>
        <w:tab/>
        <w:t>Commencement</w:t>
      </w:r>
      <w:bookmarkEnd w:id="1005"/>
      <w:bookmarkEnd w:id="100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007" w:name="_Toc38091140"/>
      <w:r>
        <w:rPr>
          <w:rStyle w:val="CharSectno"/>
        </w:rPr>
        <w:t>3</w:t>
      </w:r>
      <w:r>
        <w:t>.</w:t>
      </w:r>
      <w:r>
        <w:tab/>
        <w:t>Interpretation</w:t>
      </w:r>
      <w:bookmarkEnd w:id="1007"/>
    </w:p>
    <w:p>
      <w:pPr>
        <w:pStyle w:val="nzSubsection"/>
        <w:rPr>
          <w:snapToGrid w:val="0"/>
        </w:rPr>
      </w:pPr>
      <w:r>
        <w:rPr>
          <w:snapToGrid w:val="0"/>
        </w:rPr>
        <w:tab/>
      </w:r>
      <w:r>
        <w:rPr>
          <w:snapToGrid w:val="0"/>
        </w:rPr>
        <w:tab/>
        <w:t xml:space="preserve">In this Part — </w:t>
      </w:r>
    </w:p>
    <w:p>
      <w:pPr>
        <w:pStyle w:val="nzDefstart"/>
      </w:pPr>
      <w:r>
        <w:tab/>
      </w:r>
      <w:r>
        <w:rPr>
          <w:b/>
        </w:rPr>
        <w:t>“</w:t>
      </w:r>
      <w:r>
        <w:rPr>
          <w:rStyle w:val="CharDefText"/>
        </w:rPr>
        <w:t>Financial Services Reform Act</w:t>
      </w:r>
      <w:r>
        <w:rPr>
          <w:b/>
        </w:rPr>
        <w:t>”</w:t>
      </w:r>
      <w:r>
        <w:t xml:space="preserve"> means the </w:t>
      </w:r>
      <w:r>
        <w:rPr>
          <w:i/>
        </w:rPr>
        <w:t>Financial Services Reform Act 2001</w:t>
      </w:r>
      <w:r>
        <w:t xml:space="preserve"> of the Commonwealth;</w:t>
      </w:r>
    </w:p>
    <w:p>
      <w:pPr>
        <w:pStyle w:val="nzDefstart"/>
      </w:pPr>
      <w:r>
        <w:tab/>
      </w:r>
      <w:r>
        <w:rPr>
          <w:b/>
        </w:rPr>
        <w:t>“</w:t>
      </w:r>
      <w:r>
        <w:rPr>
          <w:rStyle w:val="CharDefText"/>
        </w:rPr>
        <w:t>FSR commencement time</w:t>
      </w:r>
      <w:r>
        <w:rPr>
          <w:b/>
        </w:rPr>
        <w:t>”</w:t>
      </w:r>
      <w:r>
        <w:t xml:space="preserve"> means the time when Schedule 1</w:t>
      </w:r>
      <w:r>
        <w:rPr>
          <w:sz w:val="23"/>
        </w:rPr>
        <w:t xml:space="preserve"> to </w:t>
      </w:r>
      <w:r>
        <w:t>the Financial Services Reform Act comes into operation;</w:t>
      </w:r>
    </w:p>
    <w:p>
      <w:pPr>
        <w:pStyle w:val="nzDefstart"/>
      </w:pPr>
      <w:r>
        <w:tab/>
      </w:r>
      <w:r>
        <w:rPr>
          <w:b/>
        </w:rPr>
        <w:t>“</w:t>
      </w:r>
      <w:r>
        <w:rPr>
          <w:rStyle w:val="CharDefText"/>
        </w:rPr>
        <w:t>statutory rule</w:t>
      </w:r>
      <w:r>
        <w:rPr>
          <w:b/>
        </w:rPr>
        <w:t>”</w:t>
      </w:r>
      <w:r>
        <w:t xml:space="preserve"> means a regulation, rule or by</w:t>
      </w:r>
      <w:r>
        <w:noBreakHyphen/>
        <w:t>law.</w:t>
      </w:r>
    </w:p>
    <w:p>
      <w:pPr>
        <w:pStyle w:val="nzHeading5"/>
      </w:pPr>
      <w:bookmarkStart w:id="1008" w:name="_Toc38091141"/>
      <w:r>
        <w:rPr>
          <w:rStyle w:val="CharSectno"/>
        </w:rPr>
        <w:t>4</w:t>
      </w:r>
      <w:r>
        <w:t>.</w:t>
      </w:r>
      <w:r>
        <w:tab/>
        <w:t>Validation</w:t>
      </w:r>
      <w:bookmarkEnd w:id="100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spacing w:before="80"/>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1009" w:name="_Toc112559689"/>
      <w:bookmarkStart w:id="1010" w:name="_Toc154313450"/>
      <w:bookmarkStart w:id="1011" w:name="_Toc154556363"/>
      <w:r>
        <w:rPr>
          <w:vertAlign w:val="superscript"/>
        </w:rPr>
        <w:t>9</w:t>
      </w:r>
      <w:r>
        <w:tab/>
      </w:r>
      <w:r>
        <w:rPr>
          <w:snapToGrid w:val="0"/>
        </w:rPr>
        <w:t xml:space="preserve">On the date as at which this compilation was prepared, the </w:t>
      </w:r>
      <w:r>
        <w:rPr>
          <w:i/>
          <w:snapToGrid w:val="0"/>
          <w:sz w:val="19"/>
          <w:lang w:val="en-US"/>
        </w:rPr>
        <w:t>Financial Legislation Amendment and Repeal Act 2006</w:t>
      </w:r>
      <w:r>
        <w:rPr>
          <w:iCs/>
          <w:snapToGrid w:val="0"/>
          <w:sz w:val="19"/>
          <w:lang w:val="en-US"/>
        </w:rPr>
        <w:t xml:space="preserve"> s. 17</w:t>
      </w:r>
      <w:r>
        <w:rPr>
          <w:snapToGrid w:val="0"/>
          <w:lang w:val="en-US"/>
        </w:rPr>
        <w:t>, which gives effect to Sch. 1, had</w:t>
      </w:r>
      <w:r>
        <w:rPr>
          <w:snapToGrid w:val="0"/>
        </w:rPr>
        <w:t xml:space="preserve"> not come into operation.  It reads as follows:</w:t>
      </w:r>
    </w:p>
    <w:p>
      <w:pPr>
        <w:pStyle w:val="MiscOpen"/>
        <w:rPr>
          <w:snapToGrid w:val="0"/>
        </w:rPr>
      </w:pPr>
      <w:r>
        <w:rPr>
          <w:snapToGrid w:val="0"/>
        </w:rPr>
        <w:t>“</w:t>
      </w:r>
    </w:p>
    <w:p>
      <w:pPr>
        <w:pStyle w:val="nzHeading5"/>
      </w:pPr>
      <w:bookmarkStart w:id="1012" w:name="_Toc112559520"/>
      <w:bookmarkStart w:id="1013" w:name="_Toc154313279"/>
      <w:bookmarkStart w:id="1014" w:name="_Toc154556192"/>
      <w:bookmarkStart w:id="1015" w:name="_Toc112660518"/>
      <w:bookmarkStart w:id="1016" w:name="_Toc112663622"/>
      <w:bookmarkStart w:id="1017" w:name="_Toc113271868"/>
      <w:bookmarkStart w:id="1018" w:name="_Toc113275074"/>
      <w:bookmarkStart w:id="1019" w:name="_Toc113275539"/>
      <w:bookmarkStart w:id="1020" w:name="_Toc119208169"/>
      <w:bookmarkStart w:id="1021" w:name="_Toc119208414"/>
      <w:bookmarkStart w:id="1022" w:name="_Toc119210162"/>
      <w:bookmarkStart w:id="1023" w:name="_Toc119215595"/>
      <w:bookmarkStart w:id="1024" w:name="_Toc119217448"/>
      <w:bookmarkStart w:id="1025" w:name="_Toc119227738"/>
      <w:bookmarkStart w:id="1026" w:name="_Toc119229196"/>
      <w:bookmarkStart w:id="1027" w:name="_Toc119234910"/>
      <w:bookmarkStart w:id="1028" w:name="_Toc119731288"/>
      <w:bookmarkStart w:id="1029" w:name="_Toc119897393"/>
      <w:bookmarkStart w:id="1030" w:name="_Toc119904347"/>
      <w:bookmarkStart w:id="1031" w:name="_Toc120012756"/>
      <w:bookmarkStart w:id="1032" w:name="_Toc120077238"/>
      <w:bookmarkStart w:id="1033" w:name="_Toc120514588"/>
      <w:bookmarkStart w:id="1034" w:name="_Toc120522454"/>
      <w:bookmarkStart w:id="1035" w:name="_Toc120526579"/>
      <w:bookmarkStart w:id="1036" w:name="_Toc120527207"/>
      <w:bookmarkStart w:id="1037" w:name="_Toc120939269"/>
      <w:bookmarkStart w:id="1038" w:name="_Toc121040456"/>
      <w:bookmarkStart w:id="1039" w:name="_Toc121047475"/>
      <w:bookmarkStart w:id="1040" w:name="_Toc121109338"/>
      <w:bookmarkStart w:id="1041" w:name="_Toc121119154"/>
      <w:bookmarkStart w:id="1042" w:name="_Toc121130106"/>
      <w:bookmarkStart w:id="1043" w:name="_Toc121291809"/>
      <w:bookmarkStart w:id="1044" w:name="_Toc121298658"/>
      <w:bookmarkStart w:id="1045" w:name="_Toc121649182"/>
      <w:bookmarkStart w:id="1046" w:name="_Toc122428439"/>
      <w:bookmarkStart w:id="1047" w:name="_Toc122864441"/>
      <w:bookmarkStart w:id="1048" w:name="_Toc122942895"/>
      <w:bookmarkStart w:id="1049" w:name="_Toc122948322"/>
      <w:bookmarkStart w:id="1050" w:name="_Toc123102899"/>
      <w:bookmarkStart w:id="1051" w:name="_Toc123115023"/>
      <w:bookmarkStart w:id="1052" w:name="_Toc123530921"/>
      <w:bookmarkStart w:id="1053" w:name="_Toc123545363"/>
      <w:bookmarkStart w:id="1054" w:name="_Toc124306331"/>
      <w:bookmarkStart w:id="1055" w:name="_Toc124315415"/>
      <w:bookmarkStart w:id="1056" w:name="_Toc125197443"/>
      <w:bookmarkStart w:id="1057" w:name="_Toc126993001"/>
      <w:bookmarkStart w:id="1058" w:name="_Toc127250498"/>
      <w:bookmarkStart w:id="1059" w:name="_Toc127271919"/>
      <w:bookmarkStart w:id="1060" w:name="_Toc127332054"/>
      <w:bookmarkStart w:id="1061" w:name="_Toc127339705"/>
      <w:bookmarkStart w:id="1062" w:name="_Toc127352115"/>
      <w:bookmarkStart w:id="1063" w:name="_Toc127591212"/>
      <w:bookmarkStart w:id="1064" w:name="_Toc127610339"/>
      <w:bookmarkStart w:id="1065" w:name="_Toc127616697"/>
      <w:bookmarkStart w:id="1066" w:name="_Toc127685046"/>
      <w:bookmarkStart w:id="1067" w:name="_Toc127685536"/>
      <w:bookmarkStart w:id="1068" w:name="_Toc127702761"/>
      <w:bookmarkStart w:id="1069" w:name="_Toc127762571"/>
      <w:bookmarkStart w:id="1070" w:name="_Toc127771492"/>
      <w:bookmarkStart w:id="1071" w:name="_Toc127784675"/>
      <w:bookmarkStart w:id="1072" w:name="_Toc127785285"/>
      <w:bookmarkStart w:id="1073" w:name="_Toc127848031"/>
      <w:bookmarkStart w:id="1074" w:name="_Toc127857315"/>
      <w:bookmarkStart w:id="1075" w:name="_Toc127866102"/>
      <w:bookmarkStart w:id="1076" w:name="_Toc127868566"/>
      <w:bookmarkStart w:id="1077" w:name="_Toc127871835"/>
      <w:bookmarkStart w:id="1078" w:name="_Toc127938065"/>
      <w:bookmarkStart w:id="1079" w:name="_Toc127944049"/>
      <w:bookmarkStart w:id="1080" w:name="_Toc127959526"/>
      <w:bookmarkStart w:id="1081" w:name="_Toc128199037"/>
      <w:bookmarkStart w:id="1082" w:name="_Toc128203717"/>
      <w:bookmarkStart w:id="1083" w:name="_Toc128209474"/>
      <w:bookmarkStart w:id="1084" w:name="_Toc128562907"/>
      <w:bookmarkStart w:id="1085" w:name="_Toc128808596"/>
      <w:bookmarkStart w:id="1086" w:name="_Toc128808851"/>
      <w:bookmarkStart w:id="1087" w:name="_Toc129074229"/>
      <w:bookmarkStart w:id="1088" w:name="_Toc133226013"/>
      <w:bookmarkStart w:id="1089" w:name="_Toc133231391"/>
      <w:bookmarkStart w:id="1090" w:name="_Toc133232583"/>
      <w:bookmarkStart w:id="1091" w:name="_Toc133291819"/>
      <w:bookmarkStart w:id="1092" w:name="_Toc133301262"/>
      <w:bookmarkStart w:id="1093" w:name="_Toc133320331"/>
      <w:bookmarkStart w:id="1094" w:name="_Toc133379916"/>
      <w:bookmarkStart w:id="1095" w:name="_Toc133837585"/>
      <w:bookmarkStart w:id="1096" w:name="_Toc133901043"/>
      <w:bookmarkStart w:id="1097" w:name="_Toc133989689"/>
      <w:bookmarkStart w:id="1098" w:name="_Toc134010141"/>
      <w:bookmarkStart w:id="1099" w:name="_Toc134188871"/>
      <w:bookmarkStart w:id="1100" w:name="_Toc134241056"/>
      <w:bookmarkStart w:id="1101" w:name="_Toc134260189"/>
      <w:bookmarkStart w:id="1102" w:name="_Toc134261529"/>
      <w:bookmarkStart w:id="1103" w:name="_Toc134269187"/>
      <w:bookmarkStart w:id="1104" w:name="_Toc134345963"/>
      <w:bookmarkStart w:id="1105" w:name="_Toc134346686"/>
      <w:bookmarkStart w:id="1106" w:name="_Toc134355554"/>
      <w:bookmarkStart w:id="1107" w:name="_Toc134420852"/>
      <w:bookmarkStart w:id="1108" w:name="_Toc134425017"/>
      <w:bookmarkStart w:id="1109" w:name="_Toc134431919"/>
      <w:bookmarkStart w:id="1110" w:name="_Toc134437576"/>
      <w:bookmarkStart w:id="1111" w:name="_Toc134440690"/>
      <w:bookmarkStart w:id="1112" w:name="_Toc134503195"/>
      <w:bookmarkStart w:id="1113" w:name="_Toc135115972"/>
      <w:bookmarkStart w:id="1114" w:name="_Toc135132895"/>
      <w:bookmarkStart w:id="1115" w:name="_Toc135133144"/>
      <w:bookmarkStart w:id="1116" w:name="_Toc135190060"/>
      <w:bookmarkStart w:id="1117" w:name="_Toc135190518"/>
      <w:bookmarkStart w:id="1118" w:name="_Toc135634277"/>
      <w:bookmarkStart w:id="1119" w:name="_Toc135642059"/>
      <w:bookmarkStart w:id="1120" w:name="_Toc135642927"/>
      <w:bookmarkStart w:id="1121" w:name="_Toc135715955"/>
      <w:bookmarkStart w:id="1122" w:name="_Toc135814018"/>
      <w:bookmarkStart w:id="1123" w:name="_Toc135814817"/>
      <w:bookmarkStart w:id="1124" w:name="_Toc135815596"/>
      <w:bookmarkStart w:id="1125" w:name="_Toc135816368"/>
      <w:bookmarkStart w:id="1126" w:name="_Toc138497179"/>
      <w:bookmarkStart w:id="1127" w:name="_Toc138497429"/>
      <w:bookmarkStart w:id="1128" w:name="_Toc138497824"/>
      <w:bookmarkStart w:id="1129" w:name="_Toc138656931"/>
      <w:bookmarkStart w:id="1130" w:name="_Toc138833853"/>
      <w:bookmarkStart w:id="1131" w:name="_Toc139083717"/>
      <w:bookmarkStart w:id="1132" w:name="_Toc153783619"/>
      <w:bookmarkStart w:id="1133" w:name="_Toc153783868"/>
      <w:bookmarkStart w:id="1134" w:name="_Toc154312843"/>
      <w:bookmarkStart w:id="1135" w:name="_Toc154313283"/>
      <w:bookmarkStart w:id="1136" w:name="_Toc154556196"/>
      <w:r>
        <w:rPr>
          <w:rStyle w:val="CharSectno"/>
        </w:rPr>
        <w:t>17</w:t>
      </w:r>
      <w:r>
        <w:t>.</w:t>
      </w:r>
      <w:r>
        <w:tab/>
        <w:t>Various Acts amended</w:t>
      </w:r>
      <w:bookmarkEnd w:id="1012"/>
      <w:bookmarkEnd w:id="1013"/>
      <w:bookmarkEnd w:id="1014"/>
    </w:p>
    <w:p>
      <w:pPr>
        <w:pStyle w:val="nzSubsection"/>
      </w:pPr>
      <w:r>
        <w:tab/>
      </w:r>
      <w:r>
        <w:tab/>
        <w:t>Schedule 1 sets out amendments to various Acts.</w:t>
      </w:r>
    </w:p>
    <w:p>
      <w:pPr>
        <w:pStyle w:val="MiscClose"/>
        <w:rPr>
          <w:snapToGrid w:val="0"/>
        </w:rPr>
      </w:pPr>
      <w:r>
        <w:rPr>
          <w:snapToGrid w:val="0"/>
        </w:rPr>
        <w:t>”.</w:t>
      </w:r>
    </w:p>
    <w:p>
      <w:pPr>
        <w:pStyle w:val="nzHeading2"/>
        <w:jc w:val="left"/>
        <w:rPr>
          <w:rStyle w:val="CharSchNo"/>
          <w:b w:val="0"/>
          <w:bCs/>
          <w:sz w:val="20"/>
        </w:rPr>
      </w:pPr>
      <w:r>
        <w:rPr>
          <w:rStyle w:val="CharSchNo"/>
          <w:b w:val="0"/>
          <w:bCs/>
          <w:sz w:val="20"/>
        </w:rPr>
        <w:t>Schedule 1 cl. 156 reads as follows:</w:t>
      </w:r>
    </w:p>
    <w:p>
      <w:pPr>
        <w:pStyle w:val="MiscOpen"/>
        <w:rPr>
          <w:snapToGrid w:val="0"/>
        </w:rPr>
      </w:pPr>
      <w:r>
        <w:rPr>
          <w:snapToGrid w:val="0"/>
        </w:rPr>
        <w:t>“</w:t>
      </w:r>
    </w:p>
    <w:p>
      <w:pPr>
        <w:pStyle w:val="nzHeading2"/>
      </w:pPr>
      <w:r>
        <w:rPr>
          <w:rStyle w:val="CharSchNo"/>
        </w:rPr>
        <w:t>Schedule 1</w:t>
      </w:r>
      <w:r>
        <w:rPr>
          <w:rStyle w:val="CharSDivNo"/>
        </w:rPr>
        <w:t> </w:t>
      </w:r>
      <w:r>
        <w:t>—</w:t>
      </w:r>
      <w:r>
        <w:rPr>
          <w:rStyle w:val="CharSDivText"/>
        </w:rPr>
        <w:t> </w:t>
      </w:r>
      <w:r>
        <w:rPr>
          <w:rStyle w:val="CharSchText"/>
        </w:rPr>
        <w:t>Amendments to various Acts</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nzMiscellaneousBody"/>
        <w:jc w:val="right"/>
      </w:pPr>
      <w:r>
        <w:t>[s. 17]</w:t>
      </w:r>
    </w:p>
    <w:p>
      <w:pPr>
        <w:pStyle w:val="nzHeading5"/>
        <w:rPr>
          <w:rStyle w:val="CharSClsNo"/>
        </w:rPr>
      </w:pPr>
    </w:p>
    <w:p>
      <w:pPr>
        <w:pStyle w:val="nzHeading5"/>
      </w:pPr>
      <w:r>
        <w:rPr>
          <w:rStyle w:val="CharSClsNo"/>
          <w:sz w:val="20"/>
        </w:rPr>
        <w:t>156</w:t>
      </w:r>
      <w:r>
        <w:t>.</w:t>
      </w:r>
      <w:r>
        <w:tab/>
      </w:r>
      <w:r>
        <w:rPr>
          <w:i/>
          <w:iCs/>
        </w:rPr>
        <w:t>S</w:t>
      </w:r>
      <w:r>
        <w:rPr>
          <w:i/>
        </w:rPr>
        <w:t>ettlement Agents Act 1981</w:t>
      </w:r>
      <w:bookmarkEnd w:id="1009"/>
      <w:bookmarkEnd w:id="1010"/>
      <w:bookmarkEnd w:id="1011"/>
    </w:p>
    <w:p>
      <w:pPr>
        <w:pStyle w:val="nzSubsection"/>
      </w:pPr>
      <w:r>
        <w:tab/>
        <w:t>(1)</w:t>
      </w:r>
      <w:r>
        <w:tab/>
        <w:t>Section 3(1) is amended as follows:</w:t>
      </w:r>
    </w:p>
    <w:p>
      <w:pPr>
        <w:pStyle w:val="nzIndenta"/>
      </w:pPr>
      <w:r>
        <w:tab/>
        <w:t>(a)</w:t>
      </w:r>
      <w:r>
        <w:tab/>
        <w:t xml:space="preserve">by deleting the definition of “ “Fidelity Guarantee Fund” or “Fund” ” and inserting instead — </w:t>
      </w:r>
    </w:p>
    <w:p>
      <w:pPr>
        <w:pStyle w:val="MiscOpen"/>
        <w:spacing w:before="40"/>
        <w:ind w:left="879"/>
      </w:pPr>
      <w:r>
        <w:t xml:space="preserve">“    </w:t>
      </w:r>
    </w:p>
    <w:p>
      <w:pPr>
        <w:pStyle w:val="nzDefstart"/>
      </w:pPr>
      <w:r>
        <w:rPr>
          <w:b/>
        </w:rPr>
        <w:tab/>
        <w:t>“</w:t>
      </w:r>
      <w:r>
        <w:rPr>
          <w:rStyle w:val="CharDefText"/>
        </w:rPr>
        <w:t>Fidelity Guarantee Account</w:t>
      </w:r>
      <w:r>
        <w:rPr>
          <w:b/>
        </w:rPr>
        <w:t>”</w:t>
      </w:r>
      <w:r>
        <w:t xml:space="preserve"> or </w:t>
      </w:r>
      <w:r>
        <w:rPr>
          <w:b/>
        </w:rPr>
        <w:t>“</w:t>
      </w:r>
      <w:r>
        <w:rPr>
          <w:rStyle w:val="CharDefText"/>
        </w:rPr>
        <w:t>Account</w:t>
      </w:r>
      <w:r>
        <w:rPr>
          <w:b/>
        </w:rPr>
        <w:t>”</w:t>
      </w:r>
      <w:r>
        <w:t xml:space="preserve"> means the account established under section 87;</w:t>
      </w:r>
    </w:p>
    <w:p>
      <w:pPr>
        <w:pStyle w:val="MiscClose"/>
      </w:pPr>
      <w:r>
        <w:t xml:space="preserve">    ”;</w:t>
      </w:r>
    </w:p>
    <w:p>
      <w:pPr>
        <w:pStyle w:val="nzIndenta"/>
      </w:pPr>
      <w:r>
        <w:tab/>
        <w:t>(b)</w:t>
      </w:r>
      <w:r>
        <w:tab/>
        <w:t xml:space="preserve">by deleting the definition of “General Purpose Fund” and inserting instead — </w:t>
      </w:r>
    </w:p>
    <w:p>
      <w:pPr>
        <w:pStyle w:val="MiscOpen"/>
        <w:spacing w:before="40"/>
        <w:ind w:left="879"/>
      </w:pPr>
      <w:r>
        <w:t xml:space="preserve">“    </w:t>
      </w:r>
    </w:p>
    <w:p>
      <w:pPr>
        <w:pStyle w:val="nzDefstart"/>
      </w:pPr>
      <w:r>
        <w:rPr>
          <w:b/>
        </w:rPr>
        <w:tab/>
        <w:t>“</w:t>
      </w:r>
      <w:r>
        <w:rPr>
          <w:rStyle w:val="CharDefText"/>
        </w:rPr>
        <w:t>General Purpose Account</w:t>
      </w:r>
      <w:r>
        <w:rPr>
          <w:b/>
        </w:rPr>
        <w:t>”</w:t>
      </w:r>
      <w:r>
        <w:t xml:space="preserve"> means the Education and General Purpose Account established under section 102A;</w:t>
      </w:r>
    </w:p>
    <w:p>
      <w:pPr>
        <w:pStyle w:val="MiscClose"/>
      </w:pPr>
      <w:r>
        <w:t xml:space="preserve">    ”.</w:t>
      </w:r>
    </w:p>
    <w:p>
      <w:pPr>
        <w:pStyle w:val="nzSubsection"/>
      </w:pPr>
      <w:r>
        <w:tab/>
        <w:t>(2)</w:t>
      </w:r>
      <w:r>
        <w:tab/>
        <w:t xml:space="preserve">The provisions listed in the Table to this subclause are amended by deleting “Fund” in each place where it occurs and inserting instead — </w:t>
      </w:r>
    </w:p>
    <w:p>
      <w:pPr>
        <w:pStyle w:val="nzSubsection"/>
      </w:pPr>
      <w:r>
        <w:tab/>
      </w:r>
      <w:r>
        <w:tab/>
        <w:t xml:space="preserve">“    </w:t>
      </w:r>
      <w:r>
        <w:rPr>
          <w:sz w:val="24"/>
        </w:rPr>
        <w:t>Account</w:t>
      </w:r>
      <w:r>
        <w:t xml:space="preserve">    ”.</w:t>
      </w:r>
    </w:p>
    <w:p>
      <w:pPr>
        <w:pStyle w:val="nzMiscellaneousHeading"/>
      </w:pPr>
      <w:r>
        <w:rPr>
          <w:b/>
        </w:rPr>
        <w:t>Table</w:t>
      </w:r>
    </w:p>
    <w:tbl>
      <w:tblPr>
        <w:tblW w:w="0" w:type="auto"/>
        <w:tblInd w:w="2028" w:type="dxa"/>
        <w:tblLayout w:type="fixed"/>
        <w:tblLook w:val="0000" w:firstRow="0" w:lastRow="0" w:firstColumn="0" w:lastColumn="0" w:noHBand="0" w:noVBand="0"/>
      </w:tblPr>
      <w:tblGrid>
        <w:gridCol w:w="1680"/>
        <w:gridCol w:w="1560"/>
      </w:tblGrid>
      <w:tr>
        <w:tc>
          <w:tcPr>
            <w:tcW w:w="1680" w:type="dxa"/>
          </w:tcPr>
          <w:p>
            <w:pPr>
              <w:pStyle w:val="nzTable"/>
            </w:pPr>
            <w:r>
              <w:t>s. 11</w:t>
            </w:r>
          </w:p>
        </w:tc>
        <w:tc>
          <w:tcPr>
            <w:tcW w:w="1560" w:type="dxa"/>
          </w:tcPr>
          <w:p>
            <w:pPr>
              <w:pStyle w:val="nzTable"/>
            </w:pPr>
            <w:r>
              <w:t>s. 95(5)</w:t>
            </w:r>
          </w:p>
        </w:tc>
      </w:tr>
      <w:tr>
        <w:tc>
          <w:tcPr>
            <w:tcW w:w="1680" w:type="dxa"/>
          </w:tcPr>
          <w:p>
            <w:pPr>
              <w:pStyle w:val="nzTable"/>
            </w:pPr>
            <w:r>
              <w:t>s. 23(2)</w:t>
            </w:r>
          </w:p>
        </w:tc>
        <w:tc>
          <w:tcPr>
            <w:tcW w:w="1560" w:type="dxa"/>
          </w:tcPr>
          <w:p>
            <w:pPr>
              <w:pStyle w:val="nzTable"/>
            </w:pPr>
            <w:r>
              <w:t>s. 96</w:t>
            </w:r>
          </w:p>
        </w:tc>
      </w:tr>
      <w:tr>
        <w:tc>
          <w:tcPr>
            <w:tcW w:w="1680" w:type="dxa"/>
          </w:tcPr>
          <w:p>
            <w:pPr>
              <w:pStyle w:val="nzTable"/>
            </w:pPr>
            <w:r>
              <w:t>s. 34(2)(b)</w:t>
            </w:r>
          </w:p>
        </w:tc>
        <w:tc>
          <w:tcPr>
            <w:tcW w:w="1560" w:type="dxa"/>
          </w:tcPr>
          <w:p>
            <w:pPr>
              <w:pStyle w:val="nzTable"/>
            </w:pPr>
            <w:r>
              <w:t>s. 97</w:t>
            </w:r>
          </w:p>
        </w:tc>
      </w:tr>
      <w:tr>
        <w:tc>
          <w:tcPr>
            <w:tcW w:w="1680" w:type="dxa"/>
          </w:tcPr>
          <w:p>
            <w:pPr>
              <w:pStyle w:val="nzTable"/>
            </w:pPr>
            <w:r>
              <w:t>s. 71(2)</w:t>
            </w:r>
          </w:p>
        </w:tc>
        <w:tc>
          <w:tcPr>
            <w:tcW w:w="1560" w:type="dxa"/>
          </w:tcPr>
          <w:p>
            <w:pPr>
              <w:pStyle w:val="nzTable"/>
            </w:pPr>
            <w:r>
              <w:t>s. 98(1)</w:t>
            </w:r>
          </w:p>
        </w:tc>
      </w:tr>
      <w:tr>
        <w:tc>
          <w:tcPr>
            <w:tcW w:w="1680" w:type="dxa"/>
          </w:tcPr>
          <w:p>
            <w:pPr>
              <w:pStyle w:val="nzTable"/>
            </w:pPr>
            <w:r>
              <w:t>s. 88</w:t>
            </w:r>
          </w:p>
        </w:tc>
        <w:tc>
          <w:tcPr>
            <w:tcW w:w="1560" w:type="dxa"/>
          </w:tcPr>
          <w:p>
            <w:pPr>
              <w:pStyle w:val="nzTable"/>
            </w:pPr>
            <w:r>
              <w:t>s. 98(2)</w:t>
            </w:r>
          </w:p>
        </w:tc>
      </w:tr>
      <w:tr>
        <w:tc>
          <w:tcPr>
            <w:tcW w:w="1680" w:type="dxa"/>
          </w:tcPr>
          <w:p>
            <w:pPr>
              <w:pStyle w:val="nzTable"/>
            </w:pPr>
            <w:r>
              <w:t>s. 89(1)</w:t>
            </w:r>
          </w:p>
        </w:tc>
        <w:tc>
          <w:tcPr>
            <w:tcW w:w="1560" w:type="dxa"/>
          </w:tcPr>
          <w:p>
            <w:pPr>
              <w:pStyle w:val="nzTable"/>
            </w:pPr>
            <w:r>
              <w:t>s. 98(3)</w:t>
            </w:r>
          </w:p>
        </w:tc>
      </w:tr>
      <w:tr>
        <w:tc>
          <w:tcPr>
            <w:tcW w:w="1680" w:type="dxa"/>
          </w:tcPr>
          <w:p>
            <w:pPr>
              <w:pStyle w:val="nzTable"/>
            </w:pPr>
            <w:r>
              <w:t>s. 89(2)</w:t>
            </w:r>
          </w:p>
        </w:tc>
        <w:tc>
          <w:tcPr>
            <w:tcW w:w="1560" w:type="dxa"/>
          </w:tcPr>
          <w:p>
            <w:pPr>
              <w:pStyle w:val="nzTable"/>
            </w:pPr>
            <w:r>
              <w:t>s. 100</w:t>
            </w:r>
          </w:p>
        </w:tc>
      </w:tr>
      <w:tr>
        <w:tc>
          <w:tcPr>
            <w:tcW w:w="1680" w:type="dxa"/>
          </w:tcPr>
          <w:p>
            <w:pPr>
              <w:pStyle w:val="nzTable"/>
            </w:pPr>
            <w:r>
              <w:t>s. 90</w:t>
            </w:r>
          </w:p>
        </w:tc>
        <w:tc>
          <w:tcPr>
            <w:tcW w:w="1560" w:type="dxa"/>
          </w:tcPr>
          <w:p>
            <w:pPr>
              <w:pStyle w:val="nzTable"/>
            </w:pPr>
            <w:r>
              <w:t>s. 101(3)</w:t>
            </w:r>
          </w:p>
        </w:tc>
      </w:tr>
      <w:tr>
        <w:tc>
          <w:tcPr>
            <w:tcW w:w="1680" w:type="dxa"/>
          </w:tcPr>
          <w:p>
            <w:pPr>
              <w:pStyle w:val="nzTable"/>
            </w:pPr>
            <w:r>
              <w:t>s. 92(2)</w:t>
            </w:r>
          </w:p>
        </w:tc>
        <w:tc>
          <w:tcPr>
            <w:tcW w:w="1560" w:type="dxa"/>
          </w:tcPr>
          <w:p>
            <w:pPr>
              <w:pStyle w:val="nzTable"/>
            </w:pPr>
            <w:r>
              <w:t>s. 102A(2)</w:t>
            </w:r>
          </w:p>
        </w:tc>
      </w:tr>
      <w:tr>
        <w:tc>
          <w:tcPr>
            <w:tcW w:w="1680" w:type="dxa"/>
          </w:tcPr>
          <w:p>
            <w:pPr>
              <w:pStyle w:val="nzTable"/>
            </w:pPr>
            <w:r>
              <w:t>s. 93(1)</w:t>
            </w:r>
          </w:p>
        </w:tc>
        <w:tc>
          <w:tcPr>
            <w:tcW w:w="1560" w:type="dxa"/>
          </w:tcPr>
          <w:p>
            <w:pPr>
              <w:pStyle w:val="nzTable"/>
            </w:pPr>
            <w:r>
              <w:t>s. 102B</w:t>
            </w:r>
          </w:p>
        </w:tc>
      </w:tr>
      <w:tr>
        <w:tc>
          <w:tcPr>
            <w:tcW w:w="1680" w:type="dxa"/>
          </w:tcPr>
          <w:p>
            <w:pPr>
              <w:pStyle w:val="nzTable"/>
            </w:pPr>
            <w:r>
              <w:t>s. 93(2)</w:t>
            </w:r>
          </w:p>
        </w:tc>
        <w:tc>
          <w:tcPr>
            <w:tcW w:w="1560" w:type="dxa"/>
          </w:tcPr>
          <w:p>
            <w:pPr>
              <w:pStyle w:val="nzTable"/>
            </w:pPr>
            <w:r>
              <w:t>s. 102C</w:t>
            </w:r>
          </w:p>
        </w:tc>
      </w:tr>
      <w:tr>
        <w:tc>
          <w:tcPr>
            <w:tcW w:w="1680" w:type="dxa"/>
          </w:tcPr>
          <w:p>
            <w:pPr>
              <w:pStyle w:val="nzTable"/>
            </w:pPr>
            <w:r>
              <w:t>s. 94(1)</w:t>
            </w:r>
          </w:p>
        </w:tc>
        <w:tc>
          <w:tcPr>
            <w:tcW w:w="1560" w:type="dxa"/>
          </w:tcPr>
          <w:p>
            <w:pPr>
              <w:pStyle w:val="nzTable"/>
            </w:pPr>
            <w:r>
              <w:t>s. 102D(1)</w:t>
            </w:r>
          </w:p>
        </w:tc>
      </w:tr>
      <w:tr>
        <w:tc>
          <w:tcPr>
            <w:tcW w:w="1680" w:type="dxa"/>
          </w:tcPr>
          <w:p>
            <w:pPr>
              <w:pStyle w:val="nzTable"/>
            </w:pPr>
            <w:r>
              <w:t>s. 95(1)</w:t>
            </w:r>
          </w:p>
        </w:tc>
        <w:tc>
          <w:tcPr>
            <w:tcW w:w="1560" w:type="dxa"/>
          </w:tcPr>
          <w:p>
            <w:pPr>
              <w:pStyle w:val="nzTable"/>
            </w:pPr>
            <w:r>
              <w:t>s. 102D(2)</w:t>
            </w:r>
          </w:p>
        </w:tc>
      </w:tr>
      <w:tr>
        <w:tc>
          <w:tcPr>
            <w:tcW w:w="1680" w:type="dxa"/>
          </w:tcPr>
          <w:p>
            <w:pPr>
              <w:pStyle w:val="nzTable"/>
            </w:pPr>
            <w:r>
              <w:t>s. 95(2)</w:t>
            </w:r>
          </w:p>
        </w:tc>
        <w:tc>
          <w:tcPr>
            <w:tcW w:w="1560" w:type="dxa"/>
          </w:tcPr>
          <w:p>
            <w:pPr>
              <w:pStyle w:val="nzTable"/>
            </w:pPr>
            <w:r>
              <w:t>s. 105(b)</w:t>
            </w:r>
          </w:p>
        </w:tc>
      </w:tr>
      <w:tr>
        <w:tc>
          <w:tcPr>
            <w:tcW w:w="1680" w:type="dxa"/>
          </w:tcPr>
          <w:p>
            <w:pPr>
              <w:pStyle w:val="nzTable"/>
            </w:pPr>
            <w:r>
              <w:t>s. 95(3)</w:t>
            </w:r>
          </w:p>
        </w:tc>
        <w:tc>
          <w:tcPr>
            <w:tcW w:w="1560" w:type="dxa"/>
          </w:tcPr>
          <w:p>
            <w:pPr>
              <w:pStyle w:val="nzTable"/>
            </w:pPr>
            <w:r>
              <w:t>s. 114</w:t>
            </w:r>
          </w:p>
        </w:tc>
      </w:tr>
      <w:tr>
        <w:tc>
          <w:tcPr>
            <w:tcW w:w="1680" w:type="dxa"/>
          </w:tcPr>
          <w:p>
            <w:pPr>
              <w:pStyle w:val="nzTable"/>
            </w:pPr>
            <w:r>
              <w:t>s. 95(4)</w:t>
            </w:r>
          </w:p>
        </w:tc>
        <w:tc>
          <w:tcPr>
            <w:tcW w:w="1560" w:type="dxa"/>
          </w:tcPr>
          <w:p>
            <w:pPr>
              <w:pStyle w:val="nzTable"/>
            </w:pPr>
            <w:r>
              <w:t>s. 123(2)(j)</w:t>
            </w:r>
          </w:p>
        </w:tc>
      </w:tr>
    </w:tbl>
    <w:p>
      <w:pPr>
        <w:pStyle w:val="nzSubsection"/>
      </w:pPr>
      <w:r>
        <w:tab/>
        <w:t>(3)</w:t>
      </w:r>
      <w:r>
        <w:tab/>
        <w:t xml:space="preserve">Section 12B(2) is amended by deleting “section 66 of the </w:t>
      </w:r>
      <w:r>
        <w:rPr>
          <w:i/>
          <w:iCs/>
        </w:rPr>
        <w:t>Financial Administration and Audit Act 1985</w:t>
      </w:r>
      <w:r>
        <w:t xml:space="preserve">.” and inserting instead — </w:t>
      </w:r>
    </w:p>
    <w:p>
      <w:pPr>
        <w:pStyle w:val="nzSubsection"/>
      </w:pPr>
      <w:r>
        <w:tab/>
      </w:r>
      <w:r>
        <w:tab/>
        <w:t xml:space="preserve">“    </w:t>
      </w:r>
      <w:r>
        <w:rPr>
          <w:sz w:val="24"/>
        </w:rPr>
        <w:t xml:space="preserve">Part 5 of the </w:t>
      </w:r>
      <w:r>
        <w:rPr>
          <w:i/>
          <w:iCs/>
          <w:sz w:val="24"/>
        </w:rPr>
        <w:t>Financial Management Act 2006</w:t>
      </w:r>
      <w:r>
        <w:rPr>
          <w:sz w:val="24"/>
        </w:rPr>
        <w:t>.</w:t>
      </w:r>
      <w:r>
        <w:t xml:space="preserve">    ”.</w:t>
      </w:r>
    </w:p>
    <w:p>
      <w:pPr>
        <w:pStyle w:val="nzSubsection"/>
      </w:pPr>
      <w:r>
        <w:tab/>
        <w:t>(4)</w:t>
      </w:r>
      <w:r>
        <w:tab/>
        <w:t xml:space="preserve">Section 74(3)(b)(ii) and “and” after it are deleted and the following is inserted instead — </w:t>
      </w:r>
    </w:p>
    <w:p>
      <w:pPr>
        <w:pStyle w:val="MiscOpen"/>
        <w:ind w:left="2040"/>
      </w:pPr>
      <w:r>
        <w:t xml:space="preserve">“    </w:t>
      </w:r>
    </w:p>
    <w:p>
      <w:pPr>
        <w:pStyle w:val="nzIndenti"/>
      </w:pPr>
      <w:r>
        <w:tab/>
        <w:t>(ii)</w:t>
      </w:r>
      <w:r>
        <w:tab/>
        <w:t xml:space="preserve">credit such moneys, or such balance, to a separate agency special purpose account established for the Board under section 16 of the </w:t>
      </w:r>
      <w:r>
        <w:rPr>
          <w:i/>
          <w:iCs/>
        </w:rPr>
        <w:t>Financial Management Act 2006</w:t>
      </w:r>
      <w:r>
        <w:t>; and</w:t>
      </w:r>
    </w:p>
    <w:p>
      <w:pPr>
        <w:pStyle w:val="MiscClose"/>
      </w:pPr>
      <w:r>
        <w:t xml:space="preserve">    ”.</w:t>
      </w:r>
    </w:p>
    <w:p>
      <w:pPr>
        <w:pStyle w:val="nzSubsection"/>
      </w:pPr>
      <w:r>
        <w:tab/>
        <w:t>(5)</w:t>
      </w:r>
      <w:r>
        <w:tab/>
        <w:t xml:space="preserve">Section 74(4) is amended after “separate” in both places where it occurs by inserting — </w:t>
      </w:r>
    </w:p>
    <w:p>
      <w:pPr>
        <w:pStyle w:val="nzSubsection"/>
      </w:pPr>
      <w:r>
        <w:tab/>
      </w:r>
      <w:r>
        <w:tab/>
        <w:t xml:space="preserve">“    </w:t>
      </w:r>
      <w:r>
        <w:rPr>
          <w:sz w:val="24"/>
        </w:rPr>
        <w:t>agency special purpose</w:t>
      </w:r>
      <w:r>
        <w:t xml:space="preserve">    ”.</w:t>
      </w:r>
    </w:p>
    <w:p>
      <w:pPr>
        <w:pStyle w:val="nzSubsection"/>
      </w:pPr>
      <w:r>
        <w:tab/>
        <w:t>(6)</w:t>
      </w:r>
      <w:r>
        <w:tab/>
        <w:t xml:space="preserve">Section 79(2)(a) is amended by deleting “account to be kept at the Treasury as part of the Trust Fund constituted under section 9 of the </w:t>
      </w:r>
      <w:r>
        <w:rPr>
          <w:i/>
          <w:iCs/>
        </w:rPr>
        <w:t>Financial Administration and Audit Act 1985</w:t>
      </w:r>
      <w:r>
        <w:t xml:space="preserve">;” and inserting instead — </w:t>
      </w:r>
    </w:p>
    <w:p>
      <w:pPr>
        <w:pStyle w:val="MiscOpen"/>
        <w:ind w:left="1620"/>
      </w:pPr>
      <w:r>
        <w:t xml:space="preserve">“    </w:t>
      </w:r>
    </w:p>
    <w:p>
      <w:pPr>
        <w:pStyle w:val="nzIndenta"/>
      </w:pPr>
      <w:r>
        <w:tab/>
      </w:r>
      <w:r>
        <w:tab/>
        <w:t xml:space="preserve">Treasurer’s special purpose account established under section 10 of the </w:t>
      </w:r>
      <w:r>
        <w:rPr>
          <w:i/>
          <w:iCs/>
        </w:rPr>
        <w:t>Financial Management Act 2006</w:t>
      </w:r>
      <w:r>
        <w:t>;</w:t>
      </w:r>
    </w:p>
    <w:p>
      <w:pPr>
        <w:pStyle w:val="MiscClose"/>
      </w:pPr>
      <w:r>
        <w:t xml:space="preserve">    ”.</w:t>
      </w:r>
    </w:p>
    <w:p>
      <w:pPr>
        <w:pStyle w:val="nzSubsection"/>
      </w:pPr>
      <w:r>
        <w:tab/>
        <w:t>(7)</w:t>
      </w:r>
      <w:r>
        <w:tab/>
        <w:t xml:space="preserve">Section 79(4) is amended by deleting “account at the Treasury,” and inserting instead — </w:t>
      </w:r>
    </w:p>
    <w:p>
      <w:pPr>
        <w:pStyle w:val="nzSubsection"/>
      </w:pPr>
      <w:r>
        <w:tab/>
      </w:r>
      <w:r>
        <w:tab/>
        <w:t xml:space="preserve">“    </w:t>
      </w:r>
      <w:r>
        <w:rPr>
          <w:sz w:val="24"/>
        </w:rPr>
        <w:t>Treasurer’s special purpose account,</w:t>
      </w:r>
      <w:r>
        <w:t xml:space="preserve">    ”.</w:t>
      </w:r>
    </w:p>
    <w:p>
      <w:pPr>
        <w:pStyle w:val="nzSubsection"/>
      </w:pPr>
      <w:r>
        <w:tab/>
        <w:t>(8)</w:t>
      </w:r>
      <w:r>
        <w:tab/>
        <w:t xml:space="preserve">The heading to Part V is amended by deleting “Fund” and inserting instead — </w:t>
      </w:r>
    </w:p>
    <w:p>
      <w:pPr>
        <w:pStyle w:val="nzSubsection"/>
      </w:pPr>
      <w:r>
        <w:tab/>
      </w:r>
      <w:r>
        <w:tab/>
        <w:t xml:space="preserve">“    </w:t>
      </w:r>
      <w:r>
        <w:rPr>
          <w:b/>
          <w:bCs/>
          <w:sz w:val="30"/>
        </w:rPr>
        <w:t>Account</w:t>
      </w:r>
      <w:r>
        <w:t xml:space="preserve">    ”.</w:t>
      </w:r>
    </w:p>
    <w:p>
      <w:pPr>
        <w:pStyle w:val="nzSubsection"/>
      </w:pPr>
      <w:r>
        <w:tab/>
        <w:t>(9)</w:t>
      </w:r>
      <w:r>
        <w:tab/>
        <w:t xml:space="preserve">Section 87 is repealed and the following section is inserted instead — </w:t>
      </w:r>
    </w:p>
    <w:p>
      <w:pPr>
        <w:pStyle w:val="MiscOpen"/>
      </w:pPr>
      <w:r>
        <w:t xml:space="preserve">“    </w:t>
      </w:r>
    </w:p>
    <w:p>
      <w:pPr>
        <w:pStyle w:val="nzHeading5"/>
      </w:pPr>
      <w:bookmarkStart w:id="1137" w:name="_Toc154313451"/>
      <w:bookmarkStart w:id="1138" w:name="_Toc154556364"/>
      <w:r>
        <w:t>87.</w:t>
      </w:r>
      <w:r>
        <w:tab/>
        <w:t>Settlement Agents Fidelity Guarantee Account</w:t>
      </w:r>
      <w:bookmarkEnd w:id="1137"/>
      <w:bookmarkEnd w:id="1138"/>
    </w:p>
    <w:p>
      <w:pPr>
        <w:pStyle w:val="nzSubsection"/>
      </w:pPr>
      <w:r>
        <w:tab/>
      </w:r>
      <w:r>
        <w:tab/>
        <w:t xml:space="preserve">An account called the Settlement Agents Fidelity Guarantee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nzSubsection"/>
      </w:pPr>
      <w:r>
        <w:tab/>
      </w:r>
      <w:r>
        <w:tab/>
        <w:t>which is to be administered by the Board.</w:t>
      </w:r>
    </w:p>
    <w:p>
      <w:pPr>
        <w:pStyle w:val="MiscClose"/>
      </w:pPr>
      <w:r>
        <w:t xml:space="preserve">    ”.</w:t>
      </w:r>
    </w:p>
    <w:p>
      <w:pPr>
        <w:pStyle w:val="nzSubsection"/>
      </w:pPr>
      <w:r>
        <w:tab/>
        <w:t>(10)</w:t>
      </w:r>
      <w:r>
        <w:tab/>
        <w:t xml:space="preserve">Section 89(1) is amended by deleting the passage from and including “as — ” to the end of the subsection and inserting instead — </w:t>
      </w:r>
    </w:p>
    <w:p>
      <w:pPr>
        <w:pStyle w:val="MiscOpen"/>
        <w:ind w:left="880"/>
      </w:pPr>
      <w:r>
        <w:t xml:space="preserve">“    </w:t>
      </w:r>
    </w:p>
    <w:p>
      <w:pPr>
        <w:pStyle w:val="nzSubsection"/>
      </w:pPr>
      <w:r>
        <w:tab/>
      </w:r>
      <w:r>
        <w:tab/>
        <w:t xml:space="preserve">as trust funds may be invested in accordance with Part III of the </w:t>
      </w:r>
      <w:r>
        <w:rPr>
          <w:i/>
          <w:iCs/>
        </w:rPr>
        <w:t>Trustees Act </w:t>
      </w:r>
      <w:r>
        <w:rPr>
          <w:i/>
        </w:rPr>
        <w:t>1962</w:t>
      </w:r>
      <w:r>
        <w:t>.</w:t>
      </w:r>
    </w:p>
    <w:p>
      <w:pPr>
        <w:pStyle w:val="MiscClose"/>
      </w:pPr>
      <w:r>
        <w:t xml:space="preserve">    ”.</w:t>
      </w:r>
    </w:p>
    <w:p>
      <w:pPr>
        <w:pStyle w:val="nzSubsection"/>
      </w:pPr>
      <w:r>
        <w:tab/>
        <w:t>(11)</w:t>
      </w:r>
      <w:r>
        <w:tab/>
        <w:t xml:space="preserve">The heading to Part VA is amended by deleting “Fund” and inserting instead — </w:t>
      </w:r>
    </w:p>
    <w:p>
      <w:pPr>
        <w:pStyle w:val="nzSubsection"/>
      </w:pPr>
      <w:r>
        <w:tab/>
      </w:r>
      <w:r>
        <w:tab/>
        <w:t xml:space="preserve">“    </w:t>
      </w:r>
      <w:r>
        <w:rPr>
          <w:b/>
          <w:bCs/>
          <w:sz w:val="30"/>
        </w:rPr>
        <w:t>Account</w:t>
      </w:r>
      <w:r>
        <w:t xml:space="preserve">    ”.</w:t>
      </w:r>
    </w:p>
    <w:p>
      <w:pPr>
        <w:pStyle w:val="nzSubsection"/>
      </w:pPr>
      <w:r>
        <w:tab/>
        <w:t>(12)</w:t>
      </w:r>
      <w:r>
        <w:tab/>
        <w:t xml:space="preserve">Section 102A(1) is repealed and the following subsection is inserted instead — </w:t>
      </w:r>
    </w:p>
    <w:p>
      <w:pPr>
        <w:pStyle w:val="MiscOpen"/>
        <w:ind w:left="600"/>
      </w:pPr>
      <w:r>
        <w:t xml:space="preserve">“    </w:t>
      </w:r>
    </w:p>
    <w:p>
      <w:pPr>
        <w:pStyle w:val="nzSubsection"/>
      </w:pPr>
      <w:r>
        <w:tab/>
        <w:t>(1)</w:t>
      </w:r>
      <w:r>
        <w:tab/>
        <w:t xml:space="preserve">An account called the Education and General Purpose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MiscClose"/>
      </w:pPr>
      <w:r>
        <w:t xml:space="preserve">    ”.</w:t>
      </w:r>
    </w:p>
    <w:p>
      <w:pPr>
        <w:pStyle w:val="nzSubsection"/>
      </w:pPr>
      <w:r>
        <w:tab/>
        <w:t>(13)</w:t>
      </w:r>
      <w:r>
        <w:tab/>
        <w:t xml:space="preserve">Section 102D(1) is amended by deleting the passage from and including “as — ” to the end of the subsection and inserting instead — </w:t>
      </w:r>
    </w:p>
    <w:p>
      <w:pPr>
        <w:pStyle w:val="MiscOpen"/>
        <w:ind w:left="880"/>
      </w:pPr>
      <w:r>
        <w:t xml:space="preserve">“    </w:t>
      </w:r>
    </w:p>
    <w:p>
      <w:pPr>
        <w:pStyle w:val="nzSubsection"/>
      </w:pPr>
      <w:r>
        <w:tab/>
      </w:r>
      <w:r>
        <w:tab/>
        <w:t xml:space="preserve">as trust funds may be invested in accordance with Part III of the </w:t>
      </w:r>
      <w:r>
        <w:rPr>
          <w:i/>
          <w:iCs/>
        </w:rPr>
        <w:t>Trustees Act </w:t>
      </w:r>
      <w:r>
        <w:rPr>
          <w:i/>
        </w:rPr>
        <w:t>1962</w:t>
      </w:r>
      <w:r>
        <w:t>.</w:t>
      </w:r>
    </w:p>
    <w:p>
      <w:pPr>
        <w:pStyle w:val="MiscClose"/>
      </w:pPr>
      <w:r>
        <w:t xml:space="preserve">    ”.</w:t>
      </w:r>
    </w:p>
    <w:p>
      <w:pPr>
        <w:pStyle w:val="nzSubsection"/>
      </w:pPr>
      <w:r>
        <w:tab/>
        <w:t>(14)</w:t>
      </w:r>
      <w:r>
        <w:tab/>
        <w:t xml:space="preserve">Section 103(1) is repealed and the following subsection is inserted instead — </w:t>
      </w:r>
    </w:p>
    <w:p>
      <w:pPr>
        <w:pStyle w:val="MiscOpen"/>
        <w:ind w:left="600"/>
      </w:pPr>
      <w:r>
        <w:t xml:space="preserve">“    </w:t>
      </w:r>
    </w:p>
    <w:p>
      <w:pPr>
        <w:pStyle w:val="nzSubsection"/>
      </w:pPr>
      <w:r>
        <w:tab/>
        <w:t>(1)</w:t>
      </w:r>
      <w:r>
        <w:tab/>
        <w:t xml:space="preserve">An account called the Board Interest Account is to be established — </w:t>
      </w:r>
    </w:p>
    <w:p>
      <w:pPr>
        <w:pStyle w:val="nzIndenta"/>
      </w:pPr>
      <w:r>
        <w:tab/>
        <w:t>(a)</w:t>
      </w:r>
      <w:r>
        <w:tab/>
        <w:t xml:space="preserve">as an agency special purpose account under section 16 of the </w:t>
      </w:r>
      <w:r>
        <w:rPr>
          <w:i/>
          <w:iCs/>
        </w:rPr>
        <w:t>Financial Management Act 2006</w:t>
      </w:r>
      <w:r>
        <w:t>; or</w:t>
      </w:r>
    </w:p>
    <w:p>
      <w:pPr>
        <w:pStyle w:val="nzIndenta"/>
      </w:pPr>
      <w:r>
        <w:tab/>
        <w:t>(b)</w:t>
      </w:r>
      <w:r>
        <w:tab/>
        <w:t>with the approval of the Treasurer, at a bank as defined in section 3 of that Act.</w:t>
      </w:r>
    </w:p>
    <w:p>
      <w:pPr>
        <w:pStyle w:val="MiscClose"/>
      </w:pPr>
      <w:r>
        <w:t xml:space="preserve">    ”.</w:t>
      </w:r>
    </w:p>
    <w:p>
      <w:pPr>
        <w:pStyle w:val="nzSubsection"/>
      </w:pPr>
      <w:r>
        <w:tab/>
        <w:t>(15)</w:t>
      </w:r>
      <w:r>
        <w:tab/>
        <w:t xml:space="preserve">Section 106(1) is amended by deleting the passage from and including “as — ” to the end of the subsection and inserting instead — </w:t>
      </w:r>
    </w:p>
    <w:p>
      <w:pPr>
        <w:pStyle w:val="MiscOpen"/>
        <w:ind w:left="880"/>
      </w:pPr>
      <w:r>
        <w:t xml:space="preserve">“    </w:t>
      </w:r>
    </w:p>
    <w:p>
      <w:pPr>
        <w:pStyle w:val="nzSubsection"/>
      </w:pPr>
      <w:r>
        <w:tab/>
      </w:r>
      <w:r>
        <w:tab/>
        <w:t xml:space="preserve">as money standing to the credit of the Public Bank Account may be invested under section 37 of the </w:t>
      </w:r>
      <w:r>
        <w:rPr>
          <w:i/>
          <w:iCs/>
        </w:rPr>
        <w:t>Financial Management Act 2006</w:t>
      </w:r>
      <w:r>
        <w:t>.</w:t>
      </w:r>
    </w:p>
    <w:p>
      <w:pPr>
        <w:pStyle w:val="MiscClose"/>
      </w:pPr>
      <w:r>
        <w:t xml:space="preserve">    ”.</w:t>
      </w:r>
    </w:p>
    <w:p>
      <w:pPr>
        <w:pStyle w:val="nzSubsection"/>
      </w:pPr>
      <w:r>
        <w:tab/>
        <w:t>(16)</w:t>
      </w:r>
      <w:r>
        <w:tab/>
        <w:t>Section 112(1) is amended by deleting “</w:t>
      </w:r>
      <w:r>
        <w:rPr>
          <w:i/>
          <w:iCs/>
        </w:rPr>
        <w:t>Financial Administration and Audit Act 1985</w:t>
      </w:r>
      <w:r>
        <w:t xml:space="preserve">” and inserting instead — </w:t>
      </w:r>
    </w:p>
    <w:p>
      <w:pPr>
        <w:pStyle w:val="MiscOpen"/>
        <w:ind w:left="880"/>
      </w:pPr>
      <w:r>
        <w:t xml:space="preserve">“    </w:t>
      </w:r>
    </w:p>
    <w:p>
      <w:pPr>
        <w:pStyle w:val="nzSubsection"/>
      </w:pPr>
      <w:r>
        <w:tab/>
      </w:r>
      <w:r>
        <w:tab/>
      </w:r>
      <w:r>
        <w:rPr>
          <w:i/>
          <w:iCs/>
        </w:rPr>
        <w:t>Financial Management Act 2006</w:t>
      </w:r>
      <w:r>
        <w:t xml:space="preserve"> and the </w:t>
      </w:r>
      <w:r>
        <w:rPr>
          <w:i/>
          <w:iCs/>
        </w:rPr>
        <w:t>Auditor General Act 2006</w:t>
      </w:r>
    </w:p>
    <w:p>
      <w:pPr>
        <w:pStyle w:val="MiscClose"/>
      </w:pPr>
      <w:r>
        <w:t xml:space="preserve">    ”.</w:t>
      </w:r>
    </w:p>
    <w:p>
      <w:pPr>
        <w:pStyle w:val="MiscClose"/>
      </w:pPr>
      <w:r>
        <w:t xml:space="preserve">    ”.</w:t>
      </w:r>
    </w:p>
    <w:p>
      <w:pPr>
        <w:pStyle w:val="nSubsection"/>
        <w:rPr>
          <w:snapToGrid w:val="0"/>
        </w:rPr>
      </w:pPr>
      <w:r>
        <w:rPr>
          <w:snapToGrid w:val="0"/>
          <w:vertAlign w:val="superscript"/>
        </w:rPr>
        <w:t>10</w:t>
      </w:r>
      <w:r>
        <w:rPr>
          <w:snapToGrid w:val="0"/>
        </w:rPr>
        <w:tab/>
        <w:t xml:space="preserve">On the date as at which this compilation was prepared, the </w:t>
      </w:r>
      <w:r>
        <w:rPr>
          <w:i/>
          <w:iCs/>
        </w:rPr>
        <w:t>Consumer Protection Legislation Amendment and Repeal Act 2006</w:t>
      </w:r>
      <w:r>
        <w:t xml:space="preserve"> Pt. 11 </w:t>
      </w:r>
      <w:r>
        <w:rPr>
          <w:snapToGrid w:val="0"/>
        </w:rPr>
        <w:t>had not come into operation.  It reads as follows:</w:t>
      </w:r>
    </w:p>
    <w:p>
      <w:pPr>
        <w:pStyle w:val="MiscOpen"/>
        <w:rPr>
          <w:snapToGrid w:val="0"/>
        </w:rPr>
      </w:pPr>
      <w:r>
        <w:rPr>
          <w:snapToGrid w:val="0"/>
        </w:rPr>
        <w:t>“</w:t>
      </w:r>
    </w:p>
    <w:p>
      <w:pPr>
        <w:pStyle w:val="nzHeading2"/>
      </w:pPr>
      <w:bookmarkStart w:id="1139" w:name="_Toc72723014"/>
      <w:bookmarkStart w:id="1140" w:name="_Toc72738124"/>
      <w:bookmarkStart w:id="1141" w:name="_Toc72742968"/>
      <w:bookmarkStart w:id="1142" w:name="_Toc72802945"/>
      <w:bookmarkStart w:id="1143" w:name="_Toc72805359"/>
      <w:bookmarkStart w:id="1144" w:name="_Toc73340490"/>
      <w:bookmarkStart w:id="1145" w:name="_Toc75574783"/>
      <w:bookmarkStart w:id="1146" w:name="_Toc75574828"/>
      <w:bookmarkStart w:id="1147" w:name="_Toc75597081"/>
      <w:bookmarkStart w:id="1148" w:name="_Toc75597126"/>
      <w:bookmarkStart w:id="1149" w:name="_Toc75657850"/>
      <w:bookmarkStart w:id="1150" w:name="_Toc75658858"/>
      <w:bookmarkStart w:id="1151" w:name="_Toc75659003"/>
      <w:bookmarkStart w:id="1152" w:name="_Toc75659192"/>
      <w:bookmarkStart w:id="1153" w:name="_Toc75659279"/>
      <w:bookmarkStart w:id="1154" w:name="_Toc75659503"/>
      <w:bookmarkStart w:id="1155" w:name="_Toc78767702"/>
      <w:bookmarkStart w:id="1156" w:name="_Toc78945693"/>
      <w:bookmarkStart w:id="1157" w:name="_Toc78945777"/>
      <w:bookmarkStart w:id="1158" w:name="_Toc78951276"/>
      <w:bookmarkStart w:id="1159" w:name="_Toc79207233"/>
      <w:bookmarkStart w:id="1160" w:name="_Toc79213900"/>
      <w:bookmarkStart w:id="1161" w:name="_Toc79306821"/>
      <w:bookmarkStart w:id="1162" w:name="_Toc80602134"/>
      <w:bookmarkStart w:id="1163" w:name="_Toc81111836"/>
      <w:bookmarkStart w:id="1164" w:name="_Toc104859497"/>
      <w:bookmarkStart w:id="1165" w:name="_Toc104863362"/>
      <w:bookmarkStart w:id="1166" w:name="_Toc104863998"/>
      <w:bookmarkStart w:id="1167" w:name="_Toc104864049"/>
      <w:bookmarkStart w:id="1168" w:name="_Toc104865513"/>
      <w:bookmarkStart w:id="1169" w:name="_Toc104875451"/>
      <w:bookmarkStart w:id="1170" w:name="_Toc104877768"/>
      <w:bookmarkStart w:id="1171" w:name="_Toc104963841"/>
      <w:bookmarkStart w:id="1172" w:name="_Toc105215208"/>
      <w:bookmarkStart w:id="1173" w:name="_Toc105217222"/>
      <w:bookmarkStart w:id="1174" w:name="_Toc105226561"/>
      <w:bookmarkStart w:id="1175" w:name="_Toc105231755"/>
      <w:bookmarkStart w:id="1176" w:name="_Toc105233899"/>
      <w:bookmarkStart w:id="1177" w:name="_Toc105306838"/>
      <w:bookmarkStart w:id="1178" w:name="_Toc105306892"/>
      <w:bookmarkStart w:id="1179" w:name="_Toc105374106"/>
      <w:bookmarkStart w:id="1180" w:name="_Toc105465128"/>
      <w:bookmarkStart w:id="1181" w:name="_Toc105895977"/>
      <w:bookmarkStart w:id="1182" w:name="_Toc105896409"/>
      <w:bookmarkStart w:id="1183" w:name="_Toc106080879"/>
      <w:bookmarkStart w:id="1184" w:name="_Toc106081604"/>
      <w:bookmarkStart w:id="1185" w:name="_Toc106087920"/>
      <w:bookmarkStart w:id="1186" w:name="_Toc106090042"/>
      <w:bookmarkStart w:id="1187" w:name="_Toc106589711"/>
      <w:bookmarkStart w:id="1188" w:name="_Toc106591396"/>
      <w:bookmarkStart w:id="1189" w:name="_Toc106592066"/>
      <w:bookmarkStart w:id="1190" w:name="_Toc106676908"/>
      <w:bookmarkStart w:id="1191" w:name="_Toc106685620"/>
      <w:bookmarkStart w:id="1192" w:name="_Toc106686349"/>
      <w:bookmarkStart w:id="1193" w:name="_Toc111271771"/>
      <w:bookmarkStart w:id="1194" w:name="_Toc111277636"/>
      <w:bookmarkStart w:id="1195" w:name="_Toc111338106"/>
      <w:bookmarkStart w:id="1196" w:name="_Toc111345614"/>
      <w:bookmarkStart w:id="1197" w:name="_Toc111345665"/>
      <w:bookmarkStart w:id="1198" w:name="_Toc111345844"/>
      <w:bookmarkStart w:id="1199" w:name="_Toc111345976"/>
      <w:bookmarkStart w:id="1200" w:name="_Toc111608451"/>
      <w:bookmarkStart w:id="1201" w:name="_Toc111608514"/>
      <w:bookmarkStart w:id="1202" w:name="_Toc111609116"/>
      <w:bookmarkStart w:id="1203" w:name="_Toc111613030"/>
      <w:bookmarkStart w:id="1204" w:name="_Toc111614324"/>
      <w:bookmarkStart w:id="1205" w:name="_Toc114979728"/>
      <w:bookmarkStart w:id="1206" w:name="_Toc153356717"/>
      <w:bookmarkStart w:id="1207" w:name="_Toc153852213"/>
      <w:r>
        <w:rPr>
          <w:rStyle w:val="CharPartNo"/>
        </w:rPr>
        <w:t>Part 11</w:t>
      </w:r>
      <w:r>
        <w:rPr>
          <w:rStyle w:val="CharDivNo"/>
        </w:rPr>
        <w:t xml:space="preserve"> </w:t>
      </w:r>
      <w:r>
        <w:t>—</w:t>
      </w:r>
      <w:r>
        <w:rPr>
          <w:rStyle w:val="CharDivText"/>
        </w:rPr>
        <w:t xml:space="preserve"> </w:t>
      </w:r>
      <w:r>
        <w:rPr>
          <w:rStyle w:val="CharPartText"/>
          <w:i/>
        </w:rPr>
        <w:t>Settlement Agents Act 1981</w:t>
      </w:r>
      <w:bookmarkEnd w:id="1139"/>
      <w:bookmarkEnd w:id="1140"/>
      <w:bookmarkEnd w:id="1141"/>
      <w:bookmarkEnd w:id="1142"/>
      <w:bookmarkEnd w:id="1143"/>
      <w:bookmarkEnd w:id="1144"/>
      <w:bookmarkEnd w:id="1145"/>
      <w:bookmarkEnd w:id="1146"/>
      <w:bookmarkEnd w:id="1147"/>
      <w:bookmarkEnd w:id="1148"/>
      <w:r>
        <w:rPr>
          <w:rStyle w:val="CharPartText"/>
          <w:i/>
        </w:rPr>
        <w:t xml:space="preserve"> </w:t>
      </w:r>
      <w:r>
        <w:rPr>
          <w:rStyle w:val="CharPartText"/>
        </w:rPr>
        <w:t>amended</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pPr>
        <w:pStyle w:val="nzHeading5"/>
      </w:pPr>
      <w:bookmarkStart w:id="1208" w:name="_Toc24853922"/>
      <w:bookmarkStart w:id="1209" w:name="_Toc105217223"/>
      <w:bookmarkStart w:id="1210" w:name="_Toc111345977"/>
      <w:bookmarkStart w:id="1211" w:name="_Toc153356718"/>
      <w:bookmarkStart w:id="1212" w:name="_Toc153852214"/>
      <w:r>
        <w:rPr>
          <w:rStyle w:val="CharSectno"/>
        </w:rPr>
        <w:t>35</w:t>
      </w:r>
      <w:r>
        <w:t>.</w:t>
      </w:r>
      <w:r>
        <w:tab/>
        <w:t>The Act amended</w:t>
      </w:r>
      <w:bookmarkEnd w:id="1208"/>
      <w:bookmarkEnd w:id="1209"/>
      <w:bookmarkEnd w:id="1210"/>
      <w:bookmarkEnd w:id="1211"/>
      <w:bookmarkEnd w:id="1212"/>
    </w:p>
    <w:p>
      <w:pPr>
        <w:pStyle w:val="nzSubsection"/>
      </w:pPr>
      <w:r>
        <w:tab/>
      </w:r>
      <w:r>
        <w:tab/>
        <w:t xml:space="preserve">The amendment in this Part is to the </w:t>
      </w:r>
      <w:r>
        <w:rPr>
          <w:i/>
        </w:rPr>
        <w:t>Settlement Agents Act 1981</w:t>
      </w:r>
      <w:r>
        <w:t>.</w:t>
      </w:r>
    </w:p>
    <w:p>
      <w:pPr>
        <w:pStyle w:val="nzHeading5"/>
      </w:pPr>
      <w:bookmarkStart w:id="1213" w:name="_Toc24853923"/>
      <w:bookmarkStart w:id="1214" w:name="_Toc105217224"/>
      <w:bookmarkStart w:id="1215" w:name="_Toc111345978"/>
      <w:bookmarkStart w:id="1216" w:name="_Toc153356719"/>
      <w:bookmarkStart w:id="1217" w:name="_Toc153852215"/>
      <w:r>
        <w:rPr>
          <w:rStyle w:val="CharSectno"/>
        </w:rPr>
        <w:t>36</w:t>
      </w:r>
      <w:r>
        <w:t>.</w:t>
      </w:r>
      <w:r>
        <w:tab/>
        <w:t>Section 49 amended</w:t>
      </w:r>
      <w:bookmarkEnd w:id="1213"/>
      <w:bookmarkEnd w:id="1214"/>
      <w:bookmarkEnd w:id="1215"/>
      <w:bookmarkEnd w:id="1216"/>
      <w:bookmarkEnd w:id="1217"/>
    </w:p>
    <w:p>
      <w:pPr>
        <w:pStyle w:val="nzSubsection"/>
      </w:pPr>
      <w:r>
        <w:tab/>
      </w:r>
      <w:r>
        <w:tab/>
        <w:t xml:space="preserve">After section 49(5) the following subsections are inserted — </w:t>
      </w:r>
    </w:p>
    <w:p>
      <w:pPr>
        <w:pStyle w:val="MiscOpen"/>
        <w:ind w:left="595"/>
      </w:pPr>
      <w:r>
        <w:t xml:space="preserve">“    </w:t>
      </w:r>
    </w:p>
    <w:p>
      <w:pPr>
        <w:pStyle w:val="nzSubsection"/>
      </w:pPr>
      <w:r>
        <w:tab/>
        <w:t>(5a)</w:t>
      </w:r>
      <w:r>
        <w:tab/>
        <w:t xml:space="preserve">If — </w:t>
      </w:r>
    </w:p>
    <w:p>
      <w:pPr>
        <w:pStyle w:val="nzIndenta"/>
      </w:pPr>
      <w:r>
        <w:tab/>
        <w:t>(a)</w:t>
      </w:r>
      <w:r>
        <w:tab/>
        <w:t>a settlement of a real estate transaction or a business transaction is completed;</w:t>
      </w:r>
    </w:p>
    <w:p>
      <w:pPr>
        <w:pStyle w:val="nzIndenta"/>
      </w:pPr>
      <w:r>
        <w:tab/>
        <w:t>(b)</w:t>
      </w:r>
      <w:r>
        <w:tab/>
        <w:t>the settlement agent who arranged or effected the settlement received moneys in respect of the real estate transaction or business transaction in the course of arranging or effecting the settlement; and</w:t>
      </w:r>
    </w:p>
    <w:p>
      <w:pPr>
        <w:pStyle w:val="nzIndenta"/>
      </w:pPr>
      <w:r>
        <w:tab/>
        <w:t>(c)</w:t>
      </w:r>
      <w:r>
        <w:tab/>
        <w:t>the settlement agent is authorised in writing by the vendor to make a payment from those moneys to an agent as payment of the whole or part of the commission, reward or remuneration to which the agent is entitled for arranging the real estate transaction or business transaction to which the settlement relates,</w:t>
      </w:r>
    </w:p>
    <w:p>
      <w:pPr>
        <w:pStyle w:val="nzSubsection"/>
      </w:pPr>
      <w:r>
        <w:tab/>
      </w:r>
      <w:r>
        <w:tab/>
        <w:t>the settlement agent may, despite subsections (4) and (5), pay to the agent from those moneys such sum as the settlement agent is so authorised to pay.</w:t>
      </w:r>
    </w:p>
    <w:p>
      <w:pPr>
        <w:pStyle w:val="nzSubsection"/>
      </w:pPr>
      <w:r>
        <w:tab/>
        <w:t>(5b)</w:t>
      </w:r>
      <w:r>
        <w:tab/>
        <w:t xml:space="preserve">In subsection (5a) — </w:t>
      </w:r>
    </w:p>
    <w:p>
      <w:pPr>
        <w:pStyle w:val="nzDefstart"/>
      </w:pPr>
      <w:r>
        <w:rPr>
          <w:b/>
        </w:rPr>
        <w:tab/>
        <w:t>“</w:t>
      </w:r>
      <w:r>
        <w:rPr>
          <w:rStyle w:val="CharDefText"/>
        </w:rPr>
        <w:t>agent</w:t>
      </w:r>
      <w:r>
        <w:rPr>
          <w:b/>
        </w:rPr>
        <w: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w:t>
      </w:r>
      <w:bookmarkStart w:id="1218" w:name="UpToHere"/>
      <w:bookmarkEnd w:id="1218"/>
      <w:r>
        <w:t>nt relates;</w:t>
      </w:r>
    </w:p>
    <w:p>
      <w:pPr>
        <w:pStyle w:val="nzDefstart"/>
      </w:pPr>
      <w:r>
        <w:rPr>
          <w:b/>
        </w:rPr>
        <w:tab/>
        <w:t>“</w:t>
      </w:r>
      <w:r>
        <w:rPr>
          <w:rStyle w:val="CharDefText"/>
        </w:rPr>
        <w:t>vendor</w:t>
      </w:r>
      <w:r>
        <w:rPr>
          <w:b/>
        </w:rPr>
        <w:t>”</w:t>
      </w:r>
      <w:r>
        <w:t xml:space="preserve"> means the person or persons lawfully entitled to receive the purchase price in respect of a real estate transaction or business transaction.</w:t>
      </w:r>
    </w:p>
    <w:p>
      <w:pPr>
        <w:pStyle w:val="MiscClose"/>
        <w:ind w:right="498"/>
      </w:pPr>
      <w:r>
        <w:t xml:space="preserve">    ”.</w:t>
      </w:r>
    </w:p>
    <w:p>
      <w:pPr>
        <w:pStyle w:val="MiscClose"/>
        <w:rPr>
          <w:snapToGrid w:val="0"/>
        </w:rPr>
      </w:pPr>
      <w:r>
        <w:rPr>
          <w:snapToGrid w:val="0"/>
        </w:rPr>
        <w:t>”.</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CharSchno </w:instrText>
          </w:r>
          <w:r>
            <w:fldChar w:fldCharType="end"/>
          </w:r>
        </w:p>
      </w:tc>
      <w:tc>
        <w:tcPr>
          <w:tcW w:w="5612"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r>
            <w:fldChar w:fldCharType="begin"/>
          </w:r>
          <w:r>
            <w:instrText xml:space="preserve"> styleref CharSchText </w:instrText>
          </w:r>
          <w:r>
            <w:fldChar w:fldCharType="end"/>
          </w:r>
        </w:p>
      </w:tc>
      <w:tc>
        <w:tcPr>
          <w:tcW w:w="1400" w:type="dxa"/>
        </w:tcPr>
        <w:p>
          <w:pPr>
            <w:pStyle w:val="HeaderNumberRight"/>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Settlement Agents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Settlement Agents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1EED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B442FA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B2493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548AF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6E75C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C1AE0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6E0C7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68446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1214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15E8B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D8E68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318FC3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128</Pages>
  <Words>33950</Words>
  <Characters>160246</Characters>
  <Application>Microsoft Office Word</Application>
  <DocSecurity>0</DocSecurity>
  <Lines>4217</Lines>
  <Paragraphs>2134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1981 - 03-g0-02</dc:title>
  <dc:subject/>
  <dc:creator/>
  <cp:keywords/>
  <dc:description/>
  <cp:lastModifiedBy>svcMRProcess</cp:lastModifiedBy>
  <cp:revision>4</cp:revision>
  <cp:lastPrinted>2005-07-22T06:09:00Z</cp:lastPrinted>
  <dcterms:created xsi:type="dcterms:W3CDTF">2018-09-08T07:17:00Z</dcterms:created>
  <dcterms:modified xsi:type="dcterms:W3CDTF">2018-09-08T07:17:00Z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744</vt:i4>
  </property>
  <property fmtid="{D5CDD505-2E9C-101B-9397-08002B2CF9AE}" pid="6" name="AsAtDate">
    <vt:lpwstr>01 Jan 2007</vt:lpwstr>
  </property>
  <property fmtid="{D5CDD505-2E9C-101B-9397-08002B2CF9AE}" pid="7" name="Suffix">
    <vt:lpwstr>03-g0-02</vt:lpwstr>
  </property>
</Properties>
</file>