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Gender Reassignment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Gender Reassignment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_Toc278977639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_Toc278977640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_Toc278977641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_Toc278977642 \h </w:instrText>
      </w:r>
      <w:r>
        <w:fldChar w:fldCharType="separate"/>
      </w:r>
      <w:r>
        <w:t>3</w:t>
      </w:r>
      <w:r>
        <w:fldChar w:fldCharType="end"/>
      </w:r>
    </w:p>
    <w:p>
      <w:pPr>
        <w:pStyle w:val="TOC2"/>
        <w:tabs>
          <w:tab w:val="right" w:leader="dot" w:pos="7086"/>
        </w:tabs>
        <w:rPr>
          <w:b w:val="0"/>
          <w:sz w:val="24"/>
          <w:szCs w:val="24"/>
        </w:rPr>
      </w:pPr>
      <w:r>
        <w:rPr>
          <w:szCs w:val="30"/>
        </w:rPr>
        <w:t>Part 2 — Gender Reassignment Board</w:t>
      </w:r>
    </w:p>
    <w:p>
      <w:pPr>
        <w:pStyle w:val="TOC8"/>
        <w:rPr>
          <w:sz w:val="24"/>
          <w:szCs w:val="24"/>
        </w:rPr>
      </w:pPr>
      <w:r>
        <w:rPr>
          <w:szCs w:val="24"/>
        </w:rPr>
        <w:t>5.</w:t>
      </w:r>
      <w:r>
        <w:rPr>
          <w:szCs w:val="24"/>
        </w:rPr>
        <w:tab/>
        <w:t>Establishment and function of Board</w:t>
      </w:r>
      <w:r>
        <w:tab/>
      </w:r>
      <w:r>
        <w:fldChar w:fldCharType="begin"/>
      </w:r>
      <w:r>
        <w:instrText xml:space="preserve"> PAGEREF _Toc278977644 \h </w:instrText>
      </w:r>
      <w:r>
        <w:fldChar w:fldCharType="separate"/>
      </w:r>
      <w:r>
        <w:t>4</w:t>
      </w:r>
      <w:r>
        <w:fldChar w:fldCharType="end"/>
      </w:r>
    </w:p>
    <w:p>
      <w:pPr>
        <w:pStyle w:val="TOC8"/>
        <w:rPr>
          <w:sz w:val="24"/>
          <w:szCs w:val="24"/>
        </w:rPr>
      </w:pPr>
      <w:r>
        <w:rPr>
          <w:szCs w:val="24"/>
        </w:rPr>
        <w:t>6.</w:t>
      </w:r>
      <w:r>
        <w:rPr>
          <w:szCs w:val="24"/>
        </w:rPr>
        <w:tab/>
        <w:t>President of Board</w:t>
      </w:r>
      <w:r>
        <w:tab/>
      </w:r>
      <w:r>
        <w:fldChar w:fldCharType="begin"/>
      </w:r>
      <w:r>
        <w:instrText xml:space="preserve"> PAGEREF _Toc278977645 \h </w:instrText>
      </w:r>
      <w:r>
        <w:fldChar w:fldCharType="separate"/>
      </w:r>
      <w:r>
        <w:t>4</w:t>
      </w:r>
      <w:r>
        <w:fldChar w:fldCharType="end"/>
      </w:r>
    </w:p>
    <w:p>
      <w:pPr>
        <w:pStyle w:val="TOC8"/>
        <w:rPr>
          <w:sz w:val="24"/>
          <w:szCs w:val="24"/>
        </w:rPr>
      </w:pPr>
      <w:r>
        <w:rPr>
          <w:szCs w:val="24"/>
        </w:rPr>
        <w:t>7.</w:t>
      </w:r>
      <w:r>
        <w:rPr>
          <w:szCs w:val="24"/>
        </w:rPr>
        <w:tab/>
        <w:t>Other Board members</w:t>
      </w:r>
      <w:r>
        <w:tab/>
      </w:r>
      <w:r>
        <w:fldChar w:fldCharType="begin"/>
      </w:r>
      <w:r>
        <w:instrText xml:space="preserve"> PAGEREF _Toc278977646 \h </w:instrText>
      </w:r>
      <w:r>
        <w:fldChar w:fldCharType="separate"/>
      </w:r>
      <w:r>
        <w:t>5</w:t>
      </w:r>
      <w:r>
        <w:fldChar w:fldCharType="end"/>
      </w:r>
    </w:p>
    <w:p>
      <w:pPr>
        <w:pStyle w:val="TOC8"/>
        <w:rPr>
          <w:sz w:val="24"/>
          <w:szCs w:val="24"/>
        </w:rPr>
      </w:pPr>
      <w:r>
        <w:rPr>
          <w:szCs w:val="24"/>
        </w:rPr>
        <w:t>8.</w:t>
      </w:r>
      <w:r>
        <w:rPr>
          <w:szCs w:val="24"/>
        </w:rPr>
        <w:tab/>
        <w:t>Arrangement of business</w:t>
      </w:r>
      <w:r>
        <w:tab/>
      </w:r>
      <w:r>
        <w:fldChar w:fldCharType="begin"/>
      </w:r>
      <w:r>
        <w:instrText xml:space="preserve"> PAGEREF _Toc278977647 \h </w:instrText>
      </w:r>
      <w:r>
        <w:fldChar w:fldCharType="separate"/>
      </w:r>
      <w:r>
        <w:t>5</w:t>
      </w:r>
      <w:r>
        <w:fldChar w:fldCharType="end"/>
      </w:r>
    </w:p>
    <w:p>
      <w:pPr>
        <w:pStyle w:val="TOC8"/>
        <w:rPr>
          <w:sz w:val="24"/>
          <w:szCs w:val="24"/>
        </w:rPr>
      </w:pPr>
      <w:r>
        <w:rPr>
          <w:szCs w:val="24"/>
        </w:rPr>
        <w:t>9.</w:t>
      </w:r>
      <w:r>
        <w:rPr>
          <w:szCs w:val="24"/>
        </w:rPr>
        <w:tab/>
        <w:t>Remuneration and allowances of members</w:t>
      </w:r>
      <w:r>
        <w:tab/>
      </w:r>
      <w:r>
        <w:fldChar w:fldCharType="begin"/>
      </w:r>
      <w:r>
        <w:instrText xml:space="preserve"> PAGEREF _Toc278977648 \h </w:instrText>
      </w:r>
      <w:r>
        <w:fldChar w:fldCharType="separate"/>
      </w:r>
      <w:r>
        <w:t>5</w:t>
      </w:r>
      <w:r>
        <w:fldChar w:fldCharType="end"/>
      </w:r>
    </w:p>
    <w:p>
      <w:pPr>
        <w:pStyle w:val="TOC8"/>
        <w:rPr>
          <w:sz w:val="24"/>
          <w:szCs w:val="24"/>
        </w:rPr>
      </w:pPr>
      <w:r>
        <w:rPr>
          <w:szCs w:val="24"/>
        </w:rPr>
        <w:t>10.</w:t>
      </w:r>
      <w:r>
        <w:rPr>
          <w:szCs w:val="24"/>
        </w:rPr>
        <w:tab/>
        <w:t>Practice directions</w:t>
      </w:r>
      <w:r>
        <w:tab/>
      </w:r>
      <w:r>
        <w:fldChar w:fldCharType="begin"/>
      </w:r>
      <w:r>
        <w:instrText xml:space="preserve"> PAGEREF _Toc278977649 \h </w:instrText>
      </w:r>
      <w:r>
        <w:fldChar w:fldCharType="separate"/>
      </w:r>
      <w:r>
        <w:t>6</w:t>
      </w:r>
      <w:r>
        <w:fldChar w:fldCharType="end"/>
      </w:r>
    </w:p>
    <w:p>
      <w:pPr>
        <w:pStyle w:val="TOC8"/>
        <w:rPr>
          <w:sz w:val="24"/>
          <w:szCs w:val="24"/>
        </w:rPr>
      </w:pPr>
      <w:r>
        <w:rPr>
          <w:szCs w:val="24"/>
        </w:rPr>
        <w:t>11.</w:t>
      </w:r>
      <w:r>
        <w:rPr>
          <w:szCs w:val="24"/>
        </w:rPr>
        <w:tab/>
        <w:t>Executive officer and other officers</w:t>
      </w:r>
      <w:r>
        <w:tab/>
      </w:r>
      <w:r>
        <w:fldChar w:fldCharType="begin"/>
      </w:r>
      <w:r>
        <w:instrText xml:space="preserve"> PAGEREF _Toc278977650 \h </w:instrText>
      </w:r>
      <w:r>
        <w:fldChar w:fldCharType="separate"/>
      </w:r>
      <w:r>
        <w:t>6</w:t>
      </w:r>
      <w:r>
        <w:fldChar w:fldCharType="end"/>
      </w:r>
    </w:p>
    <w:p>
      <w:pPr>
        <w:pStyle w:val="TOC8"/>
        <w:rPr>
          <w:sz w:val="24"/>
          <w:szCs w:val="24"/>
        </w:rPr>
      </w:pPr>
      <w:r>
        <w:rPr>
          <w:szCs w:val="24"/>
        </w:rPr>
        <w:t>12.</w:t>
      </w:r>
      <w:r>
        <w:rPr>
          <w:szCs w:val="24"/>
        </w:rPr>
        <w:tab/>
        <w:t>Judicial notice of seal and signatures</w:t>
      </w:r>
      <w:r>
        <w:tab/>
      </w:r>
      <w:r>
        <w:fldChar w:fldCharType="begin"/>
      </w:r>
      <w:r>
        <w:instrText xml:space="preserve"> PAGEREF _Toc278977651 \h </w:instrText>
      </w:r>
      <w:r>
        <w:fldChar w:fldCharType="separate"/>
      </w:r>
      <w:r>
        <w:t>6</w:t>
      </w:r>
      <w:r>
        <w:fldChar w:fldCharType="end"/>
      </w:r>
    </w:p>
    <w:p>
      <w:pPr>
        <w:pStyle w:val="TOC8"/>
        <w:rPr>
          <w:sz w:val="24"/>
          <w:szCs w:val="24"/>
        </w:rPr>
      </w:pPr>
      <w:r>
        <w:rPr>
          <w:szCs w:val="24"/>
        </w:rPr>
        <w:t>13.</w:t>
      </w:r>
      <w:r>
        <w:rPr>
          <w:szCs w:val="24"/>
        </w:rPr>
        <w:tab/>
        <w:t>Annual report</w:t>
      </w:r>
      <w:r>
        <w:tab/>
      </w:r>
      <w:r>
        <w:fldChar w:fldCharType="begin"/>
      </w:r>
      <w:r>
        <w:instrText xml:space="preserve"> PAGEREF _Toc278977652 \h </w:instrText>
      </w:r>
      <w:r>
        <w:fldChar w:fldCharType="separate"/>
      </w:r>
      <w:r>
        <w:t>7</w:t>
      </w:r>
      <w:r>
        <w:fldChar w:fldCharType="end"/>
      </w:r>
    </w:p>
    <w:p>
      <w:pPr>
        <w:pStyle w:val="TOC2"/>
        <w:tabs>
          <w:tab w:val="right" w:leader="dot" w:pos="7086"/>
        </w:tabs>
        <w:rPr>
          <w:b w:val="0"/>
          <w:sz w:val="24"/>
          <w:szCs w:val="24"/>
        </w:rPr>
      </w:pPr>
      <w:r>
        <w:rPr>
          <w:szCs w:val="30"/>
        </w:rPr>
        <w:t>Part 3 — Recognition certificates</w:t>
      </w:r>
    </w:p>
    <w:p>
      <w:pPr>
        <w:pStyle w:val="TOC8"/>
        <w:rPr>
          <w:sz w:val="24"/>
          <w:szCs w:val="24"/>
        </w:rPr>
      </w:pPr>
      <w:r>
        <w:rPr>
          <w:szCs w:val="24"/>
        </w:rPr>
        <w:t>14.</w:t>
      </w:r>
      <w:r>
        <w:rPr>
          <w:szCs w:val="24"/>
        </w:rPr>
        <w:tab/>
        <w:t>Applications for recognition certificates</w:t>
      </w:r>
      <w:r>
        <w:tab/>
      </w:r>
      <w:r>
        <w:fldChar w:fldCharType="begin"/>
      </w:r>
      <w:r>
        <w:instrText xml:space="preserve"> PAGEREF _Toc278977654 \h </w:instrText>
      </w:r>
      <w:r>
        <w:fldChar w:fldCharType="separate"/>
      </w:r>
      <w:r>
        <w:t>8</w:t>
      </w:r>
      <w:r>
        <w:fldChar w:fldCharType="end"/>
      </w:r>
    </w:p>
    <w:p>
      <w:pPr>
        <w:pStyle w:val="TOC8"/>
        <w:rPr>
          <w:sz w:val="24"/>
          <w:szCs w:val="24"/>
        </w:rPr>
      </w:pPr>
      <w:r>
        <w:rPr>
          <w:szCs w:val="24"/>
        </w:rPr>
        <w:t>15.</w:t>
      </w:r>
      <w:r>
        <w:rPr>
          <w:szCs w:val="24"/>
        </w:rPr>
        <w:tab/>
        <w:t>Issue of recognition certificates</w:t>
      </w:r>
      <w:r>
        <w:tab/>
      </w:r>
      <w:r>
        <w:fldChar w:fldCharType="begin"/>
      </w:r>
      <w:r>
        <w:instrText xml:space="preserve"> PAGEREF _Toc278977655 \h </w:instrText>
      </w:r>
      <w:r>
        <w:fldChar w:fldCharType="separate"/>
      </w:r>
      <w:r>
        <w:t>9</w:t>
      </w:r>
      <w:r>
        <w:fldChar w:fldCharType="end"/>
      </w:r>
    </w:p>
    <w:p>
      <w:pPr>
        <w:pStyle w:val="TOC8"/>
        <w:rPr>
          <w:sz w:val="24"/>
          <w:szCs w:val="24"/>
        </w:rPr>
      </w:pPr>
      <w:r>
        <w:rPr>
          <w:szCs w:val="24"/>
        </w:rPr>
        <w:t>16.</w:t>
      </w:r>
      <w:r>
        <w:rPr>
          <w:szCs w:val="24"/>
        </w:rPr>
        <w:tab/>
        <w:t>Effect of recognition certificate</w:t>
      </w:r>
      <w:r>
        <w:tab/>
      </w:r>
      <w:r>
        <w:fldChar w:fldCharType="begin"/>
      </w:r>
      <w:r>
        <w:instrText xml:space="preserve"> PAGEREF _Toc278977656 \h </w:instrText>
      </w:r>
      <w:r>
        <w:fldChar w:fldCharType="separate"/>
      </w:r>
      <w:r>
        <w:t>10</w:t>
      </w:r>
      <w:r>
        <w:fldChar w:fldCharType="end"/>
      </w:r>
    </w:p>
    <w:p>
      <w:pPr>
        <w:pStyle w:val="TOC8"/>
        <w:rPr>
          <w:sz w:val="24"/>
          <w:szCs w:val="24"/>
        </w:rPr>
      </w:pPr>
      <w:r>
        <w:rPr>
          <w:szCs w:val="24"/>
        </w:rPr>
        <w:t>17.</w:t>
      </w:r>
      <w:r>
        <w:rPr>
          <w:szCs w:val="24"/>
        </w:rPr>
        <w:tab/>
        <w:t>Registration of certificates</w:t>
      </w:r>
      <w:r>
        <w:tab/>
      </w:r>
      <w:r>
        <w:fldChar w:fldCharType="begin"/>
      </w:r>
      <w:r>
        <w:instrText xml:space="preserve"> PAGEREF _Toc278977657 \h </w:instrText>
      </w:r>
      <w:r>
        <w:fldChar w:fldCharType="separate"/>
      </w:r>
      <w:r>
        <w:t>10</w:t>
      </w:r>
      <w:r>
        <w:fldChar w:fldCharType="end"/>
      </w:r>
    </w:p>
    <w:p>
      <w:pPr>
        <w:pStyle w:val="TOC8"/>
        <w:rPr>
          <w:sz w:val="24"/>
          <w:szCs w:val="24"/>
        </w:rPr>
      </w:pPr>
      <w:r>
        <w:rPr>
          <w:szCs w:val="24"/>
        </w:rPr>
        <w:t>18.</w:t>
      </w:r>
      <w:r>
        <w:rPr>
          <w:szCs w:val="24"/>
        </w:rPr>
        <w:tab/>
        <w:t>Issuing of new birth certificate</w:t>
      </w:r>
      <w:r>
        <w:tab/>
      </w:r>
      <w:r>
        <w:fldChar w:fldCharType="begin"/>
      </w:r>
      <w:r>
        <w:instrText xml:space="preserve"> PAGEREF _Toc278977658 \h </w:instrText>
      </w:r>
      <w:r>
        <w:fldChar w:fldCharType="separate"/>
      </w:r>
      <w:r>
        <w:t>11</w:t>
      </w:r>
      <w:r>
        <w:fldChar w:fldCharType="end"/>
      </w:r>
    </w:p>
    <w:p>
      <w:pPr>
        <w:pStyle w:val="TOC8"/>
        <w:rPr>
          <w:sz w:val="24"/>
          <w:szCs w:val="24"/>
        </w:rPr>
      </w:pPr>
      <w:r>
        <w:rPr>
          <w:szCs w:val="24"/>
        </w:rPr>
        <w:t>19.</w:t>
      </w:r>
      <w:r>
        <w:rPr>
          <w:szCs w:val="24"/>
        </w:rPr>
        <w:tab/>
        <w:t>Cancellation of fraudulent recognition certificates</w:t>
      </w:r>
      <w:r>
        <w:tab/>
      </w:r>
      <w:r>
        <w:fldChar w:fldCharType="begin"/>
      </w:r>
      <w:r>
        <w:instrText xml:space="preserve"> PAGEREF _Toc278977659 \h </w:instrText>
      </w:r>
      <w:r>
        <w:fldChar w:fldCharType="separate"/>
      </w:r>
      <w:r>
        <w:t>11</w:t>
      </w:r>
      <w:r>
        <w:fldChar w:fldCharType="end"/>
      </w:r>
    </w:p>
    <w:p>
      <w:pPr>
        <w:pStyle w:val="TOC2"/>
        <w:tabs>
          <w:tab w:val="right" w:leader="dot" w:pos="7086"/>
        </w:tabs>
        <w:rPr>
          <w:b w:val="0"/>
          <w:sz w:val="24"/>
          <w:szCs w:val="24"/>
        </w:rPr>
      </w:pPr>
      <w:r>
        <w:rPr>
          <w:szCs w:val="30"/>
        </w:rPr>
        <w:lastRenderedPageBreak/>
        <w:t>Part 4 — Miscellaneous</w:t>
      </w:r>
    </w:p>
    <w:p>
      <w:pPr>
        <w:pStyle w:val="TOC8"/>
        <w:rPr>
          <w:sz w:val="24"/>
          <w:szCs w:val="24"/>
        </w:rPr>
      </w:pPr>
      <w:r>
        <w:rPr>
          <w:szCs w:val="24"/>
        </w:rPr>
        <w:t>20.</w:t>
      </w:r>
      <w:r>
        <w:rPr>
          <w:szCs w:val="24"/>
        </w:rPr>
        <w:tab/>
        <w:t>Issue of replacement qualification certificates</w:t>
      </w:r>
      <w:r>
        <w:tab/>
      </w:r>
      <w:r>
        <w:fldChar w:fldCharType="begin"/>
      </w:r>
      <w:r>
        <w:instrText xml:space="preserve"> PAGEREF _Toc278977661 \h </w:instrText>
      </w:r>
      <w:r>
        <w:fldChar w:fldCharType="separate"/>
      </w:r>
      <w:r>
        <w:t>12</w:t>
      </w:r>
      <w:r>
        <w:fldChar w:fldCharType="end"/>
      </w:r>
    </w:p>
    <w:p>
      <w:pPr>
        <w:pStyle w:val="TOC8"/>
        <w:rPr>
          <w:sz w:val="24"/>
          <w:szCs w:val="24"/>
        </w:rPr>
      </w:pPr>
      <w:r>
        <w:rPr>
          <w:szCs w:val="24"/>
        </w:rPr>
        <w:t>21.</w:t>
      </w:r>
      <w:r>
        <w:rPr>
          <w:szCs w:val="24"/>
        </w:rPr>
        <w:tab/>
        <w:t>Review</w:t>
      </w:r>
      <w:r>
        <w:tab/>
      </w:r>
      <w:r>
        <w:fldChar w:fldCharType="begin"/>
      </w:r>
      <w:r>
        <w:instrText xml:space="preserve"> PAGEREF _Toc278977662 \h </w:instrText>
      </w:r>
      <w:r>
        <w:fldChar w:fldCharType="separate"/>
      </w:r>
      <w:r>
        <w:t>13</w:t>
      </w:r>
      <w:r>
        <w:fldChar w:fldCharType="end"/>
      </w:r>
    </w:p>
    <w:p>
      <w:pPr>
        <w:pStyle w:val="TOC8"/>
        <w:rPr>
          <w:sz w:val="24"/>
          <w:szCs w:val="24"/>
        </w:rPr>
      </w:pPr>
      <w:r>
        <w:rPr>
          <w:szCs w:val="24"/>
        </w:rPr>
        <w:t>22.</w:t>
      </w:r>
      <w:r>
        <w:rPr>
          <w:szCs w:val="24"/>
        </w:rPr>
        <w:tab/>
        <w:t>Confidentiality</w:t>
      </w:r>
      <w:r>
        <w:tab/>
      </w:r>
      <w:r>
        <w:fldChar w:fldCharType="begin"/>
      </w:r>
      <w:r>
        <w:instrText xml:space="preserve"> PAGEREF _Toc278977663 \h </w:instrText>
      </w:r>
      <w:r>
        <w:fldChar w:fldCharType="separate"/>
      </w:r>
      <w:r>
        <w:t>13</w:t>
      </w:r>
      <w:r>
        <w:fldChar w:fldCharType="end"/>
      </w:r>
    </w:p>
    <w:p>
      <w:pPr>
        <w:pStyle w:val="TOC8"/>
        <w:rPr>
          <w:sz w:val="24"/>
          <w:szCs w:val="24"/>
        </w:rPr>
      </w:pPr>
      <w:r>
        <w:rPr>
          <w:szCs w:val="24"/>
        </w:rPr>
        <w:t>23.</w:t>
      </w:r>
      <w:r>
        <w:rPr>
          <w:szCs w:val="24"/>
        </w:rPr>
        <w:tab/>
        <w:t>False or misleading statements</w:t>
      </w:r>
      <w:r>
        <w:tab/>
      </w:r>
      <w:r>
        <w:fldChar w:fldCharType="begin"/>
      </w:r>
      <w:r>
        <w:instrText xml:space="preserve"> PAGEREF _Toc278977664 \h </w:instrText>
      </w:r>
      <w:r>
        <w:fldChar w:fldCharType="separate"/>
      </w:r>
      <w:r>
        <w:t>13</w:t>
      </w:r>
      <w:r>
        <w:fldChar w:fldCharType="end"/>
      </w:r>
    </w:p>
    <w:p>
      <w:pPr>
        <w:pStyle w:val="TOC8"/>
        <w:rPr>
          <w:sz w:val="24"/>
          <w:szCs w:val="24"/>
        </w:rPr>
      </w:pPr>
      <w:r>
        <w:rPr>
          <w:szCs w:val="24"/>
        </w:rPr>
        <w:t>24.</w:t>
      </w:r>
      <w:r>
        <w:rPr>
          <w:szCs w:val="24"/>
        </w:rPr>
        <w:tab/>
        <w:t>Offences</w:t>
      </w:r>
      <w:r>
        <w:tab/>
      </w:r>
      <w:r>
        <w:fldChar w:fldCharType="begin"/>
      </w:r>
      <w:r>
        <w:instrText xml:space="preserve"> PAGEREF _Toc278977665 \h </w:instrText>
      </w:r>
      <w:r>
        <w:fldChar w:fldCharType="separate"/>
      </w:r>
      <w:r>
        <w:t>14</w:t>
      </w:r>
      <w:r>
        <w:fldChar w:fldCharType="end"/>
      </w:r>
    </w:p>
    <w:p>
      <w:pPr>
        <w:pStyle w:val="TOC8"/>
        <w:rPr>
          <w:sz w:val="24"/>
          <w:szCs w:val="24"/>
        </w:rPr>
      </w:pPr>
      <w:r>
        <w:rPr>
          <w:szCs w:val="24"/>
        </w:rPr>
        <w:t>25.</w:t>
      </w:r>
      <w:r>
        <w:rPr>
          <w:szCs w:val="24"/>
        </w:rPr>
        <w:tab/>
        <w:t>Age</w:t>
      </w:r>
      <w:r>
        <w:tab/>
      </w:r>
      <w:r>
        <w:fldChar w:fldCharType="begin"/>
      </w:r>
      <w:r>
        <w:instrText xml:space="preserve"> PAGEREF _Toc278977666 \h </w:instrText>
      </w:r>
      <w:r>
        <w:fldChar w:fldCharType="separate"/>
      </w:r>
      <w:r>
        <w:t>14</w:t>
      </w:r>
      <w:r>
        <w:fldChar w:fldCharType="end"/>
      </w:r>
    </w:p>
    <w:p>
      <w:pPr>
        <w:pStyle w:val="TOC8"/>
        <w:rPr>
          <w:sz w:val="24"/>
          <w:szCs w:val="24"/>
        </w:rPr>
      </w:pPr>
      <w:r>
        <w:rPr>
          <w:szCs w:val="24"/>
        </w:rPr>
        <w:t>26.</w:t>
      </w:r>
      <w:r>
        <w:rPr>
          <w:szCs w:val="24"/>
        </w:rPr>
        <w:tab/>
        <w:t>Regulations</w:t>
      </w:r>
      <w:r>
        <w:tab/>
      </w:r>
      <w:r>
        <w:fldChar w:fldCharType="begin"/>
      </w:r>
      <w:r>
        <w:instrText xml:space="preserve"> PAGEREF _Toc278977667 \h </w:instrText>
      </w:r>
      <w:r>
        <w:fldChar w:fldCharType="separate"/>
      </w:r>
      <w:r>
        <w:t>14</w:t>
      </w:r>
      <w:r>
        <w:fldChar w:fldCharType="end"/>
      </w:r>
    </w:p>
    <w:p>
      <w:pPr>
        <w:pStyle w:val="TOC2"/>
        <w:tabs>
          <w:tab w:val="right" w:leader="dot" w:pos="7086"/>
        </w:tabs>
        <w:rPr>
          <w:b w:val="0"/>
          <w:sz w:val="24"/>
          <w:szCs w:val="24"/>
        </w:rPr>
      </w:pPr>
      <w:r>
        <w:rPr>
          <w:szCs w:val="28"/>
        </w:rPr>
        <w:t>Schedule 1 — Constitution and proceedings of the Board</w:t>
      </w:r>
    </w:p>
    <w:p>
      <w:pPr>
        <w:pStyle w:val="TOC8"/>
        <w:rPr>
          <w:sz w:val="24"/>
          <w:szCs w:val="24"/>
        </w:rPr>
      </w:pPr>
      <w:r>
        <w:rPr>
          <w:szCs w:val="22"/>
        </w:rPr>
        <w:t>1.</w:t>
      </w:r>
      <w:r>
        <w:rPr>
          <w:szCs w:val="22"/>
        </w:rPr>
        <w:tab/>
        <w:t>Term of office</w:t>
      </w:r>
      <w:r>
        <w:tab/>
      </w:r>
      <w:r>
        <w:fldChar w:fldCharType="begin"/>
      </w:r>
      <w:r>
        <w:instrText xml:space="preserve"> PAGEREF _Toc278977669 \h </w:instrText>
      </w:r>
      <w:r>
        <w:fldChar w:fldCharType="separate"/>
      </w:r>
      <w:r>
        <w:t>15</w:t>
      </w:r>
      <w:r>
        <w:fldChar w:fldCharType="end"/>
      </w:r>
    </w:p>
    <w:p>
      <w:pPr>
        <w:pStyle w:val="TOC8"/>
        <w:rPr>
          <w:sz w:val="24"/>
          <w:szCs w:val="24"/>
        </w:rPr>
      </w:pPr>
      <w:r>
        <w:rPr>
          <w:szCs w:val="22"/>
        </w:rPr>
        <w:t>2.</w:t>
      </w:r>
      <w:r>
        <w:rPr>
          <w:szCs w:val="22"/>
        </w:rPr>
        <w:tab/>
        <w:t>Resignation and removal</w:t>
      </w:r>
      <w:r>
        <w:tab/>
      </w:r>
      <w:r>
        <w:fldChar w:fldCharType="begin"/>
      </w:r>
      <w:r>
        <w:instrText xml:space="preserve"> PAGEREF _Toc278977670 \h </w:instrText>
      </w:r>
      <w:r>
        <w:fldChar w:fldCharType="separate"/>
      </w:r>
      <w:r>
        <w:t>15</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_Toc278977671 \h </w:instrText>
      </w:r>
      <w:r>
        <w:fldChar w:fldCharType="separate"/>
      </w:r>
      <w:r>
        <w:t>15</w:t>
      </w:r>
      <w:r>
        <w:fldChar w:fldCharType="end"/>
      </w:r>
    </w:p>
    <w:p>
      <w:pPr>
        <w:pStyle w:val="TOC8"/>
        <w:rPr>
          <w:sz w:val="24"/>
          <w:szCs w:val="24"/>
        </w:rPr>
      </w:pPr>
      <w:r>
        <w:rPr>
          <w:szCs w:val="22"/>
        </w:rPr>
        <w:t>4.</w:t>
      </w:r>
      <w:r>
        <w:rPr>
          <w:szCs w:val="22"/>
        </w:rPr>
        <w:tab/>
        <w:t>Acts of acting president</w:t>
      </w:r>
      <w:r>
        <w:tab/>
      </w:r>
      <w:r>
        <w:fldChar w:fldCharType="begin"/>
      </w:r>
      <w:r>
        <w:instrText xml:space="preserve"> PAGEREF _Toc278977672 \h </w:instrText>
      </w:r>
      <w:r>
        <w:fldChar w:fldCharType="separate"/>
      </w:r>
      <w:r>
        <w:t>15</w:t>
      </w:r>
      <w:r>
        <w:fldChar w:fldCharType="end"/>
      </w:r>
    </w:p>
    <w:p>
      <w:pPr>
        <w:pStyle w:val="TOC8"/>
        <w:rPr>
          <w:sz w:val="24"/>
          <w:szCs w:val="24"/>
        </w:rPr>
      </w:pPr>
      <w:r>
        <w:rPr>
          <w:szCs w:val="22"/>
        </w:rPr>
        <w:t>5.</w:t>
      </w:r>
      <w:r>
        <w:rPr>
          <w:szCs w:val="22"/>
        </w:rPr>
        <w:tab/>
        <w:t>President to preside</w:t>
      </w:r>
      <w:r>
        <w:tab/>
      </w:r>
      <w:r>
        <w:fldChar w:fldCharType="begin"/>
      </w:r>
      <w:r>
        <w:instrText xml:space="preserve"> PAGEREF _Toc278977673 \h </w:instrText>
      </w:r>
      <w:r>
        <w:fldChar w:fldCharType="separate"/>
      </w:r>
      <w:r>
        <w:t>16</w:t>
      </w:r>
      <w:r>
        <w:fldChar w:fldCharType="end"/>
      </w:r>
    </w:p>
    <w:p>
      <w:pPr>
        <w:pStyle w:val="TOC8"/>
        <w:rPr>
          <w:sz w:val="24"/>
          <w:szCs w:val="24"/>
        </w:rPr>
      </w:pPr>
      <w:r>
        <w:rPr>
          <w:szCs w:val="22"/>
        </w:rPr>
        <w:t>6.</w:t>
      </w:r>
      <w:r>
        <w:rPr>
          <w:szCs w:val="22"/>
        </w:rPr>
        <w:tab/>
        <w:t>Use of seal</w:t>
      </w:r>
      <w:r>
        <w:tab/>
      </w:r>
      <w:r>
        <w:fldChar w:fldCharType="begin"/>
      </w:r>
      <w:r>
        <w:instrText xml:space="preserve"> PAGEREF _Toc278977674 \h </w:instrText>
      </w:r>
      <w:r>
        <w:fldChar w:fldCharType="separate"/>
      </w:r>
      <w:r>
        <w:t>16</w:t>
      </w:r>
      <w:r>
        <w:fldChar w:fldCharType="end"/>
      </w:r>
    </w:p>
    <w:p>
      <w:pPr>
        <w:pStyle w:val="TOC8"/>
        <w:rPr>
          <w:sz w:val="24"/>
          <w:szCs w:val="24"/>
        </w:rPr>
      </w:pPr>
      <w:r>
        <w:rPr>
          <w:szCs w:val="22"/>
        </w:rPr>
        <w:t>7.</w:t>
      </w:r>
      <w:r>
        <w:rPr>
          <w:szCs w:val="22"/>
        </w:rPr>
        <w:tab/>
        <w:t>Register of applications</w:t>
      </w:r>
      <w:r>
        <w:tab/>
      </w:r>
      <w:r>
        <w:fldChar w:fldCharType="begin"/>
      </w:r>
      <w:r>
        <w:instrText xml:space="preserve"> PAGEREF _Toc278977675 \h </w:instrText>
      </w:r>
      <w:r>
        <w:fldChar w:fldCharType="separate"/>
      </w:r>
      <w:r>
        <w:t>16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_Toc278977677 \h </w:instrText>
      </w:r>
      <w:r>
        <w:fldChar w:fldCharType="separate"/>
      </w:r>
      <w:r>
        <w:t>17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Gender Reassignment Act 2000</w:t>
      </w:r>
    </w:p>
    <w:p>
      <w:pPr>
        <w:pStyle w:val="LongTitle"/>
      </w:pPr>
      <w:r>
        <w:t xml:space="preserve">An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pPr>
        <w:pStyle w:val="Footnotelongtitle"/>
      </w:pPr>
      <w:r>
        <w:tab/>
        <w:t>[Long title amended by No. 74 of 2003 s. 61(2).]</w:t>
      </w:r>
    </w:p>
    <w:p>
      <w:pPr>
        <w:pStyle w:val="Heading2"/>
      </w:pPr>
      <w:bookmarkStart w:id="1" w:name="_Toc72635605"/>
      <w:bookmarkStart w:id="2" w:name="_Toc90884604"/>
      <w:bookmarkStart w:id="3" w:name="_Toc92793672"/>
      <w:bookmarkStart w:id="4" w:name="_Toc124213324"/>
      <w:bookmarkStart w:id="5" w:name="_Toc124319810"/>
      <w:bookmarkStart w:id="6" w:name="_Toc124644133"/>
      <w:bookmarkStart w:id="7" w:name="_Toc124645477"/>
      <w:bookmarkStart w:id="8" w:name="_Toc125278762"/>
      <w:bookmarkStart w:id="9" w:name="_Toc129580527"/>
      <w:bookmarkStart w:id="10" w:name="_Toc129580730"/>
      <w:bookmarkStart w:id="11" w:name="_Toc215481292"/>
      <w:bookmarkStart w:id="12" w:name="_Toc223848116"/>
      <w:bookmarkStart w:id="13" w:name="_Toc271189959"/>
      <w:bookmarkStart w:id="14" w:name="_Toc274216780"/>
      <w:bookmarkStart w:id="15" w:name="_Toc275168661"/>
      <w:bookmarkStart w:id="16" w:name="_Toc27897763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21523523"/>
      <w:bookmarkStart w:id="18" w:name="_Toc476619102"/>
      <w:bookmarkStart w:id="19" w:name="_Toc510941815"/>
      <w:bookmarkStart w:id="20" w:name="_Toc512403473"/>
      <w:bookmarkStart w:id="21" w:name="_Toc278977639"/>
      <w:r>
        <w:rPr>
          <w:rStyle w:val="CharSectno"/>
        </w:rPr>
        <w:t>1</w:t>
      </w:r>
      <w:r>
        <w:rPr>
          <w:snapToGrid w:val="0"/>
        </w:rPr>
        <w:t>.</w:t>
      </w:r>
      <w:r>
        <w:rPr>
          <w:snapToGrid w:val="0"/>
        </w:rPr>
        <w:tab/>
        <w:t>Short title</w:t>
      </w:r>
      <w:bookmarkEnd w:id="17"/>
      <w:bookmarkEnd w:id="18"/>
      <w:bookmarkEnd w:id="19"/>
      <w:bookmarkEnd w:id="20"/>
      <w:bookmarkEnd w:id="21"/>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pPr>
        <w:pStyle w:val="Heading5"/>
        <w:rPr>
          <w:snapToGrid w:val="0"/>
        </w:rPr>
      </w:pPr>
      <w:bookmarkStart w:id="22" w:name="_Toc421523524"/>
      <w:bookmarkStart w:id="23" w:name="_Toc476619103"/>
      <w:bookmarkStart w:id="24" w:name="_Toc510941816"/>
      <w:bookmarkStart w:id="25" w:name="_Toc512403474"/>
      <w:bookmarkStart w:id="26" w:name="_Toc278977640"/>
      <w:r>
        <w:rPr>
          <w:rStyle w:val="CharSectno"/>
        </w:rPr>
        <w:t>2</w:t>
      </w:r>
      <w:r>
        <w:rPr>
          <w:snapToGrid w:val="0"/>
        </w:rPr>
        <w:t>.</w:t>
      </w:r>
      <w:r>
        <w:rPr>
          <w:snapToGrid w:val="0"/>
        </w:rPr>
        <w:tab/>
        <w:t>Commencement</w:t>
      </w:r>
      <w:bookmarkEnd w:id="22"/>
      <w:bookmarkEnd w:id="23"/>
      <w:bookmarkEnd w:id="24"/>
      <w:bookmarkEnd w:id="25"/>
      <w:bookmarkEnd w:id="26"/>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pPr>
        <w:pStyle w:val="Heading5"/>
        <w:rPr>
          <w:snapToGrid w:val="0"/>
        </w:rPr>
      </w:pPr>
      <w:bookmarkStart w:id="27" w:name="_Toc421523525"/>
      <w:bookmarkStart w:id="28" w:name="_Toc476619104"/>
      <w:bookmarkStart w:id="29" w:name="_Toc510941817"/>
      <w:bookmarkStart w:id="30" w:name="_Toc512403475"/>
      <w:bookmarkStart w:id="31" w:name="_Toc278977641"/>
      <w:r>
        <w:rPr>
          <w:rStyle w:val="CharSectno"/>
        </w:rPr>
        <w:t>3</w:t>
      </w:r>
      <w:r>
        <w:rPr>
          <w:snapToGrid w:val="0"/>
        </w:rPr>
        <w:t>.</w:t>
      </w:r>
      <w:r>
        <w:rPr>
          <w:snapToGrid w:val="0"/>
        </w:rPr>
        <w:tab/>
      </w:r>
      <w:bookmarkEnd w:id="27"/>
      <w:bookmarkEnd w:id="28"/>
      <w:bookmarkEnd w:id="29"/>
      <w:bookmarkEnd w:id="30"/>
      <w:r>
        <w:rPr>
          <w:snapToGrid w:val="0"/>
        </w:rPr>
        <w:t>Terms used in this Act</w:t>
      </w:r>
      <w:bookmarkEnd w:id="31"/>
    </w:p>
    <w:p>
      <w:pPr>
        <w:pStyle w:val="Subsection"/>
      </w:pPr>
      <w:bookmarkStart w:id="32" w:name="_Toc476619108"/>
      <w:bookmarkStart w:id="33" w:name="_Toc510941821"/>
      <w:bookmarkStart w:id="34" w:name="_Toc512403479"/>
      <w:r>
        <w:tab/>
      </w:r>
      <w:r>
        <w:tab/>
        <w:t>In this Act, unless the contrary intention appears —</w:t>
      </w:r>
    </w:p>
    <w:p>
      <w:pPr>
        <w:pStyle w:val="Defstart"/>
      </w:pPr>
      <w:r>
        <w:rPr>
          <w:b/>
        </w:rPr>
        <w:tab/>
      </w:r>
      <w:r>
        <w:rPr>
          <w:rStyle w:val="CharDefText"/>
        </w:rPr>
        <w:t>adult</w:t>
      </w:r>
      <w:r>
        <w:rPr>
          <w:b/>
        </w:rPr>
        <w:t xml:space="preserve"> </w:t>
      </w:r>
      <w:r>
        <w:t>means a person of or above the age of 18 years;</w:t>
      </w:r>
    </w:p>
    <w:p>
      <w:pPr>
        <w:pStyle w:val="Defstart"/>
      </w:pPr>
      <w:r>
        <w:rPr>
          <w:b/>
        </w:rPr>
        <w:tab/>
      </w:r>
      <w:r>
        <w:rPr>
          <w:rStyle w:val="CharDefText"/>
        </w:rPr>
        <w:t>Board</w:t>
      </w:r>
      <w:r>
        <w:rPr>
          <w:b/>
        </w:rPr>
        <w:t xml:space="preserve"> </w:t>
      </w:r>
      <w:r>
        <w:t>means the Gender Reassignment Board of Western Australia established by section 5;</w:t>
      </w:r>
    </w:p>
    <w:p>
      <w:pPr>
        <w:pStyle w:val="Defstart"/>
      </w:pPr>
      <w:r>
        <w:rPr>
          <w:b/>
        </w:rPr>
        <w:tab/>
      </w:r>
      <w:r>
        <w:rPr>
          <w:rStyle w:val="CharDefText"/>
        </w:rPr>
        <w:t>child</w:t>
      </w:r>
      <w:r>
        <w:t xml:space="preserve"> means a person under the age of 18 years;</w:t>
      </w:r>
    </w:p>
    <w:p>
      <w:pPr>
        <w:pStyle w:val="Defstart"/>
      </w:pPr>
      <w:r>
        <w:rPr>
          <w:b/>
        </w:rPr>
        <w:tab/>
      </w:r>
      <w:r>
        <w:rPr>
          <w:rStyle w:val="CharDefText"/>
        </w:rPr>
        <w:t>corresponding law</w:t>
      </w:r>
      <w:r>
        <w:rPr>
          <w:b/>
        </w:rPr>
        <w:t xml:space="preserve"> </w:t>
      </w:r>
      <w:r>
        <w:t>means —</w:t>
      </w:r>
    </w:p>
    <w:p>
      <w:pPr>
        <w:pStyle w:val="Defpara"/>
      </w:pPr>
      <w:r>
        <w:tab/>
        <w:t>(a)</w:t>
      </w:r>
      <w:r>
        <w:tab/>
        <w:t>a law of another State or of a Territory; or</w:t>
      </w:r>
    </w:p>
    <w:p>
      <w:pPr>
        <w:pStyle w:val="Defpara"/>
      </w:pPr>
      <w:r>
        <w:tab/>
        <w:t>(b)</w:t>
      </w:r>
      <w:r>
        <w:tab/>
        <w:t>a law of another country,</w:t>
      </w:r>
    </w:p>
    <w:p>
      <w:pPr>
        <w:pStyle w:val="Defstart"/>
      </w:pPr>
      <w:r>
        <w:tab/>
        <w:t>declared by the regulations to be a corresponding law;</w:t>
      </w:r>
    </w:p>
    <w:p>
      <w:pPr>
        <w:pStyle w:val="Defstart"/>
      </w:pPr>
      <w:r>
        <w:tab/>
      </w:r>
      <w:r>
        <w:rPr>
          <w:rStyle w:val="CharDefText"/>
        </w:rPr>
        <w:t>equivalent certificate</w:t>
      </w:r>
      <w:r>
        <w:t xml:space="preserve"> means a certificate issued under a corresponding law that corresponds to a recognition certificate issued under this Act;</w:t>
      </w:r>
    </w:p>
    <w:p>
      <w:pPr>
        <w:pStyle w:val="Defstart"/>
      </w:pPr>
      <w:r>
        <w:rPr>
          <w:b/>
        </w:rPr>
        <w:tab/>
      </w:r>
      <w:r>
        <w:rPr>
          <w:rStyle w:val="CharDefText"/>
        </w:rPr>
        <w:t>gender characteristics</w:t>
      </w:r>
      <w:r>
        <w:t xml:space="preserve"> means the physical characteristics by virtue of which a person is identified as male or female;</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president</w:t>
      </w:r>
      <w:r>
        <w:t xml:space="preserve"> means the president of the Board;</w:t>
      </w:r>
    </w:p>
    <w:p>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pPr>
        <w:pStyle w:val="Footnotesection"/>
      </w:pPr>
      <w:r>
        <w:tab/>
        <w:t>[Section 3 amended by No. 74 of 2003 s. 61(3); No. 22 of 2008 s. 162; No. 35 of 2010 s. 67.]</w:t>
      </w:r>
    </w:p>
    <w:p>
      <w:pPr>
        <w:pStyle w:val="Heading5"/>
      </w:pPr>
      <w:bookmarkStart w:id="35" w:name="_Toc278977642"/>
      <w:r>
        <w:rPr>
          <w:rStyle w:val="CharSectno"/>
        </w:rPr>
        <w:t>4</w:t>
      </w:r>
      <w:r>
        <w:t>.</w:t>
      </w:r>
      <w:r>
        <w:tab/>
        <w:t>Crown bound</w:t>
      </w:r>
      <w:bookmarkEnd w:id="35"/>
    </w:p>
    <w:p>
      <w:pPr>
        <w:pStyle w:val="Subsection"/>
      </w:pPr>
      <w:bookmarkStart w:id="36" w:name="a3"/>
      <w:bookmarkEnd w:id="36"/>
      <w:r>
        <w:tab/>
      </w:r>
      <w:r>
        <w:tab/>
        <w:t>This Act binds the Crown.</w:t>
      </w:r>
    </w:p>
    <w:p>
      <w:pPr>
        <w:pStyle w:val="Heading2"/>
      </w:pPr>
      <w:bookmarkStart w:id="37" w:name="_Toc72635610"/>
      <w:bookmarkStart w:id="38" w:name="_Toc90884609"/>
      <w:bookmarkStart w:id="39" w:name="_Toc92793677"/>
      <w:bookmarkStart w:id="40" w:name="_Toc124213329"/>
      <w:bookmarkStart w:id="41" w:name="_Toc124319815"/>
      <w:bookmarkStart w:id="42" w:name="_Toc124644138"/>
      <w:bookmarkStart w:id="43" w:name="_Toc124645482"/>
      <w:bookmarkStart w:id="44" w:name="_Toc125278767"/>
      <w:bookmarkStart w:id="45" w:name="_Toc129580532"/>
      <w:bookmarkStart w:id="46" w:name="_Toc129580735"/>
      <w:bookmarkStart w:id="47" w:name="_Toc215481297"/>
      <w:bookmarkStart w:id="48" w:name="_Toc223848121"/>
      <w:bookmarkStart w:id="49" w:name="_Toc271189964"/>
      <w:bookmarkStart w:id="50" w:name="_Toc274216785"/>
      <w:bookmarkStart w:id="51" w:name="_Toc275168666"/>
      <w:bookmarkStart w:id="52" w:name="_Toc278977643"/>
      <w:r>
        <w:rPr>
          <w:rStyle w:val="CharPartNo"/>
        </w:rPr>
        <w:t>Part 2</w:t>
      </w:r>
      <w:r>
        <w:rPr>
          <w:rStyle w:val="CharDivNo"/>
        </w:rPr>
        <w:t> </w:t>
      </w:r>
      <w:r>
        <w:t>—</w:t>
      </w:r>
      <w:r>
        <w:rPr>
          <w:rStyle w:val="CharDivText"/>
        </w:rPr>
        <w:t> </w:t>
      </w:r>
      <w:r>
        <w:rPr>
          <w:rStyle w:val="CharPartText"/>
        </w:rPr>
        <w:t>Gender Reassignment Board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278977644"/>
      <w:r>
        <w:rPr>
          <w:rStyle w:val="CharSectno"/>
        </w:rPr>
        <w:t>5</w:t>
      </w:r>
      <w:r>
        <w:t>.</w:t>
      </w:r>
      <w:r>
        <w:tab/>
        <w:t>Establishment and function of Board</w:t>
      </w:r>
      <w:bookmarkEnd w:id="53"/>
    </w:p>
    <w:p>
      <w:pPr>
        <w:pStyle w:val="Subsection"/>
      </w:pPr>
      <w:bookmarkStart w:id="54" w:name="a4"/>
      <w:bookmarkEnd w:id="54"/>
      <w:r>
        <w:tab/>
        <w:t>(1)</w:t>
      </w:r>
      <w:r>
        <w:tab/>
        <w:t>A board called the Gender Reassignment Board of Western Australia is established.</w:t>
      </w:r>
    </w:p>
    <w:p>
      <w:pPr>
        <w:pStyle w:val="Subsection"/>
      </w:pPr>
      <w:r>
        <w:tab/>
        <w:t>(2)</w:t>
      </w:r>
      <w:r>
        <w:tab/>
        <w:t>The functions of the Board are —</w:t>
      </w:r>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 1 has effect with respect to the constitution and proceedings of the Board.</w:t>
      </w:r>
    </w:p>
    <w:p>
      <w:pPr>
        <w:pStyle w:val="Heading5"/>
      </w:pPr>
      <w:bookmarkStart w:id="55" w:name="_Toc278977645"/>
      <w:r>
        <w:rPr>
          <w:rStyle w:val="CharSectno"/>
        </w:rPr>
        <w:t>6</w:t>
      </w:r>
      <w:r>
        <w:t>.</w:t>
      </w:r>
      <w:r>
        <w:tab/>
        <w:t>President of Board</w:t>
      </w:r>
      <w:bookmarkEnd w:id="55"/>
    </w:p>
    <w:p>
      <w:pPr>
        <w:pStyle w:val="Subsection"/>
      </w:pPr>
      <w:r>
        <w:tab/>
        <w:t>(1)</w:t>
      </w:r>
      <w:r>
        <w:tab/>
        <w:t>The Governor is to appoint a person as president of the Board.</w:t>
      </w:r>
    </w:p>
    <w:p>
      <w:pPr>
        <w:pStyle w:val="Subsection"/>
      </w:pPr>
      <w:r>
        <w:tab/>
        <w:t>(2)</w:t>
      </w:r>
      <w:r>
        <w:tab/>
        <w:t>A person may be appointed as president only if he or she —</w:t>
      </w:r>
    </w:p>
    <w:p>
      <w:pPr>
        <w:pStyle w:val="Indenta"/>
      </w:pPr>
      <w:r>
        <w:tab/>
        <w:t>(</w:t>
      </w:r>
      <w:r>
        <w:rPr>
          <w:noProof/>
        </w:rPr>
        <w:t>a</w:t>
      </w:r>
      <w:r>
        <w:t>)</w:t>
      </w:r>
      <w:r>
        <w:tab/>
        <w:t xml:space="preserve">is or has been a Judge of the Supreme Court, the District Court, or the Family Court of Western Australia, or is or has been an Australian legal practitioner (within the meaning of that term in the </w:t>
      </w:r>
      <w:r>
        <w:rPr>
          <w:i/>
          <w:iCs/>
        </w:rPr>
        <w:t>Legal Profession Act 2008</w:t>
      </w:r>
      <w:r>
        <w:t xml:space="preserve"> section 3) admitted for not less than 8 years; and</w:t>
      </w:r>
    </w:p>
    <w:p>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pPr>
        <w:pStyle w:val="Footnotesection"/>
      </w:pPr>
      <w:r>
        <w:tab/>
        <w:t>[Section 6 amended by No. 65 of 2003 s. 39(2); No. 21 of 2008 s. 666.]</w:t>
      </w:r>
    </w:p>
    <w:p>
      <w:pPr>
        <w:pStyle w:val="Heading5"/>
      </w:pPr>
      <w:bookmarkStart w:id="56" w:name="_Toc278977646"/>
      <w:r>
        <w:rPr>
          <w:rStyle w:val="CharSectno"/>
        </w:rPr>
        <w:t>7</w:t>
      </w:r>
      <w:r>
        <w:t>.</w:t>
      </w:r>
      <w:r>
        <w:tab/>
        <w:t>Other Board members</w:t>
      </w:r>
      <w:bookmarkEnd w:id="56"/>
    </w:p>
    <w:p>
      <w:pPr>
        <w:pStyle w:val="Subsection"/>
      </w:pPr>
      <w:r>
        <w:tab/>
      </w:r>
      <w:r>
        <w:tab/>
        <w:t>The Governor may appoint not more than 5 persons in addition to the president as members of the Board, and such persons are to include —</w:t>
      </w:r>
    </w:p>
    <w:p>
      <w:pPr>
        <w:pStyle w:val="Indenta"/>
      </w:pPr>
      <w:r>
        <w:tab/>
        <w:t>(a)</w:t>
      </w:r>
      <w:r>
        <w:tab/>
        <w:t>a medical practitioner;</w:t>
      </w:r>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57" w:name="_Toc278977647"/>
      <w:r>
        <w:rPr>
          <w:rStyle w:val="CharSectno"/>
        </w:rPr>
        <w:t>8</w:t>
      </w:r>
      <w:r>
        <w:t>.</w:t>
      </w:r>
      <w:r>
        <w:tab/>
        <w:t>Arrangement of business</w:t>
      </w:r>
      <w:bookmarkEnd w:id="57"/>
    </w:p>
    <w:p>
      <w:pPr>
        <w:pStyle w:val="Subsection"/>
      </w:pPr>
      <w:r>
        <w:rPr>
          <w:b/>
          <w:spacing w:val="-2"/>
        </w:rPr>
        <w:tab/>
      </w:r>
      <w:r>
        <w:t>(1)</w:t>
      </w:r>
      <w:r>
        <w:tab/>
        <w:t>The president —</w:t>
      </w:r>
    </w:p>
    <w:p>
      <w:pPr>
        <w:pStyle w:val="Indenta"/>
      </w:pPr>
      <w:r>
        <w:tab/>
        <w:t>(a)</w:t>
      </w:r>
      <w:r>
        <w:tab/>
        <w:t>is responsible for arranging the business of the Board; and</w:t>
      </w:r>
    </w:p>
    <w:p>
      <w:pPr>
        <w:pStyle w:val="Indenta"/>
      </w:pPr>
      <w:r>
        <w:tab/>
        <w:t>(b)</w:t>
      </w:r>
      <w:r>
        <w:tab/>
        <w:t>subject to subsection (2),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 (1)(b).</w:t>
      </w:r>
    </w:p>
    <w:p>
      <w:pPr>
        <w:pStyle w:val="Heading5"/>
      </w:pPr>
      <w:bookmarkStart w:id="58" w:name="_Toc278977648"/>
      <w:r>
        <w:rPr>
          <w:rStyle w:val="CharSectno"/>
        </w:rPr>
        <w:t>9</w:t>
      </w:r>
      <w:r>
        <w:t>.</w:t>
      </w:r>
      <w:r>
        <w:tab/>
        <w:t>Remuneration and allowances of members</w:t>
      </w:r>
      <w:bookmarkEnd w:id="58"/>
    </w:p>
    <w:p>
      <w:pPr>
        <w:pStyle w:val="Subsection"/>
      </w:pPr>
      <w:bookmarkStart w:id="59" w:name="a6"/>
      <w:bookmarkEnd w:id="59"/>
      <w:r>
        <w:tab/>
        <w:t>(1)</w:t>
      </w:r>
      <w:r>
        <w:tab/>
        <w:t>Subject to subsection (2), a member may be paid such remuneration and travelling and other allowances as the Minister from time to time determines, on the recommendation of the Public Sector Commissioner.</w:t>
      </w:r>
    </w:p>
    <w:p>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pPr>
        <w:pStyle w:val="Footnotesection"/>
      </w:pPr>
      <w:r>
        <w:tab/>
        <w:t>[Section 9 amended by No. 39 of 2010 s. 89.]</w:t>
      </w:r>
    </w:p>
    <w:p>
      <w:pPr>
        <w:pStyle w:val="Heading5"/>
      </w:pPr>
      <w:bookmarkStart w:id="60" w:name="_Toc278977649"/>
      <w:r>
        <w:rPr>
          <w:rStyle w:val="CharSectno"/>
        </w:rPr>
        <w:t>10</w:t>
      </w:r>
      <w:r>
        <w:t>.</w:t>
      </w:r>
      <w:r>
        <w:tab/>
        <w:t>Practice directions</w:t>
      </w:r>
      <w:bookmarkEnd w:id="60"/>
    </w:p>
    <w:p>
      <w:pPr>
        <w:pStyle w:val="Subsection"/>
      </w:pPr>
      <w:r>
        <w:tab/>
        <w:t>(1)</w:t>
      </w:r>
      <w:r>
        <w:tab/>
        <w:t>The president may give practice directions for or in relation to the practice and procedure of the Board.</w:t>
      </w:r>
    </w:p>
    <w:p>
      <w:pPr>
        <w:pStyle w:val="Subsection"/>
      </w:pPr>
      <w:r>
        <w:tab/>
        <w:t>(2)</w:t>
      </w:r>
      <w:r>
        <w:tab/>
        <w:t>Practice directions —</w:t>
      </w:r>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61" w:name="_Toc278977650"/>
      <w:r>
        <w:rPr>
          <w:rStyle w:val="CharSectno"/>
        </w:rPr>
        <w:t>11</w:t>
      </w:r>
      <w:r>
        <w:t>.</w:t>
      </w:r>
      <w:r>
        <w:tab/>
        <w:t>Executive officer and other officers</w:t>
      </w:r>
      <w:bookmarkEnd w:id="61"/>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62" w:name="_Toc278977651"/>
      <w:r>
        <w:rPr>
          <w:rStyle w:val="CharSectno"/>
        </w:rPr>
        <w:t>12</w:t>
      </w:r>
      <w:r>
        <w:t>.</w:t>
      </w:r>
      <w:r>
        <w:tab/>
        <w:t>Judicial notice of seal and signatures</w:t>
      </w:r>
      <w:bookmarkEnd w:id="62"/>
    </w:p>
    <w:p>
      <w:pPr>
        <w:pStyle w:val="Subsection"/>
      </w:pPr>
      <w:bookmarkStart w:id="63" w:name="a7"/>
      <w:bookmarkEnd w:id="63"/>
      <w:r>
        <w:tab/>
      </w:r>
      <w:r>
        <w:tab/>
        <w:t>All courts, judges and persons acting judicially shall take judicial notice of —</w:t>
      </w:r>
    </w:p>
    <w:p>
      <w:pPr>
        <w:pStyle w:val="Indenta"/>
      </w:pPr>
      <w:r>
        <w:tab/>
        <w:t>(a)</w:t>
      </w:r>
      <w:r>
        <w:tab/>
        <w:t>the seal of the Board;</w:t>
      </w:r>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64" w:name="_Toc278977652"/>
      <w:r>
        <w:rPr>
          <w:rStyle w:val="CharSectno"/>
        </w:rPr>
        <w:t>13</w:t>
      </w:r>
      <w:r>
        <w:t>.</w:t>
      </w:r>
      <w:r>
        <w:tab/>
        <w:t>Annual report</w:t>
      </w:r>
      <w:bookmarkEnd w:id="64"/>
    </w:p>
    <w:p>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pPr>
        <w:pStyle w:val="Subsection"/>
      </w:pPr>
      <w:r>
        <w:tab/>
        <w:t>(2)</w:t>
      </w:r>
      <w:r>
        <w:tab/>
        <w:t>The Minister must cause the report received under subsection (1)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65" w:name="_Toc72635620"/>
      <w:bookmarkStart w:id="66" w:name="_Toc90884619"/>
      <w:bookmarkStart w:id="67" w:name="_Toc92793687"/>
      <w:bookmarkStart w:id="68" w:name="_Toc124213339"/>
      <w:bookmarkStart w:id="69" w:name="_Toc124319825"/>
      <w:bookmarkStart w:id="70" w:name="_Toc124644148"/>
      <w:bookmarkStart w:id="71" w:name="_Toc124645492"/>
      <w:bookmarkStart w:id="72" w:name="_Toc125278777"/>
      <w:bookmarkStart w:id="73" w:name="_Toc129580542"/>
      <w:bookmarkStart w:id="74" w:name="_Toc129580745"/>
      <w:bookmarkStart w:id="75" w:name="_Toc215481307"/>
      <w:bookmarkStart w:id="76" w:name="_Toc223848131"/>
      <w:bookmarkStart w:id="77" w:name="_Toc271189974"/>
      <w:bookmarkStart w:id="78" w:name="_Toc274216795"/>
      <w:bookmarkStart w:id="79" w:name="_Toc275168676"/>
      <w:bookmarkStart w:id="80" w:name="_Toc278977653"/>
      <w:r>
        <w:rPr>
          <w:rStyle w:val="CharPartNo"/>
        </w:rPr>
        <w:t>Part 3</w:t>
      </w:r>
      <w:r>
        <w:rPr>
          <w:rStyle w:val="CharDivNo"/>
        </w:rPr>
        <w:t> </w:t>
      </w:r>
      <w:r>
        <w:t>—</w:t>
      </w:r>
      <w:r>
        <w:rPr>
          <w:rStyle w:val="CharDivText"/>
        </w:rPr>
        <w:t> </w:t>
      </w:r>
      <w:r>
        <w:rPr>
          <w:rStyle w:val="CharPartText"/>
        </w:rPr>
        <w:t>Recognition certificates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278977654"/>
      <w:r>
        <w:rPr>
          <w:rStyle w:val="CharSectno"/>
        </w:rPr>
        <w:t>14</w:t>
      </w:r>
      <w:r>
        <w:t>.</w:t>
      </w:r>
      <w:r>
        <w:tab/>
        <w:t>Applications for recognition certificates</w:t>
      </w:r>
      <w:bookmarkEnd w:id="81"/>
    </w:p>
    <w:p>
      <w:pPr>
        <w:pStyle w:val="Subsection"/>
      </w:pPr>
      <w:bookmarkStart w:id="82" w:name="a8"/>
      <w:bookmarkEnd w:id="82"/>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p>
    <w:p>
      <w:pPr>
        <w:pStyle w:val="Indenta"/>
      </w:pPr>
      <w:r>
        <w:tab/>
        <w:t>(a)</w:t>
      </w:r>
      <w:r>
        <w:tab/>
        <w:t>by the person to whom the application relates; or</w:t>
      </w:r>
    </w:p>
    <w:p>
      <w:pPr>
        <w:pStyle w:val="Indenta"/>
      </w:pPr>
      <w:r>
        <w:tab/>
        <w:t>(b)</w:t>
      </w:r>
      <w:r>
        <w:tab/>
        <w:t>if that person is a child, by that child’s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p>
    <w:p>
      <w:pPr>
        <w:pStyle w:val="Indenta"/>
      </w:pPr>
      <w:r>
        <w:tab/>
        <w:t>(a)</w:t>
      </w:r>
      <w:r>
        <w:tab/>
        <w:t>the Minister; and</w:t>
      </w:r>
    </w:p>
    <w:p>
      <w:pPr>
        <w:pStyle w:val="Indenta"/>
      </w:pPr>
      <w:r>
        <w:tab/>
        <w:t>(b)</w:t>
      </w:r>
      <w:r>
        <w:tab/>
        <w:t>any other person who should, in the Board’s opinion, be served with notice of the application.</w:t>
      </w:r>
    </w:p>
    <w:p>
      <w:pPr>
        <w:pStyle w:val="Subsection"/>
      </w:pPr>
      <w:r>
        <w:tab/>
        <w:t>(5)</w:t>
      </w:r>
      <w:r>
        <w:tab/>
        <w:t>A person referred to in subsection (4)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83" w:name="_Toc278977655"/>
      <w:r>
        <w:rPr>
          <w:rStyle w:val="CharSectno"/>
        </w:rPr>
        <w:t>15</w:t>
      </w:r>
      <w:r>
        <w:t>.</w:t>
      </w:r>
      <w:r>
        <w:tab/>
        <w:t>Issue of recognition certificates</w:t>
      </w:r>
      <w:bookmarkEnd w:id="83"/>
    </w:p>
    <w:p>
      <w:pPr>
        <w:pStyle w:val="Subsection"/>
      </w:pPr>
      <w:r>
        <w:tab/>
        <w:t>(1)</w:t>
      </w:r>
      <w:r>
        <w:tab/>
        <w:t>Where an application under section 14 relates to an adult, the Board may issue a recognition certificate if —</w:t>
      </w:r>
    </w:p>
    <w:p>
      <w:pPr>
        <w:pStyle w:val="Indenta"/>
      </w:pPr>
      <w:r>
        <w:tab/>
        <w:t>(a)</w:t>
      </w:r>
      <w:r>
        <w:tab/>
        <w:t>one or more of the following applies —</w:t>
      </w:r>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 months;</w:t>
      </w:r>
    </w:p>
    <w:p>
      <w:pPr>
        <w:pStyle w:val="Indenta"/>
      </w:pPr>
      <w:r>
        <w:tab/>
      </w:r>
      <w:r>
        <w:tab/>
        <w:t>and</w:t>
      </w:r>
    </w:p>
    <w:p>
      <w:pPr>
        <w:pStyle w:val="Indenta"/>
      </w:pPr>
      <w:r>
        <w:tab/>
        <w:t>(b)</w:t>
      </w:r>
      <w:r>
        <w:tab/>
        <w:t>the Board is satisfied that the person —</w:t>
      </w:r>
    </w:p>
    <w:p>
      <w:pPr>
        <w:pStyle w:val="Indenti"/>
      </w:pPr>
      <w:r>
        <w:tab/>
        <w:t>(i)</w:t>
      </w:r>
      <w:r>
        <w:tab/>
        <w:t>believes that his or her true gender is the gender to which the person has been reassigned;</w:t>
      </w:r>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 14 relates to a child, the Board may issue a recognition certificate if —</w:t>
      </w:r>
    </w:p>
    <w:p>
      <w:pPr>
        <w:pStyle w:val="Indenta"/>
      </w:pPr>
      <w:r>
        <w:tab/>
        <w:t>(a)</w:t>
      </w:r>
      <w:r>
        <w:tab/>
        <w:t>one or more of the following applies —</w:t>
      </w:r>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 months;</w:t>
      </w:r>
    </w:p>
    <w:p>
      <w:pPr>
        <w:pStyle w:val="Indenta"/>
      </w:pPr>
      <w:r>
        <w:tab/>
      </w:r>
      <w:r>
        <w:tab/>
        <w:t>and</w:t>
      </w:r>
    </w:p>
    <w:p>
      <w:pPr>
        <w:pStyle w:val="Indenta"/>
      </w:pPr>
      <w:r>
        <w:tab/>
        <w:t>(b)</w:t>
      </w:r>
      <w:r>
        <w:tab/>
        <w:t>the Board is satisfied that it is in the best interests of the child that the certificate be issued.</w:t>
      </w:r>
    </w:p>
    <w:p>
      <w:pPr>
        <w:pStyle w:val="Subsection"/>
        <w:spacing w:before="120"/>
      </w:pPr>
      <w:r>
        <w:tab/>
        <w:t>(3)</w:t>
      </w:r>
      <w:r>
        <w:tab/>
        <w:t>A recognition certificate cannot be issued to a person who is married.</w:t>
      </w:r>
    </w:p>
    <w:p>
      <w:pPr>
        <w:pStyle w:val="Heading5"/>
      </w:pPr>
      <w:bookmarkStart w:id="84" w:name="_Toc278977656"/>
      <w:r>
        <w:rPr>
          <w:rStyle w:val="CharSectno"/>
        </w:rPr>
        <w:t>16</w:t>
      </w:r>
      <w:r>
        <w:t>.</w:t>
      </w:r>
      <w:r>
        <w:tab/>
        <w:t>Effect of recognition certificate</w:t>
      </w:r>
      <w:bookmarkEnd w:id="84"/>
    </w:p>
    <w:p>
      <w:pPr>
        <w:pStyle w:val="Subsection"/>
        <w:spacing w:before="120"/>
      </w:pPr>
      <w:r>
        <w:tab/>
        <w:t>(1)</w:t>
      </w:r>
      <w:r>
        <w:tab/>
        <w:t>A recognition certificate is conclusive evidence that the person to whom it refers —</w:t>
      </w:r>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85" w:name="_Toc278977657"/>
      <w:r>
        <w:rPr>
          <w:rStyle w:val="CharSectno"/>
        </w:rPr>
        <w:t>17</w:t>
      </w:r>
      <w:r>
        <w:t>.</w:t>
      </w:r>
      <w:r>
        <w:tab/>
        <w:t>Registration of certificates</w:t>
      </w:r>
      <w:bookmarkEnd w:id="85"/>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 $2 000.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 17 amended by No. 74 of 2003 s. 61(4); No. 55 of 2004 s. 414.]</w:t>
      </w:r>
    </w:p>
    <w:p>
      <w:pPr>
        <w:pStyle w:val="Heading5"/>
      </w:pPr>
      <w:bookmarkStart w:id="86" w:name="_Toc278977658"/>
      <w:r>
        <w:rPr>
          <w:rStyle w:val="CharSectno"/>
        </w:rPr>
        <w:t>18</w:t>
      </w:r>
      <w:r>
        <w:t>.</w:t>
      </w:r>
      <w:r>
        <w:tab/>
        <w:t>Issuing of new birth certificate</w:t>
      </w:r>
      <w:bookmarkEnd w:id="86"/>
    </w:p>
    <w:p>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pPr>
        <w:pStyle w:val="Subsection"/>
      </w:pPr>
      <w:r>
        <w:tab/>
        <w:t>(2)</w:t>
      </w:r>
      <w:r>
        <w:tab/>
        <w:t>Any such birth certificate must not include a statement that the person has changed sex.</w:t>
      </w:r>
    </w:p>
    <w:p>
      <w:pPr>
        <w:pStyle w:val="Footnotesection"/>
      </w:pPr>
      <w:r>
        <w:tab/>
        <w:t>[Section 18 amended by No. 74 of 2003 s. 61(4).]</w:t>
      </w:r>
    </w:p>
    <w:p>
      <w:pPr>
        <w:pStyle w:val="Heading5"/>
      </w:pPr>
      <w:bookmarkStart w:id="87" w:name="_Toc278977659"/>
      <w:r>
        <w:rPr>
          <w:rStyle w:val="CharSectno"/>
        </w:rPr>
        <w:t>19</w:t>
      </w:r>
      <w:r>
        <w:t>.</w:t>
      </w:r>
      <w:r>
        <w:tab/>
        <w:t>Cancellation of fraudulent recognition certificates</w:t>
      </w:r>
      <w:bookmarkEnd w:id="87"/>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88" w:name="_Toc72635627"/>
      <w:bookmarkStart w:id="89" w:name="_Toc90884626"/>
      <w:bookmarkStart w:id="90" w:name="_Toc92793694"/>
      <w:bookmarkStart w:id="91" w:name="_Toc124213346"/>
      <w:bookmarkStart w:id="92" w:name="_Toc124319832"/>
      <w:bookmarkStart w:id="93" w:name="_Toc124644155"/>
      <w:bookmarkStart w:id="94" w:name="_Toc124645499"/>
      <w:bookmarkStart w:id="95" w:name="_Toc125278784"/>
      <w:bookmarkStart w:id="96" w:name="_Toc129580549"/>
      <w:bookmarkStart w:id="97" w:name="_Toc129580752"/>
      <w:bookmarkStart w:id="98" w:name="_Toc215481314"/>
      <w:bookmarkStart w:id="99" w:name="_Toc223848138"/>
      <w:bookmarkStart w:id="100" w:name="_Toc271189981"/>
      <w:bookmarkStart w:id="101" w:name="_Toc274216802"/>
      <w:bookmarkStart w:id="102" w:name="_Toc275168683"/>
      <w:bookmarkStart w:id="103" w:name="_Toc278977660"/>
      <w:r>
        <w:rPr>
          <w:rStyle w:val="CharPartNo"/>
        </w:rPr>
        <w:t>Part 4</w:t>
      </w:r>
      <w:r>
        <w:rPr>
          <w:rStyle w:val="CharDivNo"/>
        </w:rPr>
        <w:t> </w:t>
      </w:r>
      <w:r>
        <w:t>—</w:t>
      </w:r>
      <w:r>
        <w:rPr>
          <w:rStyle w:val="CharDivText"/>
        </w:rPr>
        <w:t> </w:t>
      </w:r>
      <w:r>
        <w:rPr>
          <w:rStyle w:val="CharPartText"/>
        </w:rPr>
        <w:t>Miscellaneous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278977661"/>
      <w:r>
        <w:rPr>
          <w:rStyle w:val="CharSectno"/>
        </w:rPr>
        <w:t>20</w:t>
      </w:r>
      <w:r>
        <w:t>.</w:t>
      </w:r>
      <w:r>
        <w:tab/>
        <w:t>Issue of replacement qualification certificates</w:t>
      </w:r>
      <w:bookmarkEnd w:id="104"/>
    </w:p>
    <w:p>
      <w:pPr>
        <w:pStyle w:val="Subsection"/>
      </w:pPr>
      <w:r>
        <w:tab/>
        <w:t>(1)</w:t>
      </w:r>
      <w:r>
        <w:tab/>
        <w:t>If —</w:t>
      </w:r>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 (b).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p>
    <w:p>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pPr>
        <w:pStyle w:val="Defpara"/>
      </w:pPr>
      <w:r>
        <w:tab/>
        <w:t>(a)</w:t>
      </w:r>
      <w:r>
        <w:tab/>
        <w:t>the practice of a profession;</w:t>
      </w:r>
    </w:p>
    <w:p>
      <w:pPr>
        <w:pStyle w:val="Defpara"/>
        <w:rPr>
          <w:spacing w:val="-2"/>
        </w:rPr>
      </w:pPr>
      <w:r>
        <w:rPr>
          <w:spacing w:val="-2"/>
        </w:rPr>
        <w:tab/>
        <w:t>(b)</w:t>
      </w:r>
      <w:r>
        <w:rPr>
          <w:spacing w:val="-2"/>
        </w:rPr>
        <w:tab/>
        <w:t>the carrying on of a trade or business; or</w:t>
      </w:r>
    </w:p>
    <w:p>
      <w:pPr>
        <w:pStyle w:val="Defpara"/>
        <w:rPr>
          <w:spacing w:val="-2"/>
        </w:rPr>
      </w:pPr>
      <w:r>
        <w:rPr>
          <w:spacing w:val="-2"/>
        </w:rPr>
        <w:tab/>
        <w:t>(c)</w:t>
      </w:r>
      <w:r>
        <w:rPr>
          <w:spacing w:val="-2"/>
        </w:rPr>
        <w:tab/>
        <w:t>the engaging in of an occupation;</w:t>
      </w:r>
    </w:p>
    <w:p>
      <w:pPr>
        <w:pStyle w:val="Defstart"/>
      </w:pPr>
      <w:r>
        <w:tab/>
      </w:r>
      <w:r>
        <w:rPr>
          <w:rStyle w:val="CharDefText"/>
        </w:rPr>
        <w:t>gender reassigned person</w:t>
      </w:r>
      <w:r>
        <w:t xml:space="preserve"> means a person who has been issued with a recognition certificate or an equivalent certificate;</w:t>
      </w:r>
    </w:p>
    <w:p>
      <w:pPr>
        <w:pStyle w:val="Defstart"/>
      </w:pPr>
      <w:r>
        <w:tab/>
      </w:r>
      <w:r>
        <w:rPr>
          <w:rStyle w:val="CharDefText"/>
        </w:rPr>
        <w:t>issuing authority</w:t>
      </w:r>
      <w:r>
        <w:t>, in relation to a certificate of qualification, means the authority that issued the certificate or a successor to that authority.</w:t>
      </w:r>
    </w:p>
    <w:p>
      <w:pPr>
        <w:pStyle w:val="Heading5"/>
      </w:pPr>
      <w:bookmarkStart w:id="105" w:name="_Toc278977662"/>
      <w:r>
        <w:rPr>
          <w:rStyle w:val="CharSectno"/>
        </w:rPr>
        <w:t>21</w:t>
      </w:r>
      <w:r>
        <w:t>.</w:t>
      </w:r>
      <w:r>
        <w:tab/>
        <w:t>Review</w:t>
      </w:r>
      <w:bookmarkEnd w:id="105"/>
    </w:p>
    <w:p>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pPr>
        <w:pStyle w:val="Ednotesubsection"/>
        <w:tabs>
          <w:tab w:val="clear" w:pos="879"/>
          <w:tab w:val="left" w:pos="1134"/>
        </w:tabs>
        <w:ind w:left="1134"/>
      </w:pPr>
      <w:r>
        <w:tab/>
        <w:t>[(2)</w:t>
      </w:r>
      <w:r>
        <w:noBreakHyphen/>
        <w:t>(4)</w:t>
      </w:r>
      <w:r>
        <w:tab/>
        <w:t>deleted]</w:t>
      </w:r>
    </w:p>
    <w:p>
      <w:pPr>
        <w:pStyle w:val="Footnotesection"/>
      </w:pPr>
      <w:r>
        <w:tab/>
        <w:t>[Section 21 amended by No. 55 of 2004 s. 415.]</w:t>
      </w:r>
    </w:p>
    <w:p>
      <w:pPr>
        <w:pStyle w:val="Heading5"/>
      </w:pPr>
      <w:bookmarkStart w:id="106" w:name="_Toc278977663"/>
      <w:r>
        <w:rPr>
          <w:rStyle w:val="CharSectno"/>
        </w:rPr>
        <w:t>22</w:t>
      </w:r>
      <w:r>
        <w:t>.</w:t>
      </w:r>
      <w:r>
        <w:tab/>
        <w:t>Confidentiality</w:t>
      </w:r>
      <w:bookmarkEnd w:id="106"/>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 22 amended by No. 50 of 2003 s. 67(2).]</w:t>
      </w:r>
    </w:p>
    <w:p>
      <w:pPr>
        <w:pStyle w:val="Heading5"/>
      </w:pPr>
      <w:bookmarkStart w:id="107" w:name="_Toc278977664"/>
      <w:r>
        <w:rPr>
          <w:rStyle w:val="CharSectno"/>
        </w:rPr>
        <w:t>23</w:t>
      </w:r>
      <w:r>
        <w:t>.</w:t>
      </w:r>
      <w:r>
        <w:tab/>
        <w:t>False or misleading statements</w:t>
      </w:r>
      <w:bookmarkEnd w:id="107"/>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 23 amended by No. 50 of 2003 s. 67(2).]</w:t>
      </w:r>
    </w:p>
    <w:p>
      <w:pPr>
        <w:pStyle w:val="Heading5"/>
      </w:pPr>
      <w:bookmarkStart w:id="108" w:name="_Toc278977665"/>
      <w:r>
        <w:rPr>
          <w:rStyle w:val="CharSectno"/>
        </w:rPr>
        <w:t>24</w:t>
      </w:r>
      <w:r>
        <w:t>.</w:t>
      </w:r>
      <w:r>
        <w:tab/>
        <w:t>Offences</w:t>
      </w:r>
      <w:bookmarkEnd w:id="108"/>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109" w:name="_Toc278977666"/>
      <w:r>
        <w:rPr>
          <w:rStyle w:val="CharSectno"/>
        </w:rPr>
        <w:t>25</w:t>
      </w:r>
      <w:r>
        <w:t>.</w:t>
      </w:r>
      <w:r>
        <w:tab/>
        <w:t>Age</w:t>
      </w:r>
      <w:bookmarkEnd w:id="109"/>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110" w:name="_Toc278977667"/>
      <w:r>
        <w:rPr>
          <w:rStyle w:val="CharSectno"/>
        </w:rPr>
        <w:t>26</w:t>
      </w:r>
      <w:r>
        <w:t>.</w:t>
      </w:r>
      <w:r>
        <w:tab/>
        <w:t>Regulations</w:t>
      </w:r>
      <w:bookmarkEnd w:id="110"/>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w:t>
      </w:r>
    </w:p>
    <w:p>
      <w:pPr>
        <w:pStyle w:val="Indenta"/>
      </w:pPr>
      <w:r>
        <w:tab/>
        <w:t>(b)</w:t>
      </w:r>
      <w:r>
        <w:tab/>
        <w:t>the regulation of access to documents in the executive officer’s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$2 000 for a breach of, or non</w:t>
      </w:r>
      <w:r>
        <w:rPr>
          <w:spacing w:val="-2"/>
        </w:rPr>
        <w:noBreakHyphen/>
        <w:t>compliance with, a regulation.</w:t>
      </w:r>
    </w:p>
    <w:p>
      <w:pPr>
        <w:pStyle w:val="Subsection"/>
      </w:pPr>
      <w:r>
        <w:tab/>
        <w:t>(2)</w:t>
      </w:r>
      <w:r>
        <w:tab/>
        <w:t>A regulation under subsection (1)(a) may be made only on the recommendation of or after consultation with the Board.</w:t>
      </w:r>
    </w:p>
    <w:p>
      <w:pPr>
        <w:pStyle w:val="Ednotesection"/>
      </w:pPr>
      <w:r>
        <w:t>[</w:t>
      </w:r>
      <w:r>
        <w:rPr>
          <w:b/>
          <w:bCs/>
        </w:rPr>
        <w:t>27.</w:t>
      </w:r>
      <w:r>
        <w:tab/>
        <w:t>Omitted under the Reprints Act 1984 s. 7(4)(g).]</w:t>
      </w:r>
    </w:p>
    <w:p>
      <w:pPr>
        <w:pStyle w:val="Ednotesection"/>
      </w:pPr>
      <w:r>
        <w:t>[</w:t>
      </w:r>
      <w:r>
        <w:rPr>
          <w:b/>
          <w:bCs/>
        </w:rPr>
        <w:t>28, 29.</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1" w:name="_Toc124319843"/>
      <w:bookmarkStart w:id="112" w:name="_Toc124644166"/>
      <w:bookmarkStart w:id="113" w:name="_Toc124645510"/>
      <w:bookmarkStart w:id="114" w:name="_Toc125278792"/>
      <w:bookmarkStart w:id="115" w:name="_Toc129580557"/>
      <w:bookmarkStart w:id="116" w:name="_Toc129580760"/>
      <w:bookmarkStart w:id="117" w:name="_Toc215481322"/>
      <w:bookmarkStart w:id="118" w:name="_Toc223848146"/>
      <w:bookmarkStart w:id="119" w:name="_Toc271189989"/>
      <w:bookmarkStart w:id="120" w:name="_Toc274216810"/>
      <w:bookmarkStart w:id="121" w:name="_Toc275168691"/>
      <w:bookmarkStart w:id="122" w:name="_Toc278977668"/>
      <w:r>
        <w:rPr>
          <w:rStyle w:val="CharSchNo"/>
        </w:rPr>
        <w:t>Schedule 1</w:t>
      </w:r>
      <w:r>
        <w:t> — </w:t>
      </w:r>
      <w:r>
        <w:rPr>
          <w:rStyle w:val="CharSchText"/>
        </w:rPr>
        <w:t>Constitution and proceedings of the Board</w:t>
      </w:r>
      <w:bookmarkEnd w:id="111"/>
      <w:bookmarkEnd w:id="112"/>
      <w:bookmarkEnd w:id="113"/>
      <w:bookmarkEnd w:id="114"/>
      <w:bookmarkEnd w:id="115"/>
      <w:bookmarkEnd w:id="116"/>
      <w:bookmarkEnd w:id="117"/>
      <w:bookmarkEnd w:id="118"/>
      <w:bookmarkEnd w:id="119"/>
      <w:bookmarkEnd w:id="120"/>
      <w:bookmarkEnd w:id="121"/>
      <w:bookmarkEnd w:id="122"/>
    </w:p>
    <w:p>
      <w:pPr>
        <w:pStyle w:val="yShoulderClause"/>
      </w:pPr>
      <w:r>
        <w:t>[Section 5]</w:t>
      </w:r>
    </w:p>
    <w:p>
      <w:pPr>
        <w:pStyle w:val="yHeading5"/>
        <w:outlineLvl w:val="9"/>
      </w:pPr>
      <w:bookmarkStart w:id="123" w:name="_Toc278977669"/>
      <w:r>
        <w:rPr>
          <w:rStyle w:val="CharSClsNo"/>
        </w:rPr>
        <w:t>1</w:t>
      </w:r>
      <w:r>
        <w:t>.</w:t>
      </w:r>
      <w:r>
        <w:tab/>
        <w:t>Term of office</w:t>
      </w:r>
      <w:bookmarkEnd w:id="123"/>
    </w:p>
    <w:p>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pPr>
        <w:pStyle w:val="ySubsection"/>
      </w:pPr>
      <w:r>
        <w:tab/>
        <w:t>(2)</w:t>
      </w:r>
      <w:r>
        <w:tab/>
        <w:t>A member may from time to time be reappointed.</w:t>
      </w:r>
    </w:p>
    <w:p>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pPr>
        <w:pStyle w:val="yHeading5"/>
        <w:outlineLvl w:val="9"/>
      </w:pPr>
      <w:bookmarkStart w:id="124" w:name="_Toc278977670"/>
      <w:r>
        <w:rPr>
          <w:rStyle w:val="CharSClsNo"/>
        </w:rPr>
        <w:t>2</w:t>
      </w:r>
      <w:r>
        <w:t>.</w:t>
      </w:r>
      <w:r>
        <w:tab/>
        <w:t>Resignation and removal</w:t>
      </w:r>
      <w:bookmarkEnd w:id="124"/>
    </w:p>
    <w:p>
      <w:pPr>
        <w:pStyle w:val="ySubsection"/>
      </w:pPr>
      <w:r>
        <w:tab/>
        <w:t>(1)</w:t>
      </w:r>
      <w:r>
        <w:tab/>
        <w:t>A member may resign at any time by notice in writing delivered to the Governor.</w:t>
      </w:r>
    </w:p>
    <w:p>
      <w:pPr>
        <w:pStyle w:val="ySubsection"/>
      </w:pPr>
      <w:r>
        <w:tab/>
        <w:t>(2)</w:t>
      </w:r>
      <w:r>
        <w:tab/>
        <w:t>The Governor may remove a member from office —</w:t>
      </w:r>
    </w:p>
    <w:p>
      <w:pPr>
        <w:pStyle w:val="yIndenta"/>
      </w:pPr>
      <w:r>
        <w:tab/>
        <w:t>(a)</w:t>
      </w:r>
      <w:r>
        <w:tab/>
        <w:t>if the member is an insolvent under administration as that expression is defined in the Corporations Law; or</w:t>
      </w:r>
    </w:p>
    <w:p>
      <w:pPr>
        <w:pStyle w:val="yIndenta"/>
      </w:pPr>
      <w:r>
        <w:tab/>
        <w:t>(b)</w:t>
      </w:r>
      <w:r>
        <w:tab/>
        <w:t>on the grounds of neglect of duty, misbehaviour, incompetence or mental or physical incapacity impairing the performance of the member’s functions, proved to the satisfaction of the Governor.</w:t>
      </w:r>
    </w:p>
    <w:p>
      <w:pPr>
        <w:pStyle w:val="yHeading5"/>
        <w:outlineLvl w:val="9"/>
      </w:pPr>
      <w:bookmarkStart w:id="125" w:name="_Toc278977671"/>
      <w:r>
        <w:rPr>
          <w:rStyle w:val="CharSClsNo"/>
        </w:rPr>
        <w:t>3</w:t>
      </w:r>
      <w:r>
        <w:t>.</w:t>
      </w:r>
      <w:r>
        <w:tab/>
        <w:t>Leave of absence</w:t>
      </w:r>
      <w:bookmarkEnd w:id="125"/>
    </w:p>
    <w:p>
      <w:pPr>
        <w:pStyle w:val="ySubsection"/>
      </w:pPr>
      <w:r>
        <w:tab/>
      </w:r>
      <w:r>
        <w:tab/>
        <w:t>The Minister may grant leave of absence to a member on such terms and conditions as the Minister thinks fit.</w:t>
      </w:r>
    </w:p>
    <w:p>
      <w:pPr>
        <w:pStyle w:val="yHeading5"/>
        <w:outlineLvl w:val="9"/>
      </w:pPr>
      <w:bookmarkStart w:id="126" w:name="_Toc278977672"/>
      <w:r>
        <w:rPr>
          <w:rStyle w:val="CharSClsNo"/>
        </w:rPr>
        <w:t>4</w:t>
      </w:r>
      <w:r>
        <w:t>.</w:t>
      </w:r>
      <w:r>
        <w:tab/>
        <w:t>Acts of acting president</w:t>
      </w:r>
      <w:bookmarkEnd w:id="126"/>
    </w:p>
    <w:p>
      <w:pPr>
        <w:pStyle w:val="ySubsection"/>
      </w:pPr>
      <w:r>
        <w:tab/>
      </w:r>
      <w:r>
        <w:tab/>
        <w:t>No act or omission of a person acting as president under this Act shall be questioned on the ground that the occasion for that acting had not arisen or had ceased.</w:t>
      </w:r>
    </w:p>
    <w:p>
      <w:pPr>
        <w:pStyle w:val="yHeading5"/>
        <w:outlineLvl w:val="9"/>
      </w:pPr>
      <w:bookmarkStart w:id="127" w:name="_Toc278977673"/>
      <w:r>
        <w:rPr>
          <w:rStyle w:val="CharSClsNo"/>
        </w:rPr>
        <w:t>5</w:t>
      </w:r>
      <w:r>
        <w:t>.</w:t>
      </w:r>
      <w:r>
        <w:tab/>
        <w:t>President to preside</w:t>
      </w:r>
      <w:bookmarkEnd w:id="127"/>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outlineLvl w:val="9"/>
      </w:pPr>
      <w:bookmarkStart w:id="128" w:name="_Toc278977674"/>
      <w:r>
        <w:rPr>
          <w:rStyle w:val="CharSClsNo"/>
        </w:rPr>
        <w:t>6</w:t>
      </w:r>
      <w:r>
        <w:t>.</w:t>
      </w:r>
      <w:r>
        <w:tab/>
        <w:t>Use of seal</w:t>
      </w:r>
      <w:bookmarkEnd w:id="128"/>
    </w:p>
    <w:p>
      <w:pPr>
        <w:pStyle w:val="ySubsection"/>
      </w:pPr>
      <w:r>
        <w:tab/>
        <w:t>(1)</w:t>
      </w:r>
      <w:r>
        <w:tab/>
        <w:t>The seal of the Board is to be —</w:t>
      </w:r>
    </w:p>
    <w:p>
      <w:pPr>
        <w:pStyle w:val="yIndenta"/>
      </w:pPr>
      <w:r>
        <w:tab/>
        <w:t>(a)</w:t>
      </w:r>
      <w:r>
        <w:tab/>
        <w:t>in a form determined by the Board;</w:t>
      </w:r>
    </w:p>
    <w:p>
      <w:pPr>
        <w:pStyle w:val="yIndenta"/>
      </w:pPr>
      <w:r>
        <w:tab/>
        <w:t>(b)</w:t>
      </w:r>
      <w:r>
        <w:tab/>
        <w:t>kept in such custody as the Board directs; and</w:t>
      </w:r>
    </w:p>
    <w:p>
      <w:pPr>
        <w:pStyle w:val="yIndenta"/>
      </w:pPr>
      <w:r>
        <w:tab/>
        <w:t>(c)</w:t>
      </w:r>
      <w:r>
        <w:tab/>
        <w:t>used only as authorised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outlineLvl w:val="9"/>
      </w:pPr>
      <w:bookmarkStart w:id="129" w:name="_Toc278977675"/>
      <w:r>
        <w:rPr>
          <w:rStyle w:val="CharSClsNo"/>
        </w:rPr>
        <w:t>7</w:t>
      </w:r>
      <w:r>
        <w:t>.</w:t>
      </w:r>
      <w:r>
        <w:tab/>
        <w:t>Register of applications</w:t>
      </w:r>
      <w:bookmarkEnd w:id="129"/>
    </w:p>
    <w:p>
      <w:pPr>
        <w:pStyle w:val="ySubsection"/>
      </w:pPr>
      <w:r>
        <w:tab/>
      </w:r>
      <w:r>
        <w:tab/>
        <w:t>The executive officer is to keep a register in a form approved by the Board containing particulars of all applications for recognition certificates and the determination of those applications.</w:t>
      </w:r>
    </w:p>
    <w:bookmarkEnd w:id="32"/>
    <w:bookmarkEnd w:id="33"/>
    <w:bookmarkEnd w:id="34"/>
    <w:p>
      <w:pPr>
        <w:pStyle w:val="yEdnoteschedule"/>
      </w:pPr>
      <w:r>
        <w:t>[Schedule 2 omitted under the Reprints Act 1984 s. 7(4)(e).]</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0" w:name="_Toc72635657"/>
      <w:bookmarkStart w:id="131" w:name="_Toc90884656"/>
      <w:bookmarkStart w:id="132" w:name="_Toc92793724"/>
      <w:bookmarkStart w:id="133" w:name="_Toc124213376"/>
      <w:bookmarkStart w:id="134" w:name="_Toc124319866"/>
      <w:bookmarkStart w:id="135" w:name="_Toc124644189"/>
      <w:bookmarkStart w:id="136" w:name="_Toc124645533"/>
      <w:bookmarkStart w:id="137" w:name="_Toc125278800"/>
      <w:bookmarkStart w:id="138" w:name="_Toc129580565"/>
      <w:bookmarkStart w:id="139" w:name="_Toc129580768"/>
      <w:bookmarkStart w:id="140" w:name="_Toc215481330"/>
      <w:bookmarkStart w:id="141" w:name="_Toc223848154"/>
      <w:bookmarkStart w:id="142" w:name="_Toc271189997"/>
      <w:bookmarkStart w:id="143" w:name="_Toc274216818"/>
      <w:bookmarkStart w:id="144" w:name="_Toc275168699"/>
      <w:bookmarkStart w:id="145" w:name="_Toc278977676"/>
      <w:r>
        <w:t>Notes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Act 2000</w:t>
      </w:r>
      <w:r>
        <w:rPr>
          <w:snapToGrid w:val="0"/>
        </w:rPr>
        <w:t xml:space="preserve"> and includes the amendments made by the other written laws referred to in the following table.  The table also contains information about any reprint.</w:t>
      </w:r>
    </w:p>
    <w:p>
      <w:pPr>
        <w:pStyle w:val="nHeading3"/>
      </w:pPr>
      <w:bookmarkStart w:id="146" w:name="_Toc278977677"/>
      <w:r>
        <w:t>Compilation table</w:t>
      </w:r>
      <w:bookmarkEnd w:id="146"/>
    </w:p>
    <w:tbl>
      <w:tblPr>
        <w:tblW w:w="7086" w:type="dxa"/>
        <w:tblInd w:w="28" w:type="dxa"/>
        <w:tblLayout w:type="fixed"/>
        <w:tblCellMar>
          <w:left w:w="56" w:type="dxa"/>
          <w:right w:w="56" w:type="dxa"/>
        </w:tblCellMar>
        <w:tblLook w:val="0000" w:firstRow="0" w:lastRow="0" w:firstColumn="0" w:lastColumn="0" w:noHBand="0" w:noVBand="0"/>
      </w:tblPr>
      <w:tblGrid>
        <w:gridCol w:w="2254"/>
        <w:gridCol w:w="12"/>
        <w:gridCol w:w="1122"/>
        <w:gridCol w:w="12"/>
        <w:gridCol w:w="1134"/>
        <w:gridCol w:w="16"/>
        <w:gridCol w:w="2536"/>
      </w:tblGrid>
      <w:tr>
        <w:trPr>
          <w:tblHeader/>
        </w:trPr>
        <w:tc>
          <w:tcPr>
            <w:tcW w:w="226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gridSpan w:val="2"/>
            <w:tcBorders>
              <w:top w:val="single" w:sz="8" w:space="0" w:color="auto"/>
            </w:tcBorders>
          </w:tcPr>
          <w:p>
            <w:pPr>
              <w:pStyle w:val="nTable"/>
              <w:spacing w:after="40"/>
              <w:rPr>
                <w:sz w:val="19"/>
              </w:rPr>
            </w:pPr>
            <w:r>
              <w:rPr>
                <w:i/>
                <w:sz w:val="19"/>
              </w:rPr>
              <w:t>Gender Reassignment Act 2000</w:t>
            </w:r>
          </w:p>
        </w:tc>
        <w:tc>
          <w:tcPr>
            <w:tcW w:w="1134" w:type="dxa"/>
            <w:gridSpan w:val="2"/>
            <w:tcBorders>
              <w:top w:val="single" w:sz="8" w:space="0" w:color="auto"/>
            </w:tcBorders>
          </w:tcPr>
          <w:p>
            <w:pPr>
              <w:pStyle w:val="nTable"/>
              <w:spacing w:after="40"/>
              <w:rPr>
                <w:sz w:val="19"/>
              </w:rPr>
            </w:pPr>
            <w:r>
              <w:rPr>
                <w:sz w:val="19"/>
              </w:rPr>
              <w:t>2 of 2000</w:t>
            </w:r>
          </w:p>
        </w:tc>
        <w:tc>
          <w:tcPr>
            <w:tcW w:w="1134" w:type="dxa"/>
            <w:tcBorders>
              <w:top w:val="single" w:sz="8" w:space="0" w:color="auto"/>
            </w:tcBorders>
          </w:tcPr>
          <w:p>
            <w:pPr>
              <w:pStyle w:val="nTable"/>
              <w:spacing w:after="40"/>
              <w:rPr>
                <w:sz w:val="19"/>
              </w:rPr>
            </w:pPr>
            <w:r>
              <w:rPr>
                <w:sz w:val="19"/>
              </w:rPr>
              <w:t>12 Apr 2000</w:t>
            </w:r>
          </w:p>
        </w:tc>
        <w:tc>
          <w:tcPr>
            <w:tcW w:w="2552" w:type="dxa"/>
            <w:gridSpan w:val="2"/>
            <w:tcBorders>
              <w:top w:val="single" w:sz="8" w:space="0" w:color="auto"/>
            </w:tcBorders>
          </w:tcPr>
          <w:p>
            <w:pPr>
              <w:pStyle w:val="nTable"/>
              <w:spacing w:after="40"/>
              <w:rPr>
                <w:sz w:val="19"/>
              </w:rPr>
            </w:pPr>
            <w:r>
              <w:rPr>
                <w:sz w:val="19"/>
              </w:rPr>
              <w:t xml:space="preserve">19 Dec 2001 (see s. 2 and </w:t>
            </w:r>
            <w:r>
              <w:rPr>
                <w:i/>
                <w:sz w:val="19"/>
              </w:rPr>
              <w:t>Gazette</w:t>
            </w:r>
            <w:r>
              <w:rPr>
                <w:sz w:val="19"/>
              </w:rPr>
              <w:t xml:space="preserve"> 18 Dec 2001 p. 6489)</w:t>
            </w:r>
          </w:p>
        </w:tc>
      </w:tr>
      <w:tr>
        <w:tc>
          <w:tcPr>
            <w:tcW w:w="2266" w:type="dxa"/>
            <w:gridSpan w:val="2"/>
          </w:tcPr>
          <w:p>
            <w:pPr>
              <w:pStyle w:val="nTable"/>
              <w:spacing w:after="40"/>
              <w:rPr>
                <w:i/>
                <w:sz w:val="19"/>
              </w:rPr>
            </w:pPr>
            <w:r>
              <w:rPr>
                <w:i/>
                <w:sz w:val="19"/>
              </w:rPr>
              <w:t xml:space="preserve">Sentencing Legislation Amendment and Repeal Act 2003 </w:t>
            </w:r>
            <w:r>
              <w:rPr>
                <w:sz w:val="19"/>
              </w:rPr>
              <w:t>s. 67</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6" w:type="dxa"/>
            <w:gridSpan w:val="2"/>
          </w:tcPr>
          <w:p>
            <w:pPr>
              <w:pStyle w:val="nTable"/>
              <w:spacing w:after="40"/>
              <w:rPr>
                <w:sz w:val="19"/>
              </w:rPr>
            </w:pPr>
            <w:r>
              <w:rPr>
                <w:i/>
                <w:sz w:val="19"/>
              </w:rPr>
              <w:t>Acts Amendment and Repeal (Courts and Legal Practice) Act 2003</w:t>
            </w:r>
            <w:r>
              <w:rPr>
                <w:sz w:val="19"/>
              </w:rPr>
              <w:t xml:space="preserve"> s. 39</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c>
          <w:tcPr>
            <w:tcW w:w="2266" w:type="dxa"/>
            <w:gridSpan w:val="2"/>
          </w:tcPr>
          <w:p>
            <w:pPr>
              <w:pStyle w:val="nTable"/>
              <w:spacing w:after="40"/>
              <w:rPr>
                <w:sz w:val="19"/>
              </w:rPr>
            </w:pPr>
            <w:r>
              <w:rPr>
                <w:i/>
                <w:sz w:val="19"/>
              </w:rPr>
              <w:t>Statutes (Repeals and Minor Amendments) Act 2003</w:t>
            </w:r>
            <w:r>
              <w:rPr>
                <w:sz w:val="19"/>
              </w:rPr>
              <w:t xml:space="preserve"> s. 61</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c>
          <w:tcPr>
            <w:tcW w:w="2266" w:type="dxa"/>
            <w:gridSpan w:val="2"/>
          </w:tcPr>
          <w:p>
            <w:pPr>
              <w:pStyle w:val="nTable"/>
              <w:spacing w:after="40"/>
              <w:rPr>
                <w:i/>
                <w:sz w:val="19"/>
                <w:vertAlign w:val="superscript"/>
              </w:rPr>
            </w:pPr>
            <w:r>
              <w:rPr>
                <w:i/>
                <w:sz w:val="19"/>
              </w:rPr>
              <w:t>State Administrative Tribunal (Conferral of Jurisdiction) Amendment and Repeal Act 2004</w:t>
            </w:r>
            <w:r>
              <w:rPr>
                <w:iCs/>
                <w:sz w:val="19"/>
              </w:rPr>
              <w:t xml:space="preserve"> Pt. 2 Div. 55</w:t>
            </w:r>
            <w:r>
              <w:rPr>
                <w:iCs/>
                <w:sz w:val="19"/>
                <w:vertAlign w:val="superscript"/>
              </w:rPr>
              <w:t xml:space="preserve"> 3</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6" w:type="dxa"/>
            <w:gridSpan w:val="7"/>
          </w:tcPr>
          <w:p>
            <w:pPr>
              <w:pStyle w:val="nTable"/>
              <w:spacing w:after="40"/>
              <w:rPr>
                <w:spacing w:val="-2"/>
                <w:sz w:val="19"/>
              </w:rPr>
            </w:pPr>
            <w:r>
              <w:rPr>
                <w:b/>
                <w:bCs/>
                <w:spacing w:val="-2"/>
                <w:sz w:val="19"/>
              </w:rPr>
              <w:t xml:space="preserve">Reprint 1: The </w:t>
            </w:r>
            <w:r>
              <w:rPr>
                <w:b/>
                <w:bCs/>
                <w:i/>
                <w:sz w:val="19"/>
              </w:rPr>
              <w:t>Gender Reassignment Act 2000</w:t>
            </w:r>
            <w:r>
              <w:rPr>
                <w:b/>
                <w:bCs/>
                <w:spacing w:val="-2"/>
                <w:sz w:val="19"/>
              </w:rPr>
              <w:t xml:space="preserve"> as at 10 Feb 2006</w:t>
            </w:r>
            <w:r>
              <w:rPr>
                <w:spacing w:val="-2"/>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666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62" w:type="dxa"/>
            <w:gridSpan w:val="3"/>
            <w:tcBorders>
              <w:top w:val="nil"/>
              <w:bottom w:val="nil"/>
            </w:tcBorders>
          </w:tcPr>
          <w:p>
            <w:pPr>
              <w:pStyle w:val="nTable"/>
              <w:spacing w:after="40"/>
              <w:rPr>
                <w:sz w:val="19"/>
              </w:rPr>
            </w:pPr>
            <w:r>
              <w:rPr>
                <w:snapToGrid w:val="0"/>
                <w:sz w:val="19"/>
                <w:lang w:val="en-US"/>
              </w:rPr>
              <w:t>27 May 2008</w:t>
            </w:r>
          </w:p>
        </w:tc>
        <w:tc>
          <w:tcPr>
            <w:tcW w:w="2536"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6"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21</w:t>
            </w:r>
          </w:p>
        </w:tc>
        <w:tc>
          <w:tcPr>
            <w:tcW w:w="1134" w:type="dxa"/>
            <w:gridSpan w:val="2"/>
            <w:tcBorders>
              <w:top w:val="nil"/>
              <w:bottom w:val="nil"/>
            </w:tcBorders>
          </w:tcPr>
          <w:p>
            <w:pPr>
              <w:pStyle w:val="nTable"/>
              <w:spacing w:after="40"/>
              <w:rPr>
                <w:sz w:val="19"/>
              </w:rPr>
            </w:pPr>
            <w:r>
              <w:rPr>
                <w:snapToGrid w:val="0"/>
                <w:sz w:val="19"/>
                <w:lang w:val="en-US"/>
              </w:rPr>
              <w:t>35 of 2010</w:t>
            </w:r>
          </w:p>
        </w:tc>
        <w:tc>
          <w:tcPr>
            <w:tcW w:w="1162" w:type="dxa"/>
            <w:gridSpan w:val="3"/>
            <w:tcBorders>
              <w:top w:val="nil"/>
              <w:bottom w:val="nil"/>
            </w:tcBorders>
          </w:tcPr>
          <w:p>
            <w:pPr>
              <w:pStyle w:val="nTable"/>
              <w:spacing w:after="40"/>
              <w:rPr>
                <w:sz w:val="19"/>
              </w:rPr>
            </w:pPr>
            <w:r>
              <w:rPr>
                <w:snapToGrid w:val="0"/>
                <w:sz w:val="19"/>
                <w:lang w:val="en-US"/>
              </w:rPr>
              <w:t>30 Aug 2010</w:t>
            </w:r>
          </w:p>
        </w:tc>
        <w:tc>
          <w:tcPr>
            <w:tcW w:w="2536"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62" w:type="dxa"/>
            <w:gridSpan w:val="3"/>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36"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bookmarkStart w:id="147" w:name="UpToHere"/>
      <w:bookmarkEnd w:id="147"/>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Gender Reassignment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Gender Reassignment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Gender Reassignment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Gender Reassignment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Gender Reassignment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58" w:type="dxa"/>
          <w:gridSpan w:val="2"/>
        </w:tcPr>
        <w:p>
          <w:pPr>
            <w:pStyle w:val="HeaderNumberRight"/>
            <w:ind w:right="17"/>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Gender Reassignment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D040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148C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E27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8C7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D0AF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9E77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F292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D0D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1A2CC6"/>
    <w:lvl w:ilvl="0">
      <w:start w:val="1"/>
      <w:numFmt w:val="decimal"/>
      <w:pStyle w:val="ListNumber"/>
      <w:lvlText w:val="%1."/>
      <w:lvlJc w:val="left"/>
      <w:pPr>
        <w:tabs>
          <w:tab w:val="num" w:pos="360"/>
        </w:tabs>
        <w:ind w:left="360" w:hanging="360"/>
      </w:pPr>
    </w:lvl>
  </w:abstractNum>
  <w:abstractNum w:abstractNumId="9">
    <w:nsid w:val="FFFFFF89"/>
    <w:multiLevelType w:val="singleLevel"/>
    <w:tmpl w:val="4A945F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73BA0B0C"/>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E0C0C33E"/>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736"/>
    <w:docVar w:name="WAFER_20151211132736" w:val="RemoveTrackChanges"/>
    <w:docVar w:name="WAFER_20151211132736_GUID" w:val="342e9627-3d56-4df2-8933-854e830739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4094</Words>
  <Characters>19614</Characters>
  <Application>Microsoft Office Word</Application>
  <DocSecurity>0</DocSecurity>
  <Lines>576</Lines>
  <Paragraphs>376</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
  <LinksUpToDate>false</LinksUpToDate>
  <CharactersWithSpaces>23332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2000 - 01-i0-02</dc:title>
  <dc:subject/>
  <dc:creator/>
  <cp:keywords/>
  <dc:description/>
  <cp:lastModifiedBy>svcMRProcess</cp:lastModifiedBy>
  <cp:revision>4</cp:revision>
  <cp:lastPrinted>2006-01-17T08:31:00Z</cp:lastPrinted>
  <dcterms:created xsi:type="dcterms:W3CDTF">2015-12-13T07:04:00Z</dcterms:created>
  <dcterms:modified xsi:type="dcterms:W3CDTF">2015-12-13T07:04:00Z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1986</vt:i4>
  </property>
  <property fmtid="{D5CDD505-2E9C-101B-9397-08002B2CF9AE}" pid="6" name="ReprintNo">
    <vt:lpwstr>1</vt:lpwstr>
  </property>
  <property fmtid="{D5CDD505-2E9C-101B-9397-08002B2CF9AE}" pid="7" name="AsAtDate">
    <vt:lpwstr>01 Dec 2010</vt:lpwstr>
  </property>
  <property fmtid="{D5CDD505-2E9C-101B-9397-08002B2CF9AE}" pid="8" name="Suffix">
    <vt:lpwstr>01-i0-02</vt:lpwstr>
  </property>
</Properties>
</file>