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Painters’ Registration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Painters’ Registration Act 1961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_Toc278980777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_Toc278980778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_Toc278980779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_Toc278980780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_Toc278980781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_Toc278980782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_Toc278980783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_Toc278980784 \h </w:instrText>
      </w:r>
      <w:r>
        <w:fldChar w:fldCharType="separate"/>
      </w:r>
      <w:r>
        <w:t>5</w:t>
      </w:r>
      <w:r>
        <w:fldChar w:fldCharType="end"/>
      </w:r>
    </w:p>
    <w:p>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_Toc278980785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_Toc278980786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_Toc278980787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_Toc278980788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_Toc278980789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_Toc278980790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_Toc278980791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_Toc278980792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_Toc278980793 \h </w:instrText>
      </w:r>
      <w:r>
        <w:fldChar w:fldCharType="separate"/>
      </w:r>
      <w:r>
        <w:t>11</w:t>
      </w:r>
      <w:r>
        <w:fldChar w:fldCharType="end"/>
      </w:r>
    </w:p>
    <w:p>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_Toc278980794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_Toc278980795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_Toc278980796 \h </w:instrText>
      </w:r>
      <w:r>
        <w:fldChar w:fldCharType="separate"/>
      </w:r>
      <w:r>
        <w:t>13</w:t>
      </w:r>
      <w:r>
        <w:fldChar w:fldCharType="end"/>
      </w:r>
    </w:p>
    <w:p>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_Toc278980797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_Toc278980798 \h </w:instrText>
      </w:r>
      <w:r>
        <w:fldChar w:fldCharType="separate"/>
      </w:r>
      <w:r>
        <w:t>15</w:t>
      </w:r>
      <w:r>
        <w:fldChar w:fldCharType="end"/>
      </w:r>
    </w:p>
    <w:p>
      <w:pPr>
        <w:pStyle w:val="TOC8"/>
        <w:rPr>
          <w:sz w:val="24"/>
          <w:szCs w:val="24"/>
        </w:rPr>
      </w:pPr>
      <w:r>
        <w:rPr>
          <w:szCs w:val="24"/>
        </w:rPr>
        <w:lastRenderedPageBreak/>
        <w:t>16D</w:t>
      </w:r>
      <w:r>
        <w:rPr>
          <w:snapToGrid w:val="0"/>
          <w:szCs w:val="24"/>
        </w:rPr>
        <w:t>.</w:t>
      </w:r>
      <w:r>
        <w:rPr>
          <w:snapToGrid w:val="0"/>
          <w:szCs w:val="24"/>
        </w:rPr>
        <w:tab/>
        <w:t>Order to remedy or pay for remediation of unsatisfactory painting work</w:t>
      </w:r>
      <w:r>
        <w:tab/>
      </w:r>
      <w:r>
        <w:fldChar w:fldCharType="begin"/>
      </w:r>
      <w:r>
        <w:instrText xml:space="preserve"> PAGEREF _Toc278980799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_Toc278980800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_Toc278980801 \h </w:instrText>
      </w:r>
      <w:r>
        <w:fldChar w:fldCharType="separate"/>
      </w:r>
      <w:r>
        <w:t>17</w:t>
      </w:r>
      <w:r>
        <w:fldChar w:fldCharType="end"/>
      </w:r>
    </w:p>
    <w:p>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_Toc278980802 \h </w:instrText>
      </w:r>
      <w:r>
        <w:fldChar w:fldCharType="separate"/>
      </w:r>
      <w:r>
        <w:t>17</w:t>
      </w:r>
      <w:r>
        <w:fldChar w:fldCharType="end"/>
      </w:r>
    </w:p>
    <w:p>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_Toc278980803 \h </w:instrText>
      </w:r>
      <w:r>
        <w:fldChar w:fldCharType="separate"/>
      </w:r>
      <w:r>
        <w:t>18</w:t>
      </w:r>
      <w:r>
        <w:fldChar w:fldCharType="end"/>
      </w:r>
    </w:p>
    <w:p>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_Toc278980804 \h </w:instrText>
      </w:r>
      <w:r>
        <w:fldChar w:fldCharType="separate"/>
      </w:r>
      <w:r>
        <w:t>18</w:t>
      </w:r>
      <w:r>
        <w:fldChar w:fldCharType="end"/>
      </w:r>
    </w:p>
    <w:p>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_Toc278980805 \h </w:instrText>
      </w:r>
      <w:r>
        <w:fldChar w:fldCharType="separate"/>
      </w:r>
      <w:r>
        <w:t>19</w:t>
      </w:r>
      <w:r>
        <w:fldChar w:fldCharType="end"/>
      </w:r>
    </w:p>
    <w:p>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_Toc278980806 \h </w:instrText>
      </w:r>
      <w:r>
        <w:fldChar w:fldCharType="separate"/>
      </w:r>
      <w:r>
        <w:t>19</w:t>
      </w:r>
      <w:r>
        <w:fldChar w:fldCharType="end"/>
      </w:r>
    </w:p>
    <w:p>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_Toc278980807 \h </w:instrText>
      </w:r>
      <w:r>
        <w:fldChar w:fldCharType="separate"/>
      </w:r>
      <w:r>
        <w:t>19</w:t>
      </w:r>
      <w:r>
        <w:fldChar w:fldCharType="end"/>
      </w:r>
    </w:p>
    <w:p>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_Toc278980808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_Toc278980809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_Toc278980810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_Toc278980811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_Toc278980812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_Toc278980813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_Toc278980814 \h </w:instrText>
      </w:r>
      <w:r>
        <w:fldChar w:fldCharType="separate"/>
      </w:r>
      <w:r>
        <w:t>22</w:t>
      </w:r>
      <w:r>
        <w:fldChar w:fldCharType="end"/>
      </w:r>
    </w:p>
    <w:p>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_Toc278980815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_Toc278980816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_Toc278980817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_Toc278980818 \h </w:instrText>
      </w:r>
      <w:r>
        <w:fldChar w:fldCharType="separate"/>
      </w:r>
      <w:r>
        <w:t>24</w:t>
      </w:r>
      <w:r>
        <w:fldChar w:fldCharType="end"/>
      </w:r>
    </w:p>
    <w:p>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_Toc278980819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_Toc278980820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_Toc278980821 \h </w:instrText>
      </w:r>
      <w:r>
        <w:fldChar w:fldCharType="separate"/>
      </w:r>
      <w:r>
        <w:t>25</w:t>
      </w:r>
      <w:r>
        <w:fldChar w:fldCharType="end"/>
      </w:r>
    </w:p>
    <w:p>
      <w:pPr>
        <w:pStyle w:val="TOC2"/>
        <w:tabs>
          <w:tab w:val="right" w:leader="dot" w:pos="7086"/>
        </w:tabs>
        <w:rPr>
          <w:b w:val="0"/>
          <w:sz w:val="24"/>
          <w:szCs w:val="24"/>
        </w:rPr>
      </w:pPr>
      <w:r>
        <w:rPr>
          <w:szCs w:val="28"/>
        </w:rPr>
        <w:t>Schedule — Areas within which this Act applies</w:t>
      </w:r>
    </w:p>
    <w:p>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_Toc278980823 \h </w:instrText>
      </w:r>
      <w:r>
        <w:fldChar w:fldCharType="separate"/>
      </w:r>
      <w:r>
        <w:t>26</w:t>
      </w:r>
      <w:r>
        <w:fldChar w:fldCharType="end"/>
      </w:r>
    </w:p>
    <w:p>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_Toc278980824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_Toc278980826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Painters’ Registration Act 1961</w:t>
      </w:r>
    </w:p>
    <w:p>
      <w:pPr>
        <w:pStyle w:val="LongTitle"/>
        <w:rPr>
          <w:snapToGrid w:val="0"/>
        </w:rPr>
      </w:pPr>
      <w:r>
        <w:rPr>
          <w:snapToGrid w:val="0"/>
        </w:rPr>
        <w:t>An Act to provide for the registration of painters and for other purposes.</w:t>
      </w:r>
    </w:p>
    <w:p>
      <w:pPr>
        <w:pStyle w:val="Heading5"/>
        <w:spacing w:before="600"/>
        <w:rPr>
          <w:snapToGrid w:val="0"/>
        </w:rPr>
      </w:pPr>
      <w:bookmarkStart w:id="1" w:name="_Toc278980777"/>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278980778"/>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278980779"/>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278980780"/>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278980781"/>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278980782"/>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278980783"/>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278980784"/>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9" w:name="_Toc278980785"/>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278980786"/>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pPr>
        <w:pStyle w:val="Footnotesection"/>
      </w:pPr>
      <w:r>
        <w:tab/>
        <w:t>[Section 8 inserted by No. 33 of 1983 s. 7; amended by No. 39 of 2010 s. 89.]</w:t>
      </w:r>
    </w:p>
    <w:p>
      <w:pPr>
        <w:pStyle w:val="Heading5"/>
        <w:rPr>
          <w:snapToGrid w:val="0"/>
        </w:rPr>
      </w:pPr>
      <w:bookmarkStart w:id="11" w:name="_Toc278980787"/>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278980788"/>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278980789"/>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278980790"/>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15" w:name="_Toc278980791"/>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278980792"/>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278980793"/>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278980794"/>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278980795"/>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278980796"/>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21" w:name="_Toc278980797"/>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278980798"/>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278980799"/>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278980800"/>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278980801"/>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278980802"/>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278980803"/>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278980804"/>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278980805"/>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30" w:name="_Toc278980806"/>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278980807"/>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278980808"/>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278980809"/>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278980810"/>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278980811"/>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278980812"/>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278980813"/>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278980814"/>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278980815"/>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278980816"/>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278980817"/>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278980818"/>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278980819"/>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278980820"/>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278980821"/>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bookmarkStart w:id="56" w:name="_Toc274303564"/>
      <w:bookmarkStart w:id="57" w:name="_Toc278980822"/>
      <w:r>
        <w:rPr>
          <w:rStyle w:val="CharSchNo"/>
        </w:rPr>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bookmarkEnd w:id="56"/>
      <w:bookmarkEnd w:id="57"/>
    </w:p>
    <w:p>
      <w:pPr>
        <w:pStyle w:val="yShoulderClause"/>
        <w:rPr>
          <w:snapToGrid w:val="0"/>
        </w:rPr>
      </w:pPr>
      <w:r>
        <w:rPr>
          <w:snapToGrid w:val="0"/>
        </w:rPr>
        <w:t>[s. 3]</w:t>
      </w:r>
    </w:p>
    <w:p>
      <w:pPr>
        <w:pStyle w:val="yFootnoteheading"/>
        <w:rPr>
          <w:snapToGrid w:val="0"/>
        </w:rPr>
      </w:pPr>
      <w:r>
        <w:tab/>
        <w:t>[Heading amended by No. 19 of 2010 s. 4.]</w:t>
      </w:r>
    </w:p>
    <w:p>
      <w:pPr>
        <w:pStyle w:val="yHeading5"/>
        <w:rPr>
          <w:snapToGrid w:val="0"/>
        </w:rPr>
      </w:pPr>
      <w:bookmarkStart w:id="58" w:name="_Toc278980823"/>
      <w:r>
        <w:rPr>
          <w:snapToGrid w:val="0"/>
        </w:rPr>
        <w:t>1.</w:t>
      </w:r>
      <w:r>
        <w:rPr>
          <w:snapToGrid w:val="0"/>
        </w:rPr>
        <w:tab/>
      </w:r>
      <w:r>
        <w:rPr>
          <w:i/>
          <w:iCs/>
          <w:snapToGrid w:val="0"/>
        </w:rPr>
        <w:t>The Metropolitan area</w:t>
      </w:r>
      <w:bookmarkEnd w:id="58"/>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9" w:name="_Toc278980824"/>
      <w:r>
        <w:rPr>
          <w:snapToGrid w:val="0"/>
        </w:rPr>
        <w:t>2.</w:t>
      </w:r>
      <w:r>
        <w:rPr>
          <w:snapToGrid w:val="0"/>
        </w:rPr>
        <w:tab/>
      </w:r>
      <w:r>
        <w:rPr>
          <w:i/>
          <w:iCs/>
          <w:snapToGrid w:val="0"/>
        </w:rPr>
        <w:t>Mandurah</w:t>
      </w:r>
      <w:bookmarkEnd w:id="59"/>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0" w:name="UpToHere"/>
      <w:bookmarkStart w:id="61" w:name="_Toc191178959"/>
      <w:bookmarkStart w:id="62" w:name="_Toc191778561"/>
      <w:bookmarkStart w:id="63" w:name="_Toc192560783"/>
      <w:bookmarkStart w:id="64" w:name="_Toc196802362"/>
      <w:bookmarkStart w:id="65" w:name="_Toc232398023"/>
      <w:bookmarkStart w:id="66" w:name="_Toc241055051"/>
      <w:bookmarkStart w:id="67" w:name="_Toc241055155"/>
      <w:bookmarkStart w:id="68" w:name="_Toc268184756"/>
      <w:bookmarkStart w:id="69" w:name="_Toc268682545"/>
      <w:bookmarkStart w:id="70" w:name="_Toc272240560"/>
      <w:bookmarkStart w:id="71" w:name="_Toc274303567"/>
      <w:bookmarkStart w:id="72" w:name="_Toc278980825"/>
      <w:bookmarkEnd w:id="60"/>
      <w:r>
        <w:t>Notes</w:t>
      </w:r>
      <w:bookmarkEnd w:id="61"/>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w:t>
      </w:r>
      <w:r>
        <w:rPr>
          <w:snapToGrid w:val="0"/>
          <w:vertAlign w:val="superscript"/>
        </w:rPr>
        <w:t xml:space="preserve"> 6</w:t>
      </w:r>
      <w:r>
        <w:rPr>
          <w:snapToGrid w:val="0"/>
        </w:rPr>
        <w:t>.  The table also contains information about any reprint.</w:t>
      </w:r>
    </w:p>
    <w:p>
      <w:pPr>
        <w:pStyle w:val="nHeading3"/>
        <w:rPr>
          <w:snapToGrid w:val="0"/>
        </w:rPr>
      </w:pPr>
      <w:bookmarkStart w:id="73" w:name="_Toc278980826"/>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70"/>
              <w:rPr>
                <w:sz w:val="19"/>
              </w:rPr>
            </w:pPr>
            <w:r>
              <w:rPr>
                <w:i/>
                <w:sz w:val="19"/>
              </w:rPr>
              <w:t>Painters’ Registration Act 1961</w:t>
            </w:r>
          </w:p>
        </w:tc>
        <w:tc>
          <w:tcPr>
            <w:tcW w:w="1139" w:type="dxa"/>
          </w:tcPr>
          <w:p>
            <w:pPr>
              <w:pStyle w:val="nTable"/>
              <w:spacing w:after="40"/>
              <w:rPr>
                <w:sz w:val="19"/>
              </w:rPr>
            </w:pPr>
            <w:r>
              <w:rPr>
                <w:sz w:val="19"/>
              </w:rPr>
              <w:t>61 of 1961</w:t>
            </w:r>
            <w:r>
              <w:rPr>
                <w:sz w:val="19"/>
              </w:rPr>
              <w:br/>
              <w:t>(10 Eliz. II No. 61)</w:t>
            </w:r>
          </w:p>
        </w:tc>
        <w:tc>
          <w:tcPr>
            <w:tcW w:w="1136" w:type="dxa"/>
          </w:tcPr>
          <w:p>
            <w:pPr>
              <w:pStyle w:val="nTable"/>
              <w:spacing w:after="40"/>
              <w:rPr>
                <w:sz w:val="19"/>
              </w:rPr>
            </w:pPr>
            <w:r>
              <w:rPr>
                <w:sz w:val="19"/>
              </w:rPr>
              <w:t>28 Nov 1961</w:t>
            </w:r>
          </w:p>
        </w:tc>
        <w:tc>
          <w:tcPr>
            <w:tcW w:w="2571" w:type="dxa"/>
            <w:gridSpan w:val="2"/>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74" w:type="dxa"/>
          </w:tcPr>
          <w:p>
            <w:pPr>
              <w:pStyle w:val="nTable"/>
              <w:spacing w:after="40"/>
              <w:ind w:right="170"/>
              <w:rPr>
                <w:sz w:val="19"/>
              </w:rPr>
            </w:pPr>
            <w:r>
              <w:rPr>
                <w:i/>
                <w:sz w:val="19"/>
              </w:rPr>
              <w:t>Painters’ Registration Act Amendment Act 1962</w:t>
            </w:r>
          </w:p>
        </w:tc>
        <w:tc>
          <w:tcPr>
            <w:tcW w:w="1139" w:type="dxa"/>
          </w:tcPr>
          <w:p>
            <w:pPr>
              <w:pStyle w:val="nTable"/>
              <w:spacing w:after="40"/>
              <w:rPr>
                <w:sz w:val="19"/>
              </w:rPr>
            </w:pPr>
            <w:r>
              <w:rPr>
                <w:sz w:val="19"/>
              </w:rPr>
              <w:t>42 of 1962</w:t>
            </w:r>
            <w:r>
              <w:rPr>
                <w:sz w:val="19"/>
              </w:rPr>
              <w:br/>
              <w:t>(11 Eliz. II No. 42)</w:t>
            </w:r>
          </w:p>
        </w:tc>
        <w:tc>
          <w:tcPr>
            <w:tcW w:w="1136" w:type="dxa"/>
          </w:tcPr>
          <w:p>
            <w:pPr>
              <w:pStyle w:val="nTable"/>
              <w:spacing w:after="40"/>
              <w:rPr>
                <w:sz w:val="19"/>
              </w:rPr>
            </w:pPr>
            <w:r>
              <w:rPr>
                <w:sz w:val="19"/>
              </w:rPr>
              <w:t>1 Nov 1962</w:t>
            </w:r>
          </w:p>
        </w:tc>
        <w:tc>
          <w:tcPr>
            <w:tcW w:w="2571" w:type="dxa"/>
            <w:gridSpan w:val="2"/>
          </w:tcPr>
          <w:p>
            <w:pPr>
              <w:pStyle w:val="nTable"/>
              <w:spacing w:after="40"/>
              <w:rPr>
                <w:sz w:val="19"/>
              </w:rPr>
            </w:pPr>
            <w:r>
              <w:rPr>
                <w:sz w:val="19"/>
              </w:rPr>
              <w:t>1 Jan 1963 (see s. 2)</w:t>
            </w:r>
          </w:p>
        </w:tc>
      </w:tr>
      <w:tr>
        <w:trPr>
          <w:cantSplit/>
        </w:trPr>
        <w:tc>
          <w:tcPr>
            <w:tcW w:w="2274" w:type="dxa"/>
          </w:tcPr>
          <w:p>
            <w:pPr>
              <w:pStyle w:val="nTable"/>
              <w:spacing w:after="40"/>
              <w:ind w:right="170"/>
              <w:rPr>
                <w:sz w:val="19"/>
              </w:rPr>
            </w:pPr>
            <w:r>
              <w:rPr>
                <w:i/>
                <w:sz w:val="19"/>
              </w:rPr>
              <w:t>Painters’ Registration Act Amendment Act 1963</w:t>
            </w:r>
          </w:p>
        </w:tc>
        <w:tc>
          <w:tcPr>
            <w:tcW w:w="1139" w:type="dxa"/>
          </w:tcPr>
          <w:p>
            <w:pPr>
              <w:pStyle w:val="nTable"/>
              <w:spacing w:after="40"/>
              <w:rPr>
                <w:sz w:val="19"/>
              </w:rPr>
            </w:pPr>
            <w:r>
              <w:rPr>
                <w:sz w:val="19"/>
              </w:rPr>
              <w:t>35 of 1963</w:t>
            </w:r>
            <w:r>
              <w:rPr>
                <w:sz w:val="19"/>
              </w:rPr>
              <w:br/>
              <w:t>(12 Eliz. II No. 35)</w:t>
            </w:r>
          </w:p>
        </w:tc>
        <w:tc>
          <w:tcPr>
            <w:tcW w:w="1136" w:type="dxa"/>
          </w:tcPr>
          <w:p>
            <w:pPr>
              <w:pStyle w:val="nTable"/>
              <w:spacing w:after="40"/>
              <w:rPr>
                <w:sz w:val="19"/>
              </w:rPr>
            </w:pPr>
            <w:r>
              <w:rPr>
                <w:sz w:val="19"/>
              </w:rPr>
              <w:t>19 Nov 1963</w:t>
            </w:r>
          </w:p>
        </w:tc>
        <w:tc>
          <w:tcPr>
            <w:tcW w:w="2571" w:type="dxa"/>
            <w:gridSpan w:val="2"/>
          </w:tcPr>
          <w:p>
            <w:pPr>
              <w:pStyle w:val="nTable"/>
              <w:spacing w:after="40"/>
              <w:rPr>
                <w:sz w:val="19"/>
              </w:rPr>
            </w:pPr>
            <w:r>
              <w:rPr>
                <w:sz w:val="19"/>
              </w:rPr>
              <w:t>19 Nov 1963</w:t>
            </w:r>
          </w:p>
        </w:tc>
      </w:tr>
      <w:tr>
        <w:trPr>
          <w:cantSplit/>
        </w:trPr>
        <w:tc>
          <w:tcPr>
            <w:tcW w:w="2274" w:type="dxa"/>
          </w:tcPr>
          <w:p>
            <w:pPr>
              <w:pStyle w:val="nTable"/>
              <w:spacing w:after="40"/>
              <w:ind w:right="170"/>
              <w:rPr>
                <w:sz w:val="19"/>
              </w:rPr>
            </w:pPr>
            <w:r>
              <w:rPr>
                <w:i/>
                <w:sz w:val="19"/>
              </w:rPr>
              <w:t>Painters’ Registration Act Amendment Act 1965</w:t>
            </w:r>
          </w:p>
        </w:tc>
        <w:tc>
          <w:tcPr>
            <w:tcW w:w="1139" w:type="dxa"/>
          </w:tcPr>
          <w:p>
            <w:pPr>
              <w:pStyle w:val="nTable"/>
              <w:spacing w:after="40"/>
              <w:rPr>
                <w:sz w:val="19"/>
              </w:rPr>
            </w:pPr>
            <w:r>
              <w:rPr>
                <w:sz w:val="19"/>
              </w:rPr>
              <w:t>75 of 1965</w:t>
            </w:r>
          </w:p>
        </w:tc>
        <w:tc>
          <w:tcPr>
            <w:tcW w:w="1136" w:type="dxa"/>
          </w:tcPr>
          <w:p>
            <w:pPr>
              <w:pStyle w:val="nTable"/>
              <w:spacing w:after="40"/>
              <w:rPr>
                <w:sz w:val="19"/>
              </w:rPr>
            </w:pPr>
            <w:r>
              <w:rPr>
                <w:sz w:val="19"/>
              </w:rPr>
              <w:t>25 Nov 1965</w:t>
            </w:r>
          </w:p>
        </w:tc>
        <w:tc>
          <w:tcPr>
            <w:tcW w:w="2571" w:type="dxa"/>
            <w:gridSpan w:val="2"/>
          </w:tcPr>
          <w:p>
            <w:pPr>
              <w:pStyle w:val="nTable"/>
              <w:spacing w:after="40"/>
              <w:rPr>
                <w:sz w:val="19"/>
              </w:rPr>
            </w:pPr>
            <w:r>
              <w:rPr>
                <w:sz w:val="19"/>
              </w:rPr>
              <w:t>25 Nov 1965</w:t>
            </w:r>
          </w:p>
        </w:tc>
      </w:tr>
      <w:tr>
        <w:trPr>
          <w:cantSplit/>
        </w:trPr>
        <w:tc>
          <w:tcPr>
            <w:tcW w:w="2274" w:type="dxa"/>
          </w:tcPr>
          <w:p>
            <w:pPr>
              <w:pStyle w:val="nTable"/>
              <w:spacing w:after="40"/>
              <w:ind w:right="17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1"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4" w:type="dxa"/>
          </w:tcPr>
          <w:p>
            <w:pPr>
              <w:pStyle w:val="nTable"/>
              <w:spacing w:after="40"/>
              <w:ind w:right="170"/>
              <w:rPr>
                <w:sz w:val="19"/>
              </w:rPr>
            </w:pPr>
            <w:r>
              <w:rPr>
                <w:i/>
                <w:sz w:val="19"/>
              </w:rPr>
              <w:t>Painters’ Registration Act Amendment Act 1966</w:t>
            </w:r>
          </w:p>
        </w:tc>
        <w:tc>
          <w:tcPr>
            <w:tcW w:w="1139" w:type="dxa"/>
          </w:tcPr>
          <w:p>
            <w:pPr>
              <w:pStyle w:val="nTable"/>
              <w:spacing w:after="40"/>
              <w:rPr>
                <w:sz w:val="19"/>
              </w:rPr>
            </w:pPr>
            <w:r>
              <w:rPr>
                <w:sz w:val="19"/>
              </w:rPr>
              <w:t>6 of 1966</w:t>
            </w:r>
          </w:p>
        </w:tc>
        <w:tc>
          <w:tcPr>
            <w:tcW w:w="1136" w:type="dxa"/>
          </w:tcPr>
          <w:p>
            <w:pPr>
              <w:pStyle w:val="nTable"/>
              <w:spacing w:after="40"/>
              <w:rPr>
                <w:sz w:val="19"/>
              </w:rPr>
            </w:pPr>
            <w:r>
              <w:rPr>
                <w:sz w:val="19"/>
              </w:rPr>
              <w:t>16 Sep 1966</w:t>
            </w:r>
          </w:p>
        </w:tc>
        <w:tc>
          <w:tcPr>
            <w:tcW w:w="2571" w:type="dxa"/>
            <w:gridSpan w:val="2"/>
          </w:tcPr>
          <w:p>
            <w:pPr>
              <w:pStyle w:val="nTable"/>
              <w:spacing w:after="40"/>
              <w:rPr>
                <w:sz w:val="19"/>
              </w:rPr>
            </w:pPr>
            <w:r>
              <w:rPr>
                <w:sz w:val="19"/>
              </w:rPr>
              <w:t>16 Sep 1966</w:t>
            </w:r>
          </w:p>
        </w:tc>
      </w:tr>
      <w:tr>
        <w:trPr>
          <w:cantSplit/>
        </w:trPr>
        <w:tc>
          <w:tcPr>
            <w:tcW w:w="2274" w:type="dxa"/>
          </w:tcPr>
          <w:p>
            <w:pPr>
              <w:pStyle w:val="nTable"/>
              <w:spacing w:after="40"/>
              <w:ind w:right="170"/>
              <w:rPr>
                <w:sz w:val="19"/>
              </w:rPr>
            </w:pPr>
            <w:r>
              <w:rPr>
                <w:i/>
                <w:sz w:val="19"/>
              </w:rPr>
              <w:t>Painters’ Registration Act Amendment Act 1970</w:t>
            </w:r>
          </w:p>
        </w:tc>
        <w:tc>
          <w:tcPr>
            <w:tcW w:w="1139" w:type="dxa"/>
          </w:tcPr>
          <w:p>
            <w:pPr>
              <w:pStyle w:val="nTable"/>
              <w:spacing w:after="40"/>
              <w:rPr>
                <w:sz w:val="19"/>
              </w:rPr>
            </w:pPr>
            <w:r>
              <w:rPr>
                <w:sz w:val="19"/>
              </w:rPr>
              <w:t>59 of 1970</w:t>
            </w:r>
          </w:p>
        </w:tc>
        <w:tc>
          <w:tcPr>
            <w:tcW w:w="1136" w:type="dxa"/>
          </w:tcPr>
          <w:p>
            <w:pPr>
              <w:pStyle w:val="nTable"/>
              <w:spacing w:after="40"/>
              <w:rPr>
                <w:sz w:val="19"/>
              </w:rPr>
            </w:pPr>
            <w:r>
              <w:rPr>
                <w:sz w:val="19"/>
              </w:rPr>
              <w:t>5 Nov 1970</w:t>
            </w:r>
          </w:p>
        </w:tc>
        <w:tc>
          <w:tcPr>
            <w:tcW w:w="2571" w:type="dxa"/>
            <w:gridSpan w:val="2"/>
          </w:tcPr>
          <w:p>
            <w:pPr>
              <w:pStyle w:val="nTable"/>
              <w:spacing w:after="40"/>
              <w:rPr>
                <w:sz w:val="19"/>
              </w:rPr>
            </w:pPr>
            <w:r>
              <w:rPr>
                <w:sz w:val="19"/>
              </w:rPr>
              <w:t>5 Nov 1970</w:t>
            </w:r>
          </w:p>
        </w:tc>
      </w:tr>
      <w:tr>
        <w:trPr>
          <w:cantSplit/>
        </w:trPr>
        <w:tc>
          <w:tcPr>
            <w:tcW w:w="2274" w:type="dxa"/>
          </w:tcPr>
          <w:p>
            <w:pPr>
              <w:pStyle w:val="nTable"/>
              <w:spacing w:after="40"/>
              <w:ind w:right="170"/>
              <w:rPr>
                <w:sz w:val="19"/>
              </w:rPr>
            </w:pPr>
            <w:r>
              <w:rPr>
                <w:i/>
                <w:sz w:val="19"/>
              </w:rPr>
              <w:t>Painters’ Registration Act Amendment Act 1974</w:t>
            </w:r>
          </w:p>
        </w:tc>
        <w:tc>
          <w:tcPr>
            <w:tcW w:w="1139" w:type="dxa"/>
          </w:tcPr>
          <w:p>
            <w:pPr>
              <w:pStyle w:val="nTable"/>
              <w:spacing w:after="40"/>
              <w:rPr>
                <w:sz w:val="19"/>
              </w:rPr>
            </w:pPr>
            <w:r>
              <w:rPr>
                <w:sz w:val="19"/>
              </w:rPr>
              <w:t>68 of 1974</w:t>
            </w:r>
          </w:p>
        </w:tc>
        <w:tc>
          <w:tcPr>
            <w:tcW w:w="1136" w:type="dxa"/>
          </w:tcPr>
          <w:p>
            <w:pPr>
              <w:pStyle w:val="nTable"/>
              <w:spacing w:after="40"/>
              <w:rPr>
                <w:sz w:val="19"/>
              </w:rPr>
            </w:pPr>
            <w:r>
              <w:rPr>
                <w:sz w:val="19"/>
              </w:rPr>
              <w:t>9 Dec 1974</w:t>
            </w:r>
          </w:p>
        </w:tc>
        <w:tc>
          <w:tcPr>
            <w:tcW w:w="2571" w:type="dxa"/>
            <w:gridSpan w:val="2"/>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74" w:type="dxa"/>
          </w:tcPr>
          <w:p>
            <w:pPr>
              <w:pStyle w:val="nTable"/>
              <w:spacing w:after="40"/>
              <w:ind w:right="170"/>
              <w:rPr>
                <w:sz w:val="19"/>
              </w:rPr>
            </w:pPr>
            <w:r>
              <w:rPr>
                <w:i/>
                <w:sz w:val="19"/>
              </w:rPr>
              <w:t>Painters’ Registration Act Amendment Act 1976</w:t>
            </w:r>
          </w:p>
        </w:tc>
        <w:tc>
          <w:tcPr>
            <w:tcW w:w="1139" w:type="dxa"/>
          </w:tcPr>
          <w:p>
            <w:pPr>
              <w:pStyle w:val="nTable"/>
              <w:spacing w:after="40"/>
              <w:rPr>
                <w:sz w:val="19"/>
              </w:rPr>
            </w:pPr>
            <w:r>
              <w:rPr>
                <w:sz w:val="19"/>
              </w:rPr>
              <w:t>78 of 1976</w:t>
            </w:r>
          </w:p>
        </w:tc>
        <w:tc>
          <w:tcPr>
            <w:tcW w:w="1136" w:type="dxa"/>
          </w:tcPr>
          <w:p>
            <w:pPr>
              <w:pStyle w:val="nTable"/>
              <w:spacing w:after="40"/>
              <w:rPr>
                <w:sz w:val="19"/>
              </w:rPr>
            </w:pPr>
            <w:r>
              <w:rPr>
                <w:sz w:val="19"/>
              </w:rPr>
              <w:t>18 Oct 1976</w:t>
            </w:r>
          </w:p>
        </w:tc>
        <w:tc>
          <w:tcPr>
            <w:tcW w:w="2571" w:type="dxa"/>
            <w:gridSpan w:val="2"/>
          </w:tcPr>
          <w:p>
            <w:pPr>
              <w:pStyle w:val="nTable"/>
              <w:spacing w:after="40"/>
              <w:rPr>
                <w:sz w:val="19"/>
              </w:rPr>
            </w:pPr>
            <w:r>
              <w:rPr>
                <w:sz w:val="19"/>
              </w:rPr>
              <w:t>18 Oct 1976</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74"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pPr>
              <w:pStyle w:val="nTable"/>
              <w:spacing w:after="40"/>
              <w:rPr>
                <w:sz w:val="19"/>
              </w:rPr>
            </w:pPr>
            <w:r>
              <w:rPr>
                <w:sz w:val="19"/>
              </w:rPr>
              <w:t>33 of 1983</w:t>
            </w:r>
          </w:p>
        </w:tc>
        <w:tc>
          <w:tcPr>
            <w:tcW w:w="1136" w:type="dxa"/>
          </w:tcPr>
          <w:p>
            <w:pPr>
              <w:pStyle w:val="nTable"/>
              <w:spacing w:after="40"/>
              <w:rPr>
                <w:sz w:val="19"/>
              </w:rPr>
            </w:pPr>
            <w:r>
              <w:rPr>
                <w:sz w:val="19"/>
              </w:rPr>
              <w:t>1 Dec 1983</w:t>
            </w:r>
          </w:p>
        </w:tc>
        <w:tc>
          <w:tcPr>
            <w:tcW w:w="2571" w:type="dxa"/>
            <w:gridSpan w:val="2"/>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74"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pPr>
              <w:pStyle w:val="nTable"/>
              <w:spacing w:after="40"/>
              <w:rPr>
                <w:sz w:val="19"/>
              </w:rPr>
            </w:pPr>
            <w:r>
              <w:rPr>
                <w:sz w:val="19"/>
              </w:rPr>
              <w:t>77 of 1987</w:t>
            </w:r>
          </w:p>
        </w:tc>
        <w:tc>
          <w:tcPr>
            <w:tcW w:w="1136" w:type="dxa"/>
          </w:tcPr>
          <w:p>
            <w:pPr>
              <w:pStyle w:val="nTable"/>
              <w:spacing w:after="40"/>
              <w:rPr>
                <w:sz w:val="19"/>
              </w:rPr>
            </w:pPr>
            <w:r>
              <w:rPr>
                <w:sz w:val="19"/>
              </w:rPr>
              <w:t>26 Nov 1987</w:t>
            </w:r>
          </w:p>
        </w:tc>
        <w:tc>
          <w:tcPr>
            <w:tcW w:w="2571" w:type="dxa"/>
            <w:gridSpan w:val="2"/>
          </w:tcPr>
          <w:p>
            <w:pPr>
              <w:pStyle w:val="nTable"/>
              <w:spacing w:after="40"/>
              <w:rPr>
                <w:sz w:val="19"/>
              </w:rPr>
            </w:pPr>
            <w:r>
              <w:rPr>
                <w:sz w:val="19"/>
              </w:rPr>
              <w:t>1 Jan 1988 (see s. 2)</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49"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pPr>
              <w:pStyle w:val="nTable"/>
              <w:spacing w:after="40"/>
              <w:rPr>
                <w:sz w:val="19"/>
              </w:rPr>
            </w:pPr>
            <w:r>
              <w:rPr>
                <w:sz w:val="19"/>
              </w:rPr>
              <w:t>5 Jan 1993</w:t>
            </w:r>
          </w:p>
        </w:tc>
      </w:tr>
      <w:tr>
        <w:trPr>
          <w:cantSplit/>
        </w:trPr>
        <w:tc>
          <w:tcPr>
            <w:tcW w:w="4549"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pPr>
              <w:pStyle w:val="nTable"/>
              <w:spacing w:after="40"/>
              <w:rPr>
                <w:sz w:val="19"/>
              </w:rPr>
            </w:pPr>
            <w:r>
              <w:rPr>
                <w:sz w:val="19"/>
              </w:rPr>
              <w:t>25 Mar 1994</w:t>
            </w:r>
          </w:p>
        </w:tc>
      </w:tr>
      <w:tr>
        <w:trPr>
          <w:cantSplit/>
        </w:trPr>
        <w:tc>
          <w:tcPr>
            <w:tcW w:w="4549"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pPr>
              <w:pStyle w:val="nTable"/>
              <w:spacing w:after="40"/>
              <w:rPr>
                <w:sz w:val="19"/>
              </w:rPr>
            </w:pPr>
            <w:r>
              <w:rPr>
                <w:sz w:val="19"/>
              </w:rPr>
              <w:t>20 May 1994</w:t>
            </w:r>
          </w:p>
        </w:tc>
      </w:tr>
      <w:tr>
        <w:trPr>
          <w:cantSplit/>
        </w:trPr>
        <w:tc>
          <w:tcPr>
            <w:tcW w:w="4549"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pPr>
              <w:pStyle w:val="nTable"/>
              <w:spacing w:after="40"/>
              <w:rPr>
                <w:sz w:val="19"/>
              </w:rPr>
            </w:pPr>
            <w:r>
              <w:rPr>
                <w:sz w:val="19"/>
              </w:rPr>
              <w:t>1 Feb 1995 (see r. 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4" w:type="dxa"/>
          </w:tcPr>
          <w:p>
            <w:pPr>
              <w:pStyle w:val="nTable"/>
              <w:spacing w:after="40"/>
              <w:ind w:right="170"/>
              <w:rPr>
                <w:sz w:val="19"/>
              </w:rPr>
            </w:pPr>
            <w:r>
              <w:rPr>
                <w:i/>
                <w:sz w:val="19"/>
              </w:rPr>
              <w:t>Transfer of Land Amendment Act 1996</w:t>
            </w:r>
            <w:r>
              <w:rPr>
                <w:sz w:val="19"/>
              </w:rPr>
              <w:t xml:space="preserve"> s. 153(3)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w:t>
            </w:r>
          </w:p>
        </w:tc>
      </w:tr>
      <w:tr>
        <w:trPr>
          <w:cantSplit/>
        </w:trPr>
        <w:tc>
          <w:tcPr>
            <w:tcW w:w="2274" w:type="dxa"/>
          </w:tcPr>
          <w:p>
            <w:pPr>
              <w:pStyle w:val="nTable"/>
              <w:spacing w:after="40"/>
              <w:ind w:right="170"/>
              <w:rPr>
                <w:sz w:val="19"/>
              </w:rPr>
            </w:pPr>
            <w:r>
              <w:rPr>
                <w:i/>
                <w:sz w:val="19"/>
              </w:rPr>
              <w:t>Acts Amendment (Land Administration) Act 1997</w:t>
            </w:r>
            <w:r>
              <w:rPr>
                <w:sz w:val="19"/>
              </w:rPr>
              <w:t xml:space="preserve"> Pt. 47</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120" w:type="dxa"/>
            <w:gridSpan w:val="5"/>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74"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pPr>
              <w:pStyle w:val="nTable"/>
              <w:spacing w:after="40"/>
              <w:rPr>
                <w:sz w:val="19"/>
              </w:rPr>
            </w:pPr>
            <w:r>
              <w:rPr>
                <w:rFonts w:ascii="Times" w:hAnsi="Times"/>
                <w:sz w:val="19"/>
              </w:rPr>
              <w:t>55 of 2004</w:t>
            </w:r>
          </w:p>
        </w:tc>
        <w:tc>
          <w:tcPr>
            <w:tcW w:w="1136" w:type="dxa"/>
          </w:tcPr>
          <w:p>
            <w:pPr>
              <w:pStyle w:val="nTable"/>
              <w:spacing w:after="40"/>
              <w:rPr>
                <w:sz w:val="19"/>
              </w:rPr>
            </w:pPr>
            <w:r>
              <w:rPr>
                <w:rFonts w:ascii="Times" w:hAnsi="Times"/>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71"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120" w:type="dxa"/>
            <w:gridSpan w:val="5"/>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74"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napToGrid w:val="0"/>
                <w:sz w:val="19"/>
                <w:lang w:val="en-US"/>
              </w:rPr>
              <w:t>10 Dec 2008</w:t>
            </w:r>
          </w:p>
        </w:tc>
        <w:tc>
          <w:tcPr>
            <w:tcW w:w="257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Footnote no longer applicable.</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rPr>
          <w:sz w:val="28"/>
        </w:rPr>
      </w:pPr>
      <w:bookmarkStart w:id="74" w:name="_Toc191178962"/>
      <w:bookmarkStart w:id="75" w:name="_Toc191778564"/>
      <w:bookmarkStart w:id="76" w:name="_Toc192560786"/>
      <w:bookmarkStart w:id="77" w:name="_Toc196802364"/>
      <w:bookmarkStart w:id="78" w:name="_Toc232398025"/>
      <w:bookmarkStart w:id="79" w:name="_Toc241055053"/>
      <w:bookmarkStart w:id="80" w:name="_Toc241055157"/>
      <w:bookmarkStart w:id="81" w:name="_Toc268184758"/>
      <w:bookmarkStart w:id="82" w:name="_Toc268682547"/>
      <w:bookmarkStart w:id="83" w:name="_Toc272240562"/>
      <w:bookmarkStart w:id="84" w:name="_Toc274303570"/>
      <w:bookmarkStart w:id="85" w:name="_Toc278980827"/>
      <w:r>
        <w:rPr>
          <w:sz w:val="28"/>
        </w:rPr>
        <w:t>Defined Terms</w:t>
      </w:r>
      <w:bookmarkEnd w:id="74"/>
      <w:bookmarkEnd w:id="75"/>
      <w:bookmarkEnd w:id="76"/>
      <w:bookmarkEnd w:id="77"/>
      <w:bookmarkEnd w:id="78"/>
      <w:bookmarkEnd w:id="79"/>
      <w:bookmarkEnd w:id="80"/>
      <w:bookmarkEnd w:id="81"/>
      <w:bookmarkEnd w:id="82"/>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 w:name="DefinedTerms"/>
      <w:bookmarkEnd w:id="86"/>
      <w:r>
        <w:t>Association</w:t>
      </w:r>
      <w:r>
        <w:tab/>
        <w:t>2</w:t>
      </w:r>
    </w:p>
    <w:p>
      <w:pPr>
        <w:pStyle w:val="DefinedTerms"/>
      </w:pPr>
      <w:r>
        <w:t>building or other structure</w:t>
      </w:r>
      <w:r>
        <w:tab/>
        <w:t>16D(4)</w:t>
      </w:r>
    </w:p>
    <w:p>
      <w:pPr>
        <w:pStyle w:val="DefinedTerms"/>
      </w:pPr>
      <w:r>
        <w:t>Minister</w:t>
      </w:r>
      <w:r>
        <w:tab/>
        <w:t>2</w:t>
      </w:r>
    </w:p>
    <w:p>
      <w:pPr>
        <w:pStyle w:val="DefinedTerms"/>
      </w:pPr>
      <w:r>
        <w:t>painter</w:t>
      </w:r>
      <w:r>
        <w:tab/>
        <w:t>2</w:t>
      </w:r>
    </w:p>
    <w:p>
      <w:pPr>
        <w:pStyle w:val="DefinedTerms"/>
      </w:pPr>
      <w:r>
        <w:t>painting</w:t>
      </w:r>
      <w:r>
        <w:tab/>
        <w:t>2</w:t>
      </w:r>
    </w:p>
    <w:p>
      <w:pPr>
        <w:pStyle w:val="DefinedTerms"/>
      </w:pPr>
      <w:r>
        <w:t>penalties</w:t>
      </w:r>
      <w:r>
        <w:tab/>
        <w:t>22(4)</w:t>
      </w:r>
    </w:p>
    <w:p>
      <w:pPr>
        <w:pStyle w:val="DefinedTerms"/>
      </w:pPr>
      <w:r>
        <w:t>person aggrieved</w:t>
      </w:r>
      <w:r>
        <w:tab/>
        <w:t>18(2)</w:t>
      </w:r>
    </w:p>
    <w:p>
      <w:pPr>
        <w:pStyle w:val="DefinedTerms"/>
      </w:pPr>
      <w:r>
        <w:t>Register</w:t>
      </w:r>
      <w:r>
        <w:tab/>
        <w:t>2</w:t>
      </w:r>
    </w:p>
    <w:p>
      <w:pPr>
        <w:pStyle w:val="DefinedTerms"/>
      </w:pPr>
      <w:r>
        <w:t>registered painter</w:t>
      </w:r>
      <w:r>
        <w:tab/>
        <w:t>2</w:t>
      </w:r>
    </w:p>
    <w:p>
      <w:pPr>
        <w:pStyle w:val="DefinedTerms"/>
      </w:pPr>
      <w:r>
        <w:t>Registrar</w:t>
      </w:r>
      <w:r>
        <w:tab/>
        <w:t>2</w:t>
      </w:r>
    </w:p>
    <w:p>
      <w:pPr>
        <w:pStyle w:val="DefinedTerms"/>
      </w:pPr>
      <w:r>
        <w:t>reviewable decision</w:t>
      </w:r>
      <w:r>
        <w:tab/>
        <w:t>18(2)</w:t>
      </w:r>
    </w:p>
    <w:p>
      <w:pPr>
        <w:pStyle w:val="DefinedTerms"/>
      </w:pPr>
      <w:r>
        <w:t>the Board</w:t>
      </w:r>
      <w:r>
        <w:tab/>
        <w:t>2</w:t>
      </w:r>
    </w:p>
    <w:p>
      <w:pPr>
        <w:pStyle w:val="DefinedTerms"/>
      </w:pPr>
      <w:r>
        <w:t>the prescribed amount</w:t>
      </w:r>
      <w:r>
        <w:tab/>
        <w:t>4(4)</w:t>
      </w:r>
    </w:p>
    <w:p>
      <w:pPr>
        <w:pStyle w:val="DefinedTerms"/>
      </w:pPr>
      <w:r>
        <w:t>Union</w:t>
      </w:r>
      <w:r>
        <w:tab/>
        <w:t>2</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fldSimple w:instr=" styleref CharSchText ">
            <w:r>
              <w:rPr>
                <w:noProof/>
              </w:rPr>
              <w:t>Areas within which this Act applies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07"/>
    <w:docVar w:name="WAFER_20151208154007" w:val="RemoveTrackChanges"/>
    <w:docVar w:name="WAFER_20151208154007_GUID" w:val="1b78d8de-24e9-45c6-a971-1341556d0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9647</Words>
  <Characters>46019</Characters>
  <Application>Microsoft Office Word</Application>
  <DocSecurity>0</DocSecurity>
  <Lines>1243</Lines>
  <Paragraphs>605</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1961 - 04-l0-02</dc:title>
  <dc:subject/>
  <dc:creator/>
  <cp:keywords/>
  <dc:description/>
  <cp:lastModifiedBy>svcMRProcess</cp:lastModifiedBy>
  <cp:revision>4</cp:revision>
  <cp:lastPrinted>2008-02-26T00:40:00Z</cp:lastPrinted>
  <dcterms:created xsi:type="dcterms:W3CDTF">2015-12-11T15:30:00Z</dcterms:created>
  <dcterms:modified xsi:type="dcterms:W3CDTF">2015-12-11T15:30:00Z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566</vt:i4>
  </property>
  <property fmtid="{D5CDD505-2E9C-101B-9397-08002B2CF9AE}" pid="6" name="AsAtDate">
    <vt:lpwstr>01 Dec 2010</vt:lpwstr>
  </property>
  <property fmtid="{D5CDD505-2E9C-101B-9397-08002B2CF9AE}" pid="7" name="Suffix">
    <vt:lpwstr>04-l0-02</vt:lpwstr>
  </property>
  <property fmtid="{D5CDD505-2E9C-101B-9397-08002B2CF9AE}" pid="8" name="ReprintNo">
    <vt:lpwstr>4</vt:lpwstr>
  </property>
</Properties>
</file>