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Door to Door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Door to Door Trading Act 1987</w:t>
      </w:r>
      <w:r>
        <w:fldChar w:fldCharType="end"/>
      </w:r>
    </w:p>
    <w:p>
      <w:pPr>
        <w:pStyle w:val="Arrangement"/>
      </w:pPr>
      <w:r>
        <w:t>CONTENTS</w:t>
      </w:r>
    </w:p>
    <w:bookmarkStart w:id="1" w:name="UpToHere"/>
    <w:bookmarkEnd w:id="1"/>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_Toc280022771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_Toc280022772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_Toc280022773 \h </w:instrText>
      </w:r>
      <w:r>
        <w:fldChar w:fldCharType="separate"/>
      </w:r>
      <w:r>
        <w:t>2</w:t>
      </w:r>
      <w:r>
        <w:fldChar w:fldCharType="end"/>
      </w:r>
    </w:p>
    <w:p>
      <w:pPr>
        <w:pStyle w:val="TOC2"/>
        <w:tabs>
          <w:tab w:val="right" w:leader="dot" w:pos="7086"/>
        </w:tabs>
        <w:rPr>
          <w:b w:val="0"/>
          <w:sz w:val="24"/>
          <w:szCs w:val="24"/>
        </w:rPr>
      </w:pPr>
      <w:r>
        <w:rPr>
          <w:szCs w:val="30"/>
        </w:rPr>
        <w:t>Part II — Contracts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Contracts generally</w:t>
      </w:r>
    </w:p>
    <w:p>
      <w:pPr>
        <w:pStyle w:val="TOC8"/>
        <w:rPr>
          <w:sz w:val="24"/>
          <w:szCs w:val="24"/>
        </w:rPr>
      </w:pPr>
      <w:r>
        <w:rPr>
          <w:szCs w:val="24"/>
        </w:rPr>
        <w:t>4</w:t>
      </w:r>
      <w:r>
        <w:rPr>
          <w:snapToGrid w:val="0"/>
          <w:szCs w:val="24"/>
        </w:rPr>
        <w:t>.</w:t>
      </w:r>
      <w:r>
        <w:rPr>
          <w:snapToGrid w:val="0"/>
          <w:szCs w:val="24"/>
        </w:rPr>
        <w:tab/>
        <w:t>Criteria for determining whether contract is one to which this Act applies</w:t>
      </w:r>
      <w:r>
        <w:tab/>
      </w:r>
      <w:r>
        <w:fldChar w:fldCharType="begin"/>
      </w:r>
      <w:r>
        <w:instrText xml:space="preserve"> PAGEREF _Toc280022776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Certain contractual terms prohibited</w:t>
      </w:r>
      <w:r>
        <w:tab/>
      </w:r>
      <w:r>
        <w:fldChar w:fldCharType="begin"/>
      </w:r>
      <w:r>
        <w:instrText xml:space="preserve"> PAGEREF _Toc280022777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Prescribed contracts</w:t>
      </w:r>
    </w:p>
    <w:p>
      <w:pPr>
        <w:pStyle w:val="TOC8"/>
        <w:rPr>
          <w:sz w:val="24"/>
          <w:szCs w:val="24"/>
        </w:rPr>
      </w:pPr>
      <w:r>
        <w:rPr>
          <w:szCs w:val="24"/>
        </w:rPr>
        <w:t>6</w:t>
      </w:r>
      <w:r>
        <w:rPr>
          <w:snapToGrid w:val="0"/>
          <w:szCs w:val="24"/>
        </w:rPr>
        <w:t>.</w:t>
      </w:r>
      <w:r>
        <w:rPr>
          <w:snapToGrid w:val="0"/>
          <w:szCs w:val="24"/>
        </w:rPr>
        <w:tab/>
        <w:t>Definition of prescribed contract</w:t>
      </w:r>
      <w:r>
        <w:tab/>
      </w:r>
      <w:r>
        <w:fldChar w:fldCharType="begin"/>
      </w:r>
      <w:r>
        <w:instrText xml:space="preserve"> PAGEREF _Toc280022779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Requirements in relation to prescribed contracts</w:t>
      </w:r>
      <w:r>
        <w:tab/>
      </w:r>
      <w:r>
        <w:fldChar w:fldCharType="begin"/>
      </w:r>
      <w:r>
        <w:instrText xml:space="preserve"> PAGEREF _Toc280022780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Consideration not to be accepted from consumer nor services supplied before expiration of cooling</w:t>
      </w:r>
      <w:r>
        <w:rPr>
          <w:snapToGrid w:val="0"/>
          <w:szCs w:val="24"/>
        </w:rPr>
        <w:noBreakHyphen/>
        <w:t>off period</w:t>
      </w:r>
      <w:r>
        <w:tab/>
      </w:r>
      <w:r>
        <w:fldChar w:fldCharType="begin"/>
      </w:r>
      <w:r>
        <w:instrText xml:space="preserve"> PAGEREF _Toc280022781 \h </w:instrText>
      </w:r>
      <w:r>
        <w:fldChar w:fldCharType="separate"/>
      </w:r>
      <w:r>
        <w:t>10</w:t>
      </w:r>
      <w:r>
        <w:fldChar w:fldCharType="end"/>
      </w:r>
    </w:p>
    <w:p>
      <w:pPr>
        <w:pStyle w:val="TOC2"/>
        <w:tabs>
          <w:tab w:val="right" w:leader="dot" w:pos="7086"/>
        </w:tabs>
        <w:rPr>
          <w:b w:val="0"/>
          <w:sz w:val="24"/>
          <w:szCs w:val="24"/>
        </w:rPr>
      </w:pPr>
      <w:r>
        <w:rPr>
          <w:szCs w:val="30"/>
        </w:rPr>
        <w:t>Part III — Regulation of door to door trading practices</w:t>
      </w:r>
    </w:p>
    <w:p>
      <w:pPr>
        <w:pStyle w:val="TOC8"/>
        <w:rPr>
          <w:sz w:val="24"/>
          <w:szCs w:val="24"/>
        </w:rPr>
      </w:pPr>
      <w:r>
        <w:rPr>
          <w:szCs w:val="24"/>
        </w:rPr>
        <w:t>9</w:t>
      </w:r>
      <w:r>
        <w:rPr>
          <w:snapToGrid w:val="0"/>
          <w:szCs w:val="24"/>
        </w:rPr>
        <w:t>.</w:t>
      </w:r>
      <w:r>
        <w:rPr>
          <w:snapToGrid w:val="0"/>
          <w:szCs w:val="24"/>
        </w:rPr>
        <w:tab/>
        <w:t>Dealers not to call during certain hours</w:t>
      </w:r>
      <w:r>
        <w:tab/>
      </w:r>
      <w:r>
        <w:fldChar w:fldCharType="begin"/>
      </w:r>
      <w:r>
        <w:instrText xml:space="preserve"> PAGEREF _Toc280022783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Dealers to leave premises when so requested</w:t>
      </w:r>
      <w:r>
        <w:tab/>
      </w:r>
      <w:r>
        <w:fldChar w:fldCharType="begin"/>
      </w:r>
      <w:r>
        <w:instrText xml:space="preserve"> PAGEREF _Toc280022784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Dealers to indicate their purpose for making calls</w:t>
      </w:r>
      <w:r>
        <w:tab/>
      </w:r>
      <w:r>
        <w:fldChar w:fldCharType="begin"/>
      </w:r>
      <w:r>
        <w:instrText xml:space="preserve"> PAGEREF _Toc280022785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Offence to harass or coerce</w:t>
      </w:r>
      <w:r>
        <w:tab/>
      </w:r>
      <w:r>
        <w:fldChar w:fldCharType="begin"/>
      </w:r>
      <w:r>
        <w:instrText xml:space="preserve"> PAGEREF _Toc280022786 \h </w:instrText>
      </w:r>
      <w:r>
        <w:fldChar w:fldCharType="separate"/>
      </w:r>
      <w:r>
        <w:t>12</w:t>
      </w:r>
      <w:r>
        <w:fldChar w:fldCharType="end"/>
      </w:r>
    </w:p>
    <w:p>
      <w:pPr>
        <w:pStyle w:val="TOC2"/>
        <w:tabs>
          <w:tab w:val="right" w:leader="dot" w:pos="7086"/>
        </w:tabs>
        <w:rPr>
          <w:b w:val="0"/>
          <w:sz w:val="24"/>
          <w:szCs w:val="24"/>
        </w:rPr>
      </w:pPr>
      <w:r>
        <w:rPr>
          <w:szCs w:val="30"/>
        </w:rPr>
        <w:t>Part IV — Rescission of contracts to which this Act applies</w:t>
      </w:r>
    </w:p>
    <w:p>
      <w:pPr>
        <w:pStyle w:val="TOC8"/>
        <w:rPr>
          <w:sz w:val="24"/>
          <w:szCs w:val="24"/>
        </w:rPr>
      </w:pPr>
      <w:r>
        <w:rPr>
          <w:szCs w:val="24"/>
        </w:rPr>
        <w:t>13</w:t>
      </w:r>
      <w:r>
        <w:rPr>
          <w:snapToGrid w:val="0"/>
          <w:szCs w:val="24"/>
        </w:rPr>
        <w:t>.</w:t>
      </w:r>
      <w:r>
        <w:rPr>
          <w:snapToGrid w:val="0"/>
          <w:szCs w:val="24"/>
        </w:rPr>
        <w:tab/>
        <w:t>Right of consumer to rescind contracts to which this Act applies</w:t>
      </w:r>
      <w:r>
        <w:tab/>
      </w:r>
      <w:r>
        <w:fldChar w:fldCharType="begin"/>
      </w:r>
      <w:r>
        <w:instrText xml:space="preserve"> PAGEREF _Toc280022788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Exercise of right of rescission</w:t>
      </w:r>
      <w:r>
        <w:tab/>
      </w:r>
      <w:r>
        <w:fldChar w:fldCharType="begin"/>
      </w:r>
      <w:r>
        <w:instrText xml:space="preserve"> PAGEREF _Toc280022789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Restitution following rescission</w:t>
      </w:r>
      <w:r>
        <w:tab/>
      </w:r>
      <w:r>
        <w:fldChar w:fldCharType="begin"/>
      </w:r>
      <w:r>
        <w:instrText xml:space="preserve"> PAGEREF _Toc280022790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Related contract or instrument also void</w:t>
      </w:r>
      <w:r>
        <w:tab/>
      </w:r>
      <w:r>
        <w:fldChar w:fldCharType="begin"/>
      </w:r>
      <w:r>
        <w:instrText xml:space="preserve"> PAGEREF _Toc280022791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Consumers not competent to waive rights</w:t>
      </w:r>
      <w:r>
        <w:tab/>
      </w:r>
      <w:r>
        <w:fldChar w:fldCharType="begin"/>
      </w:r>
      <w:r>
        <w:instrText xml:space="preserve"> PAGEREF _Toc280022792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Prohibition of action to recover amount under contract in certain circumstances</w:t>
      </w:r>
      <w:r>
        <w:tab/>
      </w:r>
      <w:r>
        <w:fldChar w:fldCharType="begin"/>
      </w:r>
      <w:r>
        <w:instrText xml:space="preserve"> PAGEREF _Toc280022793 \h </w:instrText>
      </w:r>
      <w:r>
        <w:fldChar w:fldCharType="separate"/>
      </w:r>
      <w:r>
        <w:t>17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19</w:t>
      </w:r>
      <w:r>
        <w:rPr>
          <w:snapToGrid w:val="0"/>
          <w:szCs w:val="24"/>
        </w:rPr>
        <w:t>.</w:t>
      </w:r>
      <w:r>
        <w:rPr>
          <w:snapToGrid w:val="0"/>
          <w:szCs w:val="24"/>
        </w:rPr>
        <w:tab/>
        <w:t>Prohibition on securities hawking unaffected by this Act</w:t>
      </w:r>
      <w:r>
        <w:tab/>
      </w:r>
      <w:r>
        <w:fldChar w:fldCharType="begin"/>
      </w:r>
      <w:r>
        <w:instrText xml:space="preserve"> PAGEREF _Toc280022795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Vicarious liability</w:t>
      </w:r>
      <w:r>
        <w:tab/>
      </w:r>
      <w:r>
        <w:fldChar w:fldCharType="begin"/>
      </w:r>
      <w:r>
        <w:instrText xml:space="preserve"> PAGEREF _Toc280022796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Evidentiary provision</w:t>
      </w:r>
      <w:r>
        <w:tab/>
      </w:r>
      <w:r>
        <w:fldChar w:fldCharType="begin"/>
      </w:r>
      <w:r>
        <w:instrText xml:space="preserve"> PAGEREF _Toc280022797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_Toc280022798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Repeal and saving provision</w:t>
      </w:r>
      <w:r>
        <w:tab/>
      </w:r>
      <w:r>
        <w:fldChar w:fldCharType="begin"/>
      </w:r>
      <w:r>
        <w:instrText xml:space="preserve"> PAGEREF _Toc280022799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_Toc280022801 \h </w:instrText>
      </w:r>
      <w:r>
        <w:fldChar w:fldCharType="separate"/>
      </w:r>
      <w:r>
        <w:t>21</w:t>
      </w:r>
      <w:r>
        <w:fldChar w:fldCharType="end"/>
      </w:r>
    </w:p>
    <w:p>
      <w:pPr>
        <w:pStyle w:val="TOC8"/>
        <w:rPr>
          <w:sz w:val="24"/>
        </w:rPr>
      </w:pPr>
      <w:r>
        <w:tab/>
        <w:t>Provisions that have not come into operation</w:t>
      </w:r>
      <w:r>
        <w:tab/>
      </w:r>
      <w:r>
        <w:fldChar w:fldCharType="begin"/>
      </w:r>
      <w:r>
        <w:instrText xml:space="preserve"> PAGEREF _Toc280022802 \h </w:instrText>
      </w:r>
      <w:r>
        <w:fldChar w:fldCharType="separate"/>
      </w:r>
      <w:r>
        <w:t>21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2"/>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pPr>
      <w:r>
        <w:t xml:space="preserve">Door to Door Trading Act 1987 </w:t>
      </w:r>
    </w:p>
    <w:p>
      <w:pPr>
        <w:pStyle w:val="LongTitle"/>
        <w:rPr>
          <w:snapToGrid w:val="0"/>
        </w:rPr>
      </w:pPr>
      <w:r>
        <w:rPr>
          <w:snapToGrid w:val="0"/>
        </w:rPr>
        <w:t xml:space="preserve">An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2" w:name="_Toc95645904"/>
      <w:bookmarkStart w:id="3" w:name="_Toc95645938"/>
      <w:bookmarkStart w:id="4" w:name="_Toc96923294"/>
      <w:bookmarkStart w:id="5" w:name="_Toc102957369"/>
      <w:bookmarkStart w:id="6" w:name="_Toc280022633"/>
      <w:bookmarkStart w:id="7" w:name="_Toc28002277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10798114"/>
      <w:bookmarkStart w:id="9" w:name="_Toc517837676"/>
      <w:bookmarkStart w:id="10" w:name="_Toc520522968"/>
      <w:bookmarkStart w:id="11" w:name="_Toc522595288"/>
      <w:bookmarkStart w:id="12" w:name="_Toc280022634"/>
      <w:bookmarkStart w:id="13" w:name="_Toc280022771"/>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14" w:name="_Toc410798115"/>
      <w:bookmarkStart w:id="15" w:name="_Toc517837677"/>
      <w:bookmarkStart w:id="16" w:name="_Toc520522969"/>
      <w:bookmarkStart w:id="17" w:name="_Toc522595289"/>
      <w:bookmarkStart w:id="18" w:name="_Toc280022635"/>
      <w:bookmarkStart w:id="19" w:name="_Toc280022772"/>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0" w:name="_Toc410798116"/>
      <w:bookmarkStart w:id="21" w:name="_Toc517837678"/>
      <w:bookmarkStart w:id="22" w:name="_Toc520522970"/>
      <w:bookmarkStart w:id="23" w:name="_Toc522595290"/>
      <w:bookmarkStart w:id="24" w:name="_Toc280022636"/>
      <w:bookmarkStart w:id="25" w:name="_Toc280022773"/>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contract to which this Act applies</w:t>
      </w:r>
      <w:r>
        <w:t xml:space="preserve"> means a contract to which this Act applies by virtue of section 4;</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 xml:space="preserve"> (whether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pPr>
      <w:r>
        <w:tab/>
        <w:t>(2)</w:t>
      </w:r>
      <w:r>
        <w:tab/>
        <w:t>In </w:t>
      </w:r>
      <w:r>
        <w:rPr>
          <w:snapToGrid w:val="0"/>
        </w:rPr>
        <w:t>this</w:t>
      </w:r>
      <w:r>
        <w:t xml:space="preserve"> Act — </w:t>
      </w:r>
    </w:p>
    <w:p>
      <w:pPr>
        <w:pStyle w:val="Indenta"/>
      </w:pPr>
      <w:r>
        <w:tab/>
        <w:t>(a)</w:t>
      </w:r>
      <w:r>
        <w:tab/>
        <w:t>a reference to the supply of goods or services extends to the supply of both goods and services;</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26" w:name="_Toc95645908"/>
      <w:bookmarkStart w:id="27" w:name="_Toc95645942"/>
      <w:bookmarkStart w:id="28" w:name="_Toc96923298"/>
      <w:bookmarkStart w:id="29" w:name="_Toc102957373"/>
      <w:bookmarkStart w:id="30" w:name="_Toc280022637"/>
      <w:bookmarkStart w:id="31" w:name="_Toc280022774"/>
      <w:r>
        <w:rPr>
          <w:rStyle w:val="CharPartNo"/>
        </w:rPr>
        <w:t>Part II</w:t>
      </w:r>
      <w:r>
        <w:t> — </w:t>
      </w:r>
      <w:r>
        <w:rPr>
          <w:rStyle w:val="CharPartText"/>
        </w:rPr>
        <w:t>Contracts to which this Act applies</w:t>
      </w:r>
      <w:bookmarkEnd w:id="26"/>
      <w:bookmarkEnd w:id="27"/>
      <w:bookmarkEnd w:id="28"/>
      <w:bookmarkEnd w:id="29"/>
      <w:bookmarkEnd w:id="30"/>
      <w:bookmarkEnd w:id="31"/>
      <w:r>
        <w:rPr>
          <w:rStyle w:val="CharPartText"/>
        </w:rPr>
        <w:t xml:space="preserve"> </w:t>
      </w:r>
    </w:p>
    <w:p>
      <w:pPr>
        <w:pStyle w:val="Heading3"/>
        <w:rPr>
          <w:snapToGrid w:val="0"/>
        </w:rPr>
      </w:pPr>
      <w:bookmarkStart w:id="32" w:name="_Toc95645909"/>
      <w:bookmarkStart w:id="33" w:name="_Toc95645943"/>
      <w:bookmarkStart w:id="34" w:name="_Toc96923299"/>
      <w:bookmarkStart w:id="35" w:name="_Toc102957374"/>
      <w:bookmarkStart w:id="36" w:name="_Toc280022638"/>
      <w:bookmarkStart w:id="37" w:name="_Toc280022775"/>
      <w:r>
        <w:rPr>
          <w:rStyle w:val="CharDivNo"/>
        </w:rPr>
        <w:t>Division 1</w:t>
      </w:r>
      <w:r>
        <w:rPr>
          <w:snapToGrid w:val="0"/>
        </w:rPr>
        <w:t> — </w:t>
      </w:r>
      <w:r>
        <w:rPr>
          <w:rStyle w:val="CharDivText"/>
        </w:rPr>
        <w:t>Contracts generally</w:t>
      </w:r>
      <w:bookmarkEnd w:id="32"/>
      <w:bookmarkEnd w:id="33"/>
      <w:bookmarkEnd w:id="34"/>
      <w:bookmarkEnd w:id="35"/>
      <w:bookmarkEnd w:id="36"/>
      <w:bookmarkEnd w:id="37"/>
      <w:r>
        <w:rPr>
          <w:rStyle w:val="CharDivText"/>
        </w:rPr>
        <w:t xml:space="preserve"> </w:t>
      </w:r>
    </w:p>
    <w:p>
      <w:pPr>
        <w:pStyle w:val="Heading5"/>
        <w:rPr>
          <w:snapToGrid w:val="0"/>
        </w:rPr>
      </w:pPr>
      <w:bookmarkStart w:id="38" w:name="_Toc410798117"/>
      <w:bookmarkStart w:id="39" w:name="_Toc517837679"/>
      <w:bookmarkStart w:id="40" w:name="_Toc520522971"/>
      <w:bookmarkStart w:id="41" w:name="_Toc522595291"/>
      <w:bookmarkStart w:id="42" w:name="_Toc280022639"/>
      <w:bookmarkStart w:id="43" w:name="_Toc280022776"/>
      <w:r>
        <w:rPr>
          <w:rStyle w:val="CharSectno"/>
        </w:rPr>
        <w:t>4</w:t>
      </w:r>
      <w:r>
        <w:rPr>
          <w:snapToGrid w:val="0"/>
        </w:rPr>
        <w:t>.</w:t>
      </w:r>
      <w:r>
        <w:rPr>
          <w:snapToGrid w:val="0"/>
        </w:rPr>
        <w:tab/>
        <w:t>Criteria for determining whether contract is one to which this Act applies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44" w:name="_Toc410798118"/>
      <w:bookmarkStart w:id="45" w:name="_Toc517837680"/>
      <w:bookmarkStart w:id="46" w:name="_Toc520522972"/>
      <w:bookmarkStart w:id="47" w:name="_Toc522595292"/>
      <w:bookmarkStart w:id="48" w:name="_Toc280022640"/>
      <w:bookmarkStart w:id="49" w:name="_Toc280022777"/>
      <w:r>
        <w:rPr>
          <w:rStyle w:val="CharSectno"/>
        </w:rPr>
        <w:t>5</w:t>
      </w:r>
      <w:r>
        <w:rPr>
          <w:snapToGrid w:val="0"/>
        </w:rPr>
        <w:t>.</w:t>
      </w:r>
      <w:r>
        <w:rPr>
          <w:snapToGrid w:val="0"/>
        </w:rPr>
        <w:tab/>
        <w:t>Certain contractual terms prohibited</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rPr>
          <w:snapToGrid w:val="0"/>
        </w:rPr>
      </w:pPr>
      <w:bookmarkStart w:id="50" w:name="_Toc95645912"/>
      <w:bookmarkStart w:id="51" w:name="_Toc95645946"/>
      <w:bookmarkStart w:id="52" w:name="_Toc96923302"/>
      <w:bookmarkStart w:id="53" w:name="_Toc102957377"/>
      <w:bookmarkStart w:id="54" w:name="_Toc280022641"/>
      <w:bookmarkStart w:id="55" w:name="_Toc280022778"/>
      <w:r>
        <w:rPr>
          <w:rStyle w:val="CharDivNo"/>
        </w:rPr>
        <w:t>Division 2</w:t>
      </w:r>
      <w:r>
        <w:rPr>
          <w:snapToGrid w:val="0"/>
        </w:rPr>
        <w:t> — </w:t>
      </w:r>
      <w:r>
        <w:rPr>
          <w:rStyle w:val="CharDivText"/>
        </w:rPr>
        <w:t>Prescribed contracts</w:t>
      </w:r>
      <w:bookmarkEnd w:id="50"/>
      <w:bookmarkEnd w:id="51"/>
      <w:bookmarkEnd w:id="52"/>
      <w:bookmarkEnd w:id="53"/>
      <w:bookmarkEnd w:id="54"/>
      <w:bookmarkEnd w:id="55"/>
      <w:r>
        <w:rPr>
          <w:rStyle w:val="CharDivText"/>
        </w:rPr>
        <w:t xml:space="preserve"> </w:t>
      </w:r>
    </w:p>
    <w:p>
      <w:pPr>
        <w:pStyle w:val="Heading5"/>
        <w:rPr>
          <w:snapToGrid w:val="0"/>
        </w:rPr>
      </w:pPr>
      <w:bookmarkStart w:id="56" w:name="_Toc410798119"/>
      <w:bookmarkStart w:id="57" w:name="_Toc517837681"/>
      <w:bookmarkStart w:id="58" w:name="_Toc520522973"/>
      <w:bookmarkStart w:id="59" w:name="_Toc522595293"/>
      <w:bookmarkStart w:id="60" w:name="_Toc280022642"/>
      <w:bookmarkStart w:id="61" w:name="_Toc280022779"/>
      <w:r>
        <w:rPr>
          <w:rStyle w:val="CharSectno"/>
        </w:rPr>
        <w:t>6</w:t>
      </w:r>
      <w:r>
        <w:rPr>
          <w:snapToGrid w:val="0"/>
        </w:rPr>
        <w:t>.</w:t>
      </w:r>
      <w:r>
        <w:rPr>
          <w:snapToGrid w:val="0"/>
        </w:rPr>
        <w:tab/>
        <w:t>Definition of prescribed contract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rPr>
          <w:b/>
        </w:rPr>
        <w:tab/>
      </w:r>
      <w:bookmarkStart w:id="62" w:name="endcomma"/>
      <w:bookmarkEnd w:id="62"/>
      <w:r>
        <w:rPr>
          <w:rStyle w:val="CharDefText"/>
        </w:rPr>
        <w:t>the prescribed amount</w:t>
      </w:r>
      <w:r>
        <w:t xml:space="preserve"> </w:t>
      </w:r>
      <w:bookmarkStart w:id="63" w:name="comma"/>
      <w:bookmarkEnd w:id="63"/>
      <w:r>
        <w:t>means $50 or such other amount as may be prescribed.</w:t>
      </w:r>
    </w:p>
    <w:p>
      <w:pPr>
        <w:pStyle w:val="Heading5"/>
        <w:rPr>
          <w:snapToGrid w:val="0"/>
        </w:rPr>
      </w:pPr>
      <w:bookmarkStart w:id="64" w:name="_Toc410798120"/>
      <w:bookmarkStart w:id="65" w:name="_Toc517837682"/>
      <w:bookmarkStart w:id="66" w:name="_Toc520522974"/>
      <w:bookmarkStart w:id="67" w:name="_Toc522595294"/>
      <w:bookmarkStart w:id="68" w:name="_Toc280022643"/>
      <w:bookmarkStart w:id="69" w:name="_Toc280022780"/>
      <w:r>
        <w:rPr>
          <w:rStyle w:val="CharSectno"/>
        </w:rPr>
        <w:t>7</w:t>
      </w:r>
      <w:r>
        <w:rPr>
          <w:snapToGrid w:val="0"/>
        </w:rPr>
        <w:t>.</w:t>
      </w:r>
      <w:r>
        <w:rPr>
          <w:snapToGrid w:val="0"/>
        </w:rPr>
        <w:tab/>
        <w:t>Requirements in relation to prescribed contracts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w:t>
      </w:r>
    </w:p>
    <w:p>
      <w:pPr>
        <w:pStyle w:val="Indenta"/>
        <w:rPr>
          <w:snapToGrid w:val="0"/>
        </w:rPr>
      </w:pPr>
      <w:r>
        <w:rPr>
          <w:snapToGrid w:val="0"/>
        </w:rPr>
        <w:tab/>
        <w:t>(d)</w:t>
      </w:r>
      <w:r>
        <w:rPr>
          <w:snapToGrid w:val="0"/>
        </w:rPr>
        <w:tab/>
        <w:t>the consumer must be given a duplicate of the contract immediately after the making of the contract;</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70" w:name="_Toc410798121"/>
      <w:bookmarkStart w:id="71" w:name="_Toc517837683"/>
      <w:bookmarkStart w:id="72" w:name="_Toc520522975"/>
      <w:bookmarkStart w:id="73" w:name="_Toc522595295"/>
      <w:bookmarkStart w:id="74" w:name="_Toc280022644"/>
      <w:bookmarkStart w:id="75" w:name="_Toc280022781"/>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76" w:name="_Toc95645916"/>
      <w:bookmarkStart w:id="77" w:name="_Toc95645950"/>
      <w:bookmarkStart w:id="78" w:name="_Toc96923306"/>
      <w:bookmarkStart w:id="79" w:name="_Toc102957381"/>
      <w:bookmarkStart w:id="80" w:name="_Toc280022645"/>
      <w:bookmarkStart w:id="81" w:name="_Toc280022782"/>
      <w:r>
        <w:rPr>
          <w:rStyle w:val="CharPartNo"/>
        </w:rPr>
        <w:t>Part III</w:t>
      </w:r>
      <w:r>
        <w:rPr>
          <w:rStyle w:val="CharDivNo"/>
        </w:rPr>
        <w:t> </w:t>
      </w:r>
      <w:r>
        <w:t>—</w:t>
      </w:r>
      <w:r>
        <w:rPr>
          <w:rStyle w:val="CharDivText"/>
        </w:rPr>
        <w:t> </w:t>
      </w:r>
      <w:r>
        <w:rPr>
          <w:rStyle w:val="CharPartText"/>
        </w:rPr>
        <w:t>Regulation of door to door trading practices</w:t>
      </w:r>
      <w:bookmarkEnd w:id="76"/>
      <w:bookmarkEnd w:id="77"/>
      <w:bookmarkEnd w:id="78"/>
      <w:bookmarkEnd w:id="79"/>
      <w:bookmarkEnd w:id="80"/>
      <w:bookmarkEnd w:id="81"/>
      <w:r>
        <w:rPr>
          <w:rStyle w:val="CharPartText"/>
        </w:rPr>
        <w:t xml:space="preserve"> </w:t>
      </w:r>
    </w:p>
    <w:p>
      <w:pPr>
        <w:pStyle w:val="Heading5"/>
        <w:rPr>
          <w:snapToGrid w:val="0"/>
        </w:rPr>
      </w:pPr>
      <w:bookmarkStart w:id="82" w:name="_Toc410798122"/>
      <w:bookmarkStart w:id="83" w:name="_Toc517837684"/>
      <w:bookmarkStart w:id="84" w:name="_Toc520522976"/>
      <w:bookmarkStart w:id="85" w:name="_Toc522595296"/>
      <w:bookmarkStart w:id="86" w:name="_Toc280022646"/>
      <w:bookmarkStart w:id="87" w:name="_Toc280022783"/>
      <w:r>
        <w:rPr>
          <w:rStyle w:val="CharSectno"/>
        </w:rPr>
        <w:t>9</w:t>
      </w:r>
      <w:r>
        <w:rPr>
          <w:snapToGrid w:val="0"/>
        </w:rPr>
        <w:t>.</w:t>
      </w:r>
      <w:r>
        <w:rPr>
          <w:snapToGrid w:val="0"/>
        </w:rPr>
        <w:tab/>
        <w:t>Dealers not to call during certain hours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88" w:name="_Toc410798123"/>
      <w:bookmarkStart w:id="89" w:name="_Toc517837685"/>
      <w:bookmarkStart w:id="90" w:name="_Toc520522977"/>
      <w:bookmarkStart w:id="91" w:name="_Toc522595297"/>
      <w:bookmarkStart w:id="92" w:name="_Toc280022647"/>
      <w:bookmarkStart w:id="93" w:name="_Toc280022784"/>
      <w:r>
        <w:rPr>
          <w:rStyle w:val="CharSectno"/>
        </w:rPr>
        <w:t>10</w:t>
      </w:r>
      <w:r>
        <w:rPr>
          <w:snapToGrid w:val="0"/>
        </w:rPr>
        <w:t>.</w:t>
      </w:r>
      <w:r>
        <w:rPr>
          <w:snapToGrid w:val="0"/>
        </w:rPr>
        <w:tab/>
        <w:t>Dealers to leave premises when so requested</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94" w:name="_Toc410798124"/>
      <w:bookmarkStart w:id="95" w:name="_Toc517837686"/>
      <w:bookmarkStart w:id="96" w:name="_Toc520522978"/>
      <w:bookmarkStart w:id="97" w:name="_Toc522595298"/>
      <w:bookmarkStart w:id="98" w:name="_Toc280022648"/>
      <w:bookmarkStart w:id="99" w:name="_Toc280022785"/>
      <w:r>
        <w:rPr>
          <w:rStyle w:val="CharSectno"/>
        </w:rPr>
        <w:t>11</w:t>
      </w:r>
      <w:r>
        <w:rPr>
          <w:snapToGrid w:val="0"/>
        </w:rPr>
        <w:t>.</w:t>
      </w:r>
      <w:r>
        <w:rPr>
          <w:snapToGrid w:val="0"/>
        </w:rPr>
        <w:tab/>
        <w:t>Dealers to indicate their purpose for making calls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100" w:name="_Toc410798125"/>
      <w:bookmarkStart w:id="101" w:name="_Toc517837687"/>
      <w:bookmarkStart w:id="102" w:name="_Toc520522979"/>
      <w:bookmarkStart w:id="103" w:name="_Toc522595299"/>
      <w:bookmarkStart w:id="104" w:name="_Toc280022649"/>
      <w:bookmarkStart w:id="105" w:name="_Toc280022786"/>
      <w:r>
        <w:rPr>
          <w:rStyle w:val="CharSectno"/>
        </w:rPr>
        <w:t>12</w:t>
      </w:r>
      <w:r>
        <w:rPr>
          <w:snapToGrid w:val="0"/>
        </w:rPr>
        <w:t>.</w:t>
      </w:r>
      <w:r>
        <w:rPr>
          <w:snapToGrid w:val="0"/>
        </w:rPr>
        <w:tab/>
        <w:t>Offence to harass or coerce</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106" w:name="_Toc95645921"/>
      <w:bookmarkStart w:id="107" w:name="_Toc95645955"/>
      <w:bookmarkStart w:id="108" w:name="_Toc96923311"/>
      <w:bookmarkStart w:id="109" w:name="_Toc102957386"/>
      <w:bookmarkStart w:id="110" w:name="_Toc280022650"/>
      <w:bookmarkStart w:id="111" w:name="_Toc280022787"/>
      <w:r>
        <w:rPr>
          <w:rStyle w:val="CharPartNo"/>
        </w:rPr>
        <w:t>Part IV</w:t>
      </w:r>
      <w:r>
        <w:rPr>
          <w:rStyle w:val="CharDivNo"/>
        </w:rPr>
        <w:t> </w:t>
      </w:r>
      <w:r>
        <w:t>—</w:t>
      </w:r>
      <w:r>
        <w:rPr>
          <w:rStyle w:val="CharDivText"/>
        </w:rPr>
        <w:t> </w:t>
      </w:r>
      <w:r>
        <w:rPr>
          <w:rStyle w:val="CharPartText"/>
        </w:rPr>
        <w:t>Rescission of contracts to which this Act applies</w:t>
      </w:r>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10798126"/>
      <w:bookmarkStart w:id="113" w:name="_Toc517837688"/>
      <w:bookmarkStart w:id="114" w:name="_Toc520522980"/>
      <w:bookmarkStart w:id="115" w:name="_Toc522595300"/>
      <w:bookmarkStart w:id="116" w:name="_Toc280022651"/>
      <w:bookmarkStart w:id="117" w:name="_Toc280022788"/>
      <w:r>
        <w:rPr>
          <w:rStyle w:val="CharSectno"/>
        </w:rPr>
        <w:t>13</w:t>
      </w:r>
      <w:r>
        <w:rPr>
          <w:snapToGrid w:val="0"/>
        </w:rPr>
        <w:t>.</w:t>
      </w:r>
      <w:r>
        <w:rPr>
          <w:snapToGrid w:val="0"/>
        </w:rPr>
        <w:tab/>
        <w:t>Right of consumer to rescind contracts to which this Act applies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king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118" w:name="_Toc410798127"/>
      <w:bookmarkStart w:id="119" w:name="_Toc517837689"/>
      <w:bookmarkStart w:id="120" w:name="_Toc520522981"/>
      <w:bookmarkStart w:id="121" w:name="_Toc522595301"/>
      <w:bookmarkStart w:id="122" w:name="_Toc280022652"/>
      <w:bookmarkStart w:id="123" w:name="_Toc280022789"/>
      <w:r>
        <w:rPr>
          <w:rStyle w:val="CharSectno"/>
        </w:rPr>
        <w:t>14</w:t>
      </w:r>
      <w:r>
        <w:rPr>
          <w:snapToGrid w:val="0"/>
        </w:rPr>
        <w:t>.</w:t>
      </w:r>
      <w:r>
        <w:rPr>
          <w:snapToGrid w:val="0"/>
        </w:rPr>
        <w:tab/>
        <w:t>Exercise of right of rescission</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124" w:name="_Toc410798128"/>
      <w:bookmarkStart w:id="125" w:name="_Toc517837690"/>
      <w:bookmarkStart w:id="126" w:name="_Toc520522982"/>
      <w:bookmarkStart w:id="127" w:name="_Toc522595302"/>
      <w:bookmarkStart w:id="128" w:name="_Toc280022653"/>
      <w:bookmarkStart w:id="129" w:name="_Toc280022790"/>
      <w:r>
        <w:rPr>
          <w:rStyle w:val="CharSectno"/>
        </w:rPr>
        <w:t>15</w:t>
      </w:r>
      <w:r>
        <w:rPr>
          <w:snapToGrid w:val="0"/>
        </w:rPr>
        <w:t>.</w:t>
      </w:r>
      <w:r>
        <w:rPr>
          <w:snapToGrid w:val="0"/>
        </w:rPr>
        <w:tab/>
        <w:t>Restitution following rescission</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rPr>
          <w:snapToGrid w:val="0"/>
        </w:rPr>
      </w:pPr>
      <w:r>
        <w:rPr>
          <w:snapToGrid w:val="0"/>
        </w:rPr>
        <w:tab/>
        <w:t>(5)</w:t>
      </w:r>
      <w:r>
        <w:rPr>
          <w:snapToGrid w:val="0"/>
        </w:rPr>
        <w:tab/>
        <w:t>The obligations imposed by this section may be enforced by action in any court of competent jurisdiction.</w:t>
      </w:r>
    </w:p>
    <w:p>
      <w:pPr>
        <w:pStyle w:val="Subsection"/>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rPr>
          <w:snapToGrid w:val="0"/>
        </w:rPr>
      </w:pPr>
      <w:bookmarkStart w:id="130" w:name="_Toc410798129"/>
      <w:bookmarkStart w:id="131" w:name="_Toc517837691"/>
      <w:bookmarkStart w:id="132" w:name="_Toc520522983"/>
      <w:bookmarkStart w:id="133" w:name="_Toc522595303"/>
      <w:bookmarkStart w:id="134" w:name="_Toc280022654"/>
      <w:bookmarkStart w:id="135" w:name="_Toc280022791"/>
      <w:r>
        <w:rPr>
          <w:rStyle w:val="CharSectno"/>
        </w:rPr>
        <w:t>16</w:t>
      </w:r>
      <w:r>
        <w:rPr>
          <w:snapToGrid w:val="0"/>
        </w:rPr>
        <w:t>.</w:t>
      </w:r>
      <w:r>
        <w:rPr>
          <w:snapToGrid w:val="0"/>
        </w:rPr>
        <w:tab/>
        <w:t>Related contract or instrument also void</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pPr>
      <w:r>
        <w:tab/>
        <w:t xml:space="preserve">[Section 16 amended by No. 30 of 1996 s. 13; No. 14 of 2010 s. 10.] </w:t>
      </w:r>
    </w:p>
    <w:p>
      <w:pPr>
        <w:pStyle w:val="Heading5"/>
        <w:rPr>
          <w:snapToGrid w:val="0"/>
        </w:rPr>
      </w:pPr>
      <w:bookmarkStart w:id="136" w:name="_Toc410798130"/>
      <w:bookmarkStart w:id="137" w:name="_Toc517837692"/>
      <w:bookmarkStart w:id="138" w:name="_Toc520522984"/>
      <w:bookmarkStart w:id="139" w:name="_Toc522595304"/>
      <w:bookmarkStart w:id="140" w:name="_Toc280022655"/>
      <w:bookmarkStart w:id="141" w:name="_Toc280022792"/>
      <w:r>
        <w:rPr>
          <w:rStyle w:val="CharSectno"/>
        </w:rPr>
        <w:t>17</w:t>
      </w:r>
      <w:r>
        <w:rPr>
          <w:snapToGrid w:val="0"/>
        </w:rPr>
        <w:t>.</w:t>
      </w:r>
      <w:r>
        <w:rPr>
          <w:snapToGrid w:val="0"/>
        </w:rPr>
        <w:tab/>
        <w:t>Consumers not competent to waive rights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142" w:name="_Toc410798131"/>
      <w:bookmarkStart w:id="143" w:name="_Toc517837693"/>
      <w:bookmarkStart w:id="144" w:name="_Toc520522985"/>
      <w:bookmarkStart w:id="145" w:name="_Toc522595305"/>
      <w:bookmarkStart w:id="146" w:name="_Toc280022656"/>
      <w:bookmarkStart w:id="147" w:name="_Toc280022793"/>
      <w:r>
        <w:rPr>
          <w:rStyle w:val="CharSectno"/>
        </w:rPr>
        <w:t>18</w:t>
      </w:r>
      <w:r>
        <w:rPr>
          <w:snapToGrid w:val="0"/>
        </w:rPr>
        <w:t>.</w:t>
      </w:r>
      <w:r>
        <w:rPr>
          <w:snapToGrid w:val="0"/>
        </w:rPr>
        <w:tab/>
        <w:t>Prohibition of action to recover amount under contract in certain circumstances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bookmarkStart w:id="148" w:name="_Toc95645928"/>
      <w:bookmarkStart w:id="149" w:name="_Toc95645962"/>
      <w:bookmarkStart w:id="150" w:name="_Toc96923318"/>
      <w:r>
        <w:tab/>
        <w:t>[Section 18 amended by No. 84 of 2004 s. 82.]</w:t>
      </w:r>
    </w:p>
    <w:p>
      <w:pPr>
        <w:pStyle w:val="Heading2"/>
      </w:pPr>
      <w:bookmarkStart w:id="151" w:name="_Toc102957393"/>
      <w:bookmarkStart w:id="152" w:name="_Toc280022657"/>
      <w:bookmarkStart w:id="153" w:name="_Toc280022794"/>
      <w:r>
        <w:rPr>
          <w:rStyle w:val="CharPartNo"/>
        </w:rPr>
        <w:t>Part V</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410798132"/>
      <w:bookmarkStart w:id="155" w:name="_Toc517837694"/>
      <w:bookmarkStart w:id="156" w:name="_Toc520522986"/>
      <w:bookmarkStart w:id="157" w:name="_Toc522595306"/>
      <w:bookmarkStart w:id="158" w:name="_Toc280022658"/>
      <w:bookmarkStart w:id="159" w:name="_Toc280022795"/>
      <w:r>
        <w:rPr>
          <w:rStyle w:val="CharSectno"/>
        </w:rPr>
        <w:t>19</w:t>
      </w:r>
      <w:r>
        <w:rPr>
          <w:snapToGrid w:val="0"/>
        </w:rPr>
        <w:t>.</w:t>
      </w:r>
      <w:r>
        <w:rPr>
          <w:snapToGrid w:val="0"/>
        </w:rPr>
        <w:tab/>
        <w:t>Prohibition on securities hawking unaffected by this Act</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160" w:name="_Toc410798133"/>
      <w:bookmarkStart w:id="161" w:name="_Toc517837695"/>
      <w:bookmarkStart w:id="162" w:name="_Toc520522987"/>
      <w:bookmarkStart w:id="163" w:name="_Toc522595307"/>
      <w:bookmarkStart w:id="164" w:name="_Toc280022659"/>
      <w:bookmarkStart w:id="165" w:name="_Toc280022796"/>
      <w:r>
        <w:rPr>
          <w:rStyle w:val="CharSectno"/>
        </w:rPr>
        <w:t>20</w:t>
      </w:r>
      <w:r>
        <w:rPr>
          <w:snapToGrid w:val="0"/>
        </w:rPr>
        <w:t>.</w:t>
      </w:r>
      <w:r>
        <w:rPr>
          <w:snapToGrid w:val="0"/>
        </w:rPr>
        <w:tab/>
        <w:t>Vicarious liability</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166" w:name="_Toc410798134"/>
      <w:bookmarkStart w:id="167" w:name="_Toc517837696"/>
      <w:bookmarkStart w:id="168" w:name="_Toc520522988"/>
      <w:bookmarkStart w:id="169" w:name="_Toc522595308"/>
      <w:bookmarkStart w:id="170" w:name="_Toc280022660"/>
      <w:bookmarkStart w:id="171" w:name="_Toc280022797"/>
      <w:r>
        <w:rPr>
          <w:rStyle w:val="CharSectno"/>
        </w:rPr>
        <w:t>21</w:t>
      </w:r>
      <w:r>
        <w:rPr>
          <w:snapToGrid w:val="0"/>
        </w:rPr>
        <w:t>.</w:t>
      </w:r>
      <w:r>
        <w:rPr>
          <w:snapToGrid w:val="0"/>
        </w:rPr>
        <w:tab/>
        <w:t>Evidentiary provision</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172" w:name="_Toc410798135"/>
      <w:bookmarkStart w:id="173" w:name="_Toc517837697"/>
      <w:bookmarkStart w:id="174" w:name="_Toc520522989"/>
      <w:bookmarkStart w:id="175" w:name="_Toc522595309"/>
      <w:bookmarkStart w:id="176" w:name="_Toc280022661"/>
      <w:bookmarkStart w:id="177" w:name="_Toc280022798"/>
      <w:r>
        <w:rPr>
          <w:rStyle w:val="CharSectno"/>
        </w:rPr>
        <w:t>22</w:t>
      </w:r>
      <w:r>
        <w:rPr>
          <w:snapToGrid w:val="0"/>
        </w:rPr>
        <w:t>.</w:t>
      </w:r>
      <w:r>
        <w:rPr>
          <w:snapToGrid w:val="0"/>
        </w:rPr>
        <w:tab/>
        <w:t>Regulations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78" w:name="_Toc410798136"/>
      <w:bookmarkStart w:id="179" w:name="_Toc517837698"/>
      <w:bookmarkStart w:id="180" w:name="_Toc520522990"/>
      <w:bookmarkStart w:id="181" w:name="_Toc522595310"/>
      <w:bookmarkStart w:id="182" w:name="_Toc280022662"/>
      <w:bookmarkStart w:id="183" w:name="_Toc280022799"/>
      <w:r>
        <w:rPr>
          <w:rStyle w:val="CharSectno"/>
        </w:rPr>
        <w:t>23</w:t>
      </w:r>
      <w:r>
        <w:rPr>
          <w:snapToGrid w:val="0"/>
        </w:rPr>
        <w:t>.</w:t>
      </w:r>
      <w:r>
        <w:rPr>
          <w:snapToGrid w:val="0"/>
        </w:rPr>
        <w:tab/>
        <w:t>Repeal and saving provision</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rPr>
          <w:snapToGrid w:val="0"/>
        </w:rPr>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84" w:name="_Toc95645934"/>
      <w:bookmarkStart w:id="185" w:name="_Toc95645968"/>
      <w:bookmarkStart w:id="186" w:name="_Toc96923324"/>
      <w:bookmarkStart w:id="187" w:name="_Toc102957399"/>
      <w:bookmarkStart w:id="188" w:name="_Toc280022663"/>
      <w:bookmarkStart w:id="189" w:name="_Toc280022800"/>
      <w:r>
        <w:t>Notes</w:t>
      </w:r>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snapToGrid w:val="0"/>
        </w:rPr>
        <w:t>Door to Door Trading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0" w:name="_Toc280022664"/>
      <w:bookmarkStart w:id="191" w:name="_Toc280022801"/>
      <w:r>
        <w:rPr>
          <w:snapToGrid w:val="0"/>
        </w:rPr>
        <w:t>Compilation table</w:t>
      </w:r>
      <w:bookmarkEnd w:id="190"/>
      <w:bookmarkEnd w:id="191"/>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20"/>
              <w:rPr>
                <w:b/>
                <w:sz w:val="19"/>
              </w:rPr>
            </w:pPr>
            <w:r>
              <w:rPr>
                <w:b/>
                <w:sz w:val="19"/>
              </w:rPr>
              <w:t>Assent</w:t>
            </w:r>
          </w:p>
        </w:tc>
        <w:tc>
          <w:tcPr>
            <w:tcW w:w="2552" w:type="dxa"/>
            <w:tcBorders>
              <w:top w:val="single" w:sz="8" w:space="0" w:color="auto"/>
              <w:bottom w:val="single" w:sz="8" w:space="0" w:color="auto"/>
            </w:tcBorders>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2" w:type="dxa"/>
            <w:tcBorders>
              <w:top w:val="single" w:sz="8" w:space="0" w:color="auto"/>
            </w:tcBorders>
          </w:tcPr>
          <w:p>
            <w:pPr>
              <w:pStyle w:val="nTable"/>
              <w:spacing w:after="40"/>
              <w:ind w:left="62"/>
              <w:rPr>
                <w:sz w:val="19"/>
              </w:rPr>
            </w:pP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2"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2"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2"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2"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8" w:type="dxa"/>
            <w:gridSpan w:val="4"/>
          </w:tcPr>
          <w:p>
            <w:pPr>
              <w:pStyle w:val="nTable"/>
              <w:spacing w:after="40"/>
              <w:ind w:left="62" w:right="113"/>
              <w:rPr>
                <w:sz w:val="19"/>
              </w:rPr>
            </w:pPr>
            <w:r>
              <w:rPr>
                <w:b/>
                <w:sz w:val="19"/>
              </w:rPr>
              <w:t xml:space="preserve">Reprint of the </w:t>
            </w:r>
            <w:r>
              <w:rPr>
                <w:b/>
                <w:i/>
                <w:sz w:val="19"/>
              </w:rPr>
              <w:t>Door to Door Trading Act 1987</w:t>
            </w:r>
            <w:r>
              <w:rPr>
                <w:b/>
                <w:sz w:val="19"/>
              </w:rPr>
              <w:t xml:space="preserve"> as at 17 Aug 2001</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ind w:left="62"/>
              <w:rPr>
                <w:sz w:val="19"/>
              </w:rPr>
            </w:pPr>
            <w:r>
              <w:rPr>
                <w:snapToGrid w:val="0"/>
                <w:sz w:val="19"/>
                <w:lang w:val="en-US"/>
              </w:rPr>
              <w:t>84 of 2004</w:t>
            </w:r>
          </w:p>
        </w:tc>
        <w:tc>
          <w:tcPr>
            <w:tcW w:w="1134" w:type="dxa"/>
          </w:tcPr>
          <w:p>
            <w:pPr>
              <w:pStyle w:val="nTable"/>
              <w:spacing w:after="40"/>
              <w:ind w:left="20"/>
              <w:rPr>
                <w:sz w:val="19"/>
              </w:rPr>
            </w:pPr>
            <w:r>
              <w:rPr>
                <w:sz w:val="19"/>
              </w:rPr>
              <w:t>16 Dec 2004</w:t>
            </w:r>
          </w:p>
        </w:tc>
        <w:tc>
          <w:tcPr>
            <w:tcW w:w="2551" w:type="dxa"/>
          </w:tcPr>
          <w:p>
            <w:pPr>
              <w:pStyle w:val="nTable"/>
              <w:spacing w:after="40"/>
              <w:ind w:left="62"/>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 xml:space="preserve">Credit (Commonwealth Powers) (Transitional and Consequential Provisions) Act 2010 </w:t>
            </w:r>
            <w:r>
              <w:rPr>
                <w:snapToGrid w:val="0"/>
                <w:sz w:val="19"/>
                <w:lang w:val="en-US"/>
              </w:rPr>
              <w:t>s. 10</w:t>
            </w:r>
          </w:p>
        </w:tc>
        <w:tc>
          <w:tcPr>
            <w:tcW w:w="1134" w:type="dxa"/>
            <w:tcBorders>
              <w:bottom w:val="single" w:sz="8" w:space="0" w:color="auto"/>
            </w:tcBorders>
          </w:tcPr>
          <w:p>
            <w:pPr>
              <w:pStyle w:val="nTable"/>
              <w:spacing w:after="40"/>
              <w:ind w:left="62"/>
              <w:rPr>
                <w:snapToGrid w:val="0"/>
                <w:sz w:val="19"/>
                <w:lang w:val="en-US"/>
              </w:rPr>
            </w:pPr>
            <w:r>
              <w:rPr>
                <w:snapToGrid w:val="0"/>
                <w:sz w:val="19"/>
                <w:lang w:val="en-US"/>
              </w:rPr>
              <w:t>14 of 2010</w:t>
            </w:r>
          </w:p>
        </w:tc>
        <w:tc>
          <w:tcPr>
            <w:tcW w:w="1134" w:type="dxa"/>
            <w:tcBorders>
              <w:bottom w:val="single" w:sz="8" w:space="0" w:color="auto"/>
            </w:tcBorders>
          </w:tcPr>
          <w:p>
            <w:pPr>
              <w:pStyle w:val="nTable"/>
              <w:spacing w:after="40"/>
              <w:ind w:left="20"/>
              <w:rPr>
                <w:sz w:val="19"/>
              </w:rPr>
            </w:pPr>
            <w:r>
              <w:rPr>
                <w:sz w:val="19"/>
              </w:rPr>
              <w:t>25 Jun 2010</w:t>
            </w:r>
          </w:p>
        </w:tc>
        <w:tc>
          <w:tcPr>
            <w:tcW w:w="2551" w:type="dxa"/>
            <w:tcBorders>
              <w:bottom w:val="single" w:sz="8" w:space="0" w:color="auto"/>
            </w:tcBorders>
          </w:tcPr>
          <w:p>
            <w:pPr>
              <w:pStyle w:val="nTable"/>
              <w:spacing w:after="40"/>
              <w:ind w:left="62"/>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bl>
    <w:p>
      <w:pPr>
        <w:pStyle w:val="nSubsection"/>
        <w:tabs>
          <w:tab w:val="clear" w:pos="454"/>
          <w:tab w:val="left" w:pos="567"/>
        </w:tabs>
        <w:spacing w:before="120"/>
        <w:ind w:left="567" w:hanging="567"/>
        <w:rPr>
          <w:snapToGrid w:val="0"/>
        </w:rPr>
      </w:pPr>
      <w:bookmarkStart w:id="192" w:name="_Hlt63842594"/>
      <w:bookmarkEnd w:id="19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 w:name="_Toc7405065"/>
      <w:bookmarkStart w:id="194" w:name="_Toc280022665"/>
      <w:bookmarkStart w:id="195" w:name="_Toc280022802"/>
      <w:r>
        <w:t>Provisions that have not come into operation</w:t>
      </w:r>
      <w:bookmarkEnd w:id="193"/>
      <w:bookmarkEnd w:id="194"/>
      <w:bookmarkEnd w:id="195"/>
    </w:p>
    <w:tbl>
      <w:tblPr>
        <w:tblW w:w="7072" w:type="dxa"/>
        <w:tblInd w:w="18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noProof/>
                <w:snapToGrid w:val="0"/>
                <w:sz w:val="19"/>
              </w:rPr>
              <w:t>Fair Trading Act 2010</w:t>
            </w:r>
            <w:r>
              <w:rPr>
                <w:iCs/>
                <w:noProof/>
                <w:snapToGrid w:val="0"/>
                <w:sz w:val="19"/>
              </w:rPr>
              <w:t xml:space="preserve"> Pt. 10 Div. 2 </w:t>
            </w:r>
            <w:r>
              <w:rPr>
                <w:iCs/>
                <w:noProof/>
                <w:snapToGrid w:val="0"/>
                <w:sz w:val="19"/>
                <w:vertAlign w:val="superscript"/>
              </w:rPr>
              <w:t>2</w:t>
            </w:r>
          </w:p>
        </w:tc>
        <w:tc>
          <w:tcPr>
            <w:tcW w:w="1118" w:type="dxa"/>
          </w:tcPr>
          <w:p>
            <w:pPr>
              <w:pStyle w:val="nTable"/>
              <w:spacing w:after="40"/>
              <w:rPr>
                <w:snapToGrid w:val="0"/>
                <w:sz w:val="19"/>
                <w:lang w:val="en-US"/>
              </w:rPr>
            </w:pPr>
            <w:r>
              <w:rPr>
                <w:snapToGrid w:val="0"/>
                <w:sz w:val="19"/>
                <w:lang w:val="en-US"/>
              </w:rPr>
              <w:t>57 of 2010</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Fair Trading Act 2010 </w:t>
      </w:r>
      <w:r>
        <w:rPr>
          <w:iCs/>
          <w:snapToGrid w:val="0"/>
        </w:rPr>
        <w:t xml:space="preserve">Pt. 10 Div. 2 </w:t>
      </w:r>
      <w:r>
        <w:rPr>
          <w:snapToGrid w:val="0"/>
        </w:rPr>
        <w:t>had not come into operation.  It reads as follows:</w:t>
      </w:r>
    </w:p>
    <w:p>
      <w:pPr>
        <w:pStyle w:val="BlankOpen"/>
        <w:rPr>
          <w:snapToGrid w:val="0"/>
        </w:rPr>
      </w:pPr>
    </w:p>
    <w:p>
      <w:pPr>
        <w:pStyle w:val="nzHeading2"/>
      </w:pPr>
      <w:bookmarkStart w:id="196" w:name="_Toc272825382"/>
      <w:bookmarkStart w:id="197" w:name="_Toc272831498"/>
      <w:bookmarkStart w:id="198" w:name="_Toc272853730"/>
      <w:bookmarkStart w:id="199" w:name="_Toc272854848"/>
      <w:bookmarkStart w:id="200" w:name="_Toc278552849"/>
      <w:bookmarkStart w:id="201" w:name="_Toc278554988"/>
      <w:bookmarkStart w:id="202" w:name="_Toc278813753"/>
      <w:bookmarkStart w:id="203" w:name="_Toc278890421"/>
      <w:bookmarkStart w:id="204" w:name="_Toc278890596"/>
      <w:bookmarkStart w:id="205" w:name="_Toc279655671"/>
      <w:bookmarkStart w:id="206" w:name="_Toc279663680"/>
      <w:bookmarkStart w:id="207" w:name="_Toc279664785"/>
      <w:bookmarkStart w:id="208" w:name="_Toc272825390"/>
      <w:bookmarkStart w:id="209" w:name="_Toc272831506"/>
      <w:bookmarkStart w:id="210" w:name="_Toc272853738"/>
      <w:bookmarkStart w:id="211" w:name="_Toc272854856"/>
      <w:bookmarkStart w:id="212" w:name="_Toc278552857"/>
      <w:bookmarkStart w:id="213" w:name="_Toc278554996"/>
      <w:bookmarkStart w:id="214" w:name="_Toc278813761"/>
      <w:bookmarkStart w:id="215" w:name="_Toc278890429"/>
      <w:bookmarkStart w:id="216" w:name="_Toc278890604"/>
      <w:bookmarkStart w:id="217" w:name="_Toc279655679"/>
      <w:bookmarkStart w:id="218" w:name="_Toc279663688"/>
      <w:bookmarkStart w:id="219" w:name="_Toc279664793"/>
      <w:r>
        <w:rPr>
          <w:rStyle w:val="CharPartNo"/>
        </w:rPr>
        <w:t>Part 10</w:t>
      </w:r>
      <w:r>
        <w:t> — </w:t>
      </w:r>
      <w:r>
        <w:rPr>
          <w:rStyle w:val="CharPartText"/>
        </w:rPr>
        <w:t>Amendments</w:t>
      </w:r>
      <w:bookmarkEnd w:id="196"/>
      <w:bookmarkEnd w:id="197"/>
      <w:bookmarkEnd w:id="198"/>
      <w:bookmarkEnd w:id="199"/>
      <w:bookmarkEnd w:id="200"/>
      <w:bookmarkEnd w:id="201"/>
      <w:bookmarkEnd w:id="202"/>
      <w:bookmarkEnd w:id="203"/>
      <w:bookmarkEnd w:id="204"/>
      <w:bookmarkEnd w:id="205"/>
      <w:bookmarkEnd w:id="206"/>
      <w:bookmarkEnd w:id="207"/>
    </w:p>
    <w:p>
      <w:pPr>
        <w:pStyle w:val="nzHeading3"/>
      </w:pPr>
      <w:r>
        <w:rPr>
          <w:rStyle w:val="CharDivNo"/>
        </w:rPr>
        <w:t>Division 2</w:t>
      </w:r>
      <w:r>
        <w:t> — </w:t>
      </w:r>
      <w:r>
        <w:rPr>
          <w:rStyle w:val="CharDivText"/>
          <w:i/>
          <w:iCs/>
        </w:rPr>
        <w:t>Door to Door Trading Act 1987</w:t>
      </w:r>
      <w:r>
        <w:rPr>
          <w:rStyle w:val="CharDivText"/>
        </w:rPr>
        <w:t xml:space="preserve"> amended</w:t>
      </w:r>
      <w:bookmarkEnd w:id="208"/>
      <w:bookmarkEnd w:id="209"/>
      <w:bookmarkEnd w:id="210"/>
      <w:bookmarkEnd w:id="211"/>
      <w:bookmarkEnd w:id="212"/>
      <w:bookmarkEnd w:id="213"/>
      <w:bookmarkEnd w:id="214"/>
      <w:bookmarkEnd w:id="215"/>
      <w:bookmarkEnd w:id="216"/>
      <w:bookmarkEnd w:id="217"/>
      <w:bookmarkEnd w:id="218"/>
      <w:bookmarkEnd w:id="219"/>
    </w:p>
    <w:p>
      <w:pPr>
        <w:pStyle w:val="nzHeading5"/>
      </w:pPr>
      <w:bookmarkStart w:id="220" w:name="_Toc279655680"/>
      <w:bookmarkStart w:id="221" w:name="_Toc279663689"/>
      <w:bookmarkStart w:id="222" w:name="_Toc279664794"/>
      <w:r>
        <w:rPr>
          <w:rStyle w:val="CharSectno"/>
        </w:rPr>
        <w:t>124</w:t>
      </w:r>
      <w:r>
        <w:t>.</w:t>
      </w:r>
      <w:r>
        <w:tab/>
        <w:t>Act amended</w:t>
      </w:r>
      <w:bookmarkEnd w:id="220"/>
      <w:bookmarkEnd w:id="221"/>
      <w:bookmarkEnd w:id="222"/>
    </w:p>
    <w:p>
      <w:pPr>
        <w:pStyle w:val="nzSubsection"/>
      </w:pPr>
      <w:r>
        <w:tab/>
      </w:r>
      <w:r>
        <w:tab/>
        <w:t xml:space="preserve">This Division amends the </w:t>
      </w:r>
      <w:r>
        <w:rPr>
          <w:i/>
        </w:rPr>
        <w:t>Door to Door Trading Act 1987</w:t>
      </w:r>
      <w:r>
        <w:t>.</w:t>
      </w:r>
    </w:p>
    <w:p>
      <w:pPr>
        <w:pStyle w:val="nzHeading5"/>
      </w:pPr>
      <w:bookmarkStart w:id="223" w:name="_Toc279655681"/>
      <w:bookmarkStart w:id="224" w:name="_Toc279663690"/>
      <w:bookmarkStart w:id="225" w:name="_Toc279664795"/>
      <w:r>
        <w:rPr>
          <w:rStyle w:val="CharSectno"/>
        </w:rPr>
        <w:t>125</w:t>
      </w:r>
      <w:r>
        <w:t>.</w:t>
      </w:r>
      <w:r>
        <w:tab/>
        <w:t>Sections 3A to 3D inserted</w:t>
      </w:r>
      <w:bookmarkEnd w:id="223"/>
      <w:bookmarkEnd w:id="224"/>
      <w:bookmarkEnd w:id="225"/>
    </w:p>
    <w:p>
      <w:pPr>
        <w:pStyle w:val="nzSubsection"/>
      </w:pPr>
      <w:r>
        <w:tab/>
      </w:r>
      <w:r>
        <w:tab/>
        <w:t>After section 2 insert:</w:t>
      </w:r>
    </w:p>
    <w:p>
      <w:pPr>
        <w:pStyle w:val="BlankOpen"/>
      </w:pPr>
    </w:p>
    <w:p>
      <w:pPr>
        <w:pStyle w:val="nzHeading5"/>
      </w:pPr>
      <w:bookmarkStart w:id="226" w:name="_Toc279655682"/>
      <w:bookmarkStart w:id="227" w:name="_Toc279663691"/>
      <w:bookmarkStart w:id="228" w:name="_Toc279664796"/>
      <w:r>
        <w:t>3A.</w:t>
      </w:r>
      <w:r>
        <w:tab/>
        <w:t>Application of Act limited</w:t>
      </w:r>
      <w:bookmarkEnd w:id="226"/>
      <w:bookmarkEnd w:id="227"/>
      <w:bookmarkEnd w:id="228"/>
    </w:p>
    <w:p>
      <w:pPr>
        <w:pStyle w:val="nzSubsection"/>
      </w:pPr>
      <w:r>
        <w:tab/>
        <w:t>(1)</w:t>
      </w:r>
      <w:r>
        <w:tab/>
        <w:t xml:space="preserve">This Act does not apply on or after the date on which the </w:t>
      </w:r>
      <w:r>
        <w:rPr>
          <w:i/>
          <w:snapToGrid w:val="0"/>
        </w:rPr>
        <w:t>Fair Trading Act 2010</w:t>
      </w:r>
      <w:r>
        <w:t xml:space="preserve"> Part 10 comes into force.</w:t>
      </w:r>
    </w:p>
    <w:p>
      <w:pPr>
        <w:pStyle w:val="nzSubsection"/>
      </w:pPr>
      <w:r>
        <w:tab/>
        <w:t>(2)</w:t>
      </w:r>
      <w:r>
        <w:tab/>
        <w:t>This section is subject to sections 3C and 3D.</w:t>
      </w:r>
    </w:p>
    <w:p>
      <w:pPr>
        <w:pStyle w:val="nzHeading5"/>
      </w:pPr>
      <w:bookmarkStart w:id="229" w:name="_Toc279655683"/>
      <w:bookmarkStart w:id="230" w:name="_Toc279663692"/>
      <w:bookmarkStart w:id="231" w:name="_Toc279664797"/>
      <w:r>
        <w:t>3B.</w:t>
      </w:r>
      <w:r>
        <w:tab/>
        <w:t>Expiry of Act</w:t>
      </w:r>
      <w:bookmarkEnd w:id="229"/>
      <w:bookmarkEnd w:id="230"/>
      <w:bookmarkEnd w:id="231"/>
    </w:p>
    <w:p>
      <w:pPr>
        <w:pStyle w:val="nzSubsection"/>
      </w:pPr>
      <w:r>
        <w:tab/>
        <w:t>(1)</w:t>
      </w:r>
      <w:r>
        <w:tab/>
        <w:t>This Act expires on a day fixed by proclamation.</w:t>
      </w:r>
    </w:p>
    <w:p>
      <w:pPr>
        <w:pStyle w:val="nzSubsection"/>
      </w:pPr>
      <w:r>
        <w:tab/>
        <w:t>(2)</w:t>
      </w:r>
      <w:r>
        <w:tab/>
        <w:t>A proclamation cannot be made under subsection (1) unless the Commissioner has given the Minister a certificate signed by the Commissioner stating that the operation of this Act is no longer necessary.</w:t>
      </w:r>
    </w:p>
    <w:p>
      <w:pPr>
        <w:pStyle w:val="nzSubsection"/>
      </w:pPr>
      <w:r>
        <w:tab/>
        <w:t>(3)</w:t>
      </w:r>
      <w:r>
        <w:tab/>
        <w:t xml:space="preserve">In subsection (2) — </w:t>
      </w: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Heading5"/>
      </w:pPr>
      <w:bookmarkStart w:id="232" w:name="_Toc279655684"/>
      <w:bookmarkStart w:id="233" w:name="_Toc279663693"/>
      <w:bookmarkStart w:id="234" w:name="_Toc279664798"/>
      <w:r>
        <w:t>3C.</w:t>
      </w:r>
      <w:r>
        <w:tab/>
        <w:t>Act continues to apply for certain purposes</w:t>
      </w:r>
      <w:bookmarkEnd w:id="232"/>
      <w:bookmarkEnd w:id="233"/>
      <w:bookmarkEnd w:id="234"/>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Fair Trading Act 2010</w:t>
      </w:r>
      <w:r>
        <w:t xml:space="preserve"> Part 10 comes into force.</w:t>
      </w:r>
    </w:p>
    <w:p>
      <w:pPr>
        <w:pStyle w:val="nzSubsection"/>
      </w:pPr>
      <w:r>
        <w:tab/>
        <w:t>(2)</w:t>
      </w:r>
      <w:r>
        <w:tab/>
        <w:t>This Act continues to apply on and after the commencement day to contracts made before the commencement day.</w:t>
      </w:r>
    </w:p>
    <w:p>
      <w:pPr>
        <w:pStyle w:val="nzSubsection"/>
      </w:pPr>
      <w:r>
        <w:tab/>
        <w:t>(3)</w:t>
      </w:r>
      <w:r>
        <w:tab/>
        <w:t xml:space="preserve">This Act continues to apply on and after the commencement day only for the following purposes — </w:t>
      </w:r>
    </w:p>
    <w:p>
      <w:pPr>
        <w:pStyle w:val="nzIndenta"/>
      </w:pPr>
      <w:r>
        <w:tab/>
        <w:t>(a)</w:t>
      </w:r>
      <w:r>
        <w:tab/>
        <w:t>the investigation and prosecution of offences against this Act committed before the commencement day;</w:t>
      </w:r>
    </w:p>
    <w:p>
      <w:pPr>
        <w:pStyle w:val="nzIndenta"/>
      </w:pPr>
      <w:r>
        <w:tab/>
        <w:t>(b)</w:t>
      </w:r>
      <w:r>
        <w:tab/>
        <w:t>the giving, withdrawal or payment of infringement notices in respect of offences against this Act committed before the commencement day;</w:t>
      </w:r>
    </w:p>
    <w:p>
      <w:pPr>
        <w:pStyle w:val="nzIndenta"/>
      </w:pPr>
      <w:r>
        <w:tab/>
        <w:t>(c)</w:t>
      </w:r>
      <w:r>
        <w:tab/>
        <w:t>the continuation, settlement or discontinuation of proceedings, under or in relation to this Act, that were commenced, but not concluded, before the commencement day.</w:t>
      </w:r>
    </w:p>
    <w:p>
      <w:pPr>
        <w:pStyle w:val="nz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nzHeading5"/>
      </w:pPr>
      <w:bookmarkStart w:id="235" w:name="_Toc279655685"/>
      <w:bookmarkStart w:id="236" w:name="_Toc279663694"/>
      <w:bookmarkStart w:id="237" w:name="_Toc279664799"/>
      <w:r>
        <w:t>3D.</w:t>
      </w:r>
      <w:r>
        <w:tab/>
        <w:t>Acts or omissions that occurred before the commencement day</w:t>
      </w:r>
      <w:bookmarkEnd w:id="235"/>
      <w:bookmarkEnd w:id="236"/>
      <w:bookmarkEnd w:id="237"/>
    </w:p>
    <w:p>
      <w:pPr>
        <w:pStyle w:val="nzSubsection"/>
      </w:pPr>
      <w:r>
        <w:tab/>
        <w:t>(1)</w:t>
      </w:r>
      <w:r>
        <w:tab/>
        <w:t>This Act continues to apply on and after the commencement day (as defined in section 3C(1)) in relation to acts or omissions that occurred before the commencement day.</w:t>
      </w:r>
    </w:p>
    <w:p>
      <w:pPr>
        <w:pStyle w:val="nzSubsection"/>
      </w:pPr>
      <w:r>
        <w:tab/>
        <w:t>(2)</w:t>
      </w:r>
      <w:r>
        <w:tab/>
        <w:t>Without limiting subsection (1), action may be taken under this Act in relation to those acts or omissions.</w:t>
      </w:r>
    </w:p>
    <w:p>
      <w:pPr>
        <w:pStyle w:val="BlankClose"/>
      </w:pPr>
    </w:p>
    <w:p>
      <w:pPr>
        <w:pStyle w:val="BlankClose"/>
      </w:pPr>
    </w:p>
    <w:p>
      <w:pPr>
        <w:pStyle w:val="nSubsection"/>
        <w:rPr>
          <w:snapToGrid w:val="0"/>
        </w:rPr>
      </w:pPr>
    </w:p>
    <w:p>
      <w:pPr>
        <w:pStyle w:val="nSubsection"/>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5205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44C6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7"/>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59"/>
    <w:docVar w:name="WAFER_20151210110859" w:val="RemoveTrackChanges"/>
    <w:docVar w:name="WAFER_20151210110859_GUID" w:val="ac3465ec-b655-46d8-be99-35da3fd69f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5392</Words>
  <Characters>25402</Characters>
  <Application>Microsoft Office Word</Application>
  <DocSecurity>0</DocSecurity>
  <Lines>747</Lines>
  <Paragraphs>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1987 - 01-d0-02</dc:title>
  <dc:subject/>
  <dc:creator/>
  <cp:keywords/>
  <dc:description/>
  <cp:lastModifiedBy>svcMRProcess</cp:lastModifiedBy>
  <cp:revision>4</cp:revision>
  <cp:lastPrinted>2001-08-20T04:11:00Z</cp:lastPrinted>
  <dcterms:created xsi:type="dcterms:W3CDTF">2018-08-28T05:19:00Z</dcterms:created>
  <dcterms:modified xsi:type="dcterms:W3CDTF">2018-08-28T05:19:00Z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233</vt:i4>
  </property>
  <property fmtid="{D5CDD505-2E9C-101B-9397-08002B2CF9AE}" pid="6" name="AsAtDate">
    <vt:lpwstr>08 Dec 2010</vt:lpwstr>
  </property>
  <property fmtid="{D5CDD505-2E9C-101B-9397-08002B2CF9AE}" pid="7" name="Suffix">
    <vt:lpwstr>01-d0-02</vt:lpwstr>
  </property>
</Properties>
</file>