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Queen Elizabeth II Medical Centre Act 1966</w:t>
      </w:r>
    </w:p>
    <w:p>
      <w:pPr>
        <w:pStyle w:val="NameofActRegPage1"/>
        <w:spacing w:before="1800" w:after="4200"/>
      </w:pPr>
      <w:r>
        <w:fldChar w:fldCharType="begin"/>
      </w:r>
      <w:r>
        <w:instrText xml:space="preserve"> STYLEREF "Name Of Act/Reg"</w:instrText>
      </w:r>
      <w:r>
        <w:fldChar w:fldCharType="separate"/>
      </w:r>
      <w:r>
        <w:rPr>
          <w:noProof/>
        </w:rPr>
        <w:t>Queen Elizabeth II Medical Centre (Delegated Site) By-laws 1986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_Toc264965147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_Toc264965148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_Toc264965149 \h </w:instrText>
      </w:r>
      <w:r>
        <w:fldChar w:fldCharType="separate"/>
      </w:r>
      <w:r>
        <w:t>1</w:t>
      </w:r>
      <w:r>
        <w:fldChar w:fldCharType="end"/>
      </w:r>
    </w:p>
    <w:p>
      <w:pPr>
        <w:pStyle w:val="TOC8"/>
        <w:rPr>
          <w:sz w:val="24"/>
          <w:szCs w:val="24"/>
        </w:rPr>
      </w:pPr>
      <w:r>
        <w:rPr>
          <w:szCs w:val="24"/>
        </w:rPr>
        <w:t>3A.</w:t>
      </w:r>
      <w:r>
        <w:rPr>
          <w:szCs w:val="24"/>
        </w:rPr>
        <w:tab/>
        <w:t>Authorised persons</w:t>
      </w:r>
      <w:r>
        <w:tab/>
      </w:r>
      <w:r>
        <w:fldChar w:fldCharType="begin"/>
      </w:r>
      <w:r>
        <w:instrText xml:space="preserve"> PAGEREF _Toc264965150 \h </w:instrText>
      </w:r>
      <w:r>
        <w:fldChar w:fldCharType="separate"/>
      </w:r>
      <w:r>
        <w:t>3</w:t>
      </w:r>
      <w:r>
        <w:fldChar w:fldCharType="end"/>
      </w:r>
    </w:p>
    <w:p>
      <w:pPr>
        <w:pStyle w:val="TOC8"/>
        <w:rPr>
          <w:sz w:val="24"/>
          <w:szCs w:val="24"/>
        </w:rPr>
      </w:pPr>
      <w:r>
        <w:rPr>
          <w:szCs w:val="24"/>
        </w:rPr>
        <w:t>3B.</w:t>
      </w:r>
      <w:r>
        <w:rPr>
          <w:szCs w:val="24"/>
        </w:rPr>
        <w:tab/>
        <w:t>Delegation</w:t>
      </w:r>
      <w:r>
        <w:tab/>
      </w:r>
      <w:r>
        <w:fldChar w:fldCharType="begin"/>
      </w:r>
      <w:r>
        <w:instrText xml:space="preserve"> PAGEREF _Toc264965151 \h </w:instrText>
      </w:r>
      <w:r>
        <w:fldChar w:fldCharType="separate"/>
      </w:r>
      <w:r>
        <w:t>3</w:t>
      </w:r>
      <w:r>
        <w:fldChar w:fldCharType="end"/>
      </w:r>
    </w:p>
    <w:p>
      <w:pPr>
        <w:pStyle w:val="TOC2"/>
        <w:tabs>
          <w:tab w:val="right" w:leader="dot" w:pos="7078"/>
        </w:tabs>
        <w:rPr>
          <w:b w:val="0"/>
          <w:sz w:val="24"/>
          <w:szCs w:val="24"/>
        </w:rPr>
      </w:pPr>
      <w:r>
        <w:rPr>
          <w:szCs w:val="30"/>
        </w:rPr>
        <w:t>Part II — Grounds</w:t>
      </w:r>
    </w:p>
    <w:p>
      <w:pPr>
        <w:pStyle w:val="TOC8"/>
        <w:rPr>
          <w:sz w:val="24"/>
          <w:szCs w:val="24"/>
        </w:rPr>
      </w:pPr>
      <w:r>
        <w:rPr>
          <w:szCs w:val="24"/>
        </w:rPr>
        <w:t>4</w:t>
      </w:r>
      <w:r>
        <w:rPr>
          <w:snapToGrid w:val="0"/>
          <w:szCs w:val="24"/>
        </w:rPr>
        <w:t>.</w:t>
      </w:r>
      <w:r>
        <w:rPr>
          <w:snapToGrid w:val="0"/>
          <w:szCs w:val="24"/>
        </w:rPr>
        <w:tab/>
        <w:t>Trespass and offensive behaviour</w:t>
      </w:r>
      <w:r>
        <w:tab/>
      </w:r>
      <w:r>
        <w:fldChar w:fldCharType="begin"/>
      </w:r>
      <w:r>
        <w:instrText xml:space="preserve"> PAGEREF _Toc264965153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Bill sticking</w:t>
      </w:r>
      <w:r>
        <w:tab/>
      </w:r>
      <w:r>
        <w:fldChar w:fldCharType="begin"/>
      </w:r>
      <w:r>
        <w:instrText xml:space="preserve"> PAGEREF _Toc264965154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Litter</w:t>
      </w:r>
      <w:r>
        <w:tab/>
      </w:r>
      <w:r>
        <w:fldChar w:fldCharType="begin"/>
      </w:r>
      <w:r>
        <w:instrText xml:space="preserve"> PAGEREF _Toc264965155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Liquor</w:t>
      </w:r>
      <w:r>
        <w:tab/>
      </w:r>
      <w:r>
        <w:fldChar w:fldCharType="begin"/>
      </w:r>
      <w:r>
        <w:instrText xml:space="preserve"> PAGEREF _Toc264965156 \h </w:instrText>
      </w:r>
      <w:r>
        <w:fldChar w:fldCharType="separate"/>
      </w:r>
      <w:r>
        <w:t>5</w:t>
      </w:r>
      <w:r>
        <w:fldChar w:fldCharType="end"/>
      </w:r>
    </w:p>
    <w:p>
      <w:pPr>
        <w:pStyle w:val="TOC8"/>
        <w:rPr>
          <w:sz w:val="24"/>
          <w:szCs w:val="24"/>
        </w:rPr>
      </w:pPr>
      <w:r>
        <w:rPr>
          <w:szCs w:val="24"/>
        </w:rPr>
        <w:t>8A.</w:t>
      </w:r>
      <w:r>
        <w:rPr>
          <w:szCs w:val="24"/>
        </w:rPr>
        <w:tab/>
        <w:t>Smoking</w:t>
      </w:r>
      <w:r>
        <w:tab/>
      </w:r>
      <w:r>
        <w:fldChar w:fldCharType="begin"/>
      </w:r>
      <w:r>
        <w:instrText xml:space="preserve"> PAGEREF _Toc264965157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Protection of trees, buildings, etc.</w:t>
      </w:r>
      <w:r>
        <w:tab/>
      </w:r>
      <w:r>
        <w:fldChar w:fldCharType="begin"/>
      </w:r>
      <w:r>
        <w:instrText xml:space="preserve"> PAGEREF _Toc264965158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Dangerous activities</w:t>
      </w:r>
      <w:r>
        <w:tab/>
      </w:r>
      <w:r>
        <w:fldChar w:fldCharType="begin"/>
      </w:r>
      <w:r>
        <w:instrText xml:space="preserve"> PAGEREF _Toc264965159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Animals</w:t>
      </w:r>
      <w:r>
        <w:tab/>
      </w:r>
      <w:r>
        <w:fldChar w:fldCharType="begin"/>
      </w:r>
      <w:r>
        <w:instrText xml:space="preserve"> PAGEREF _Toc264965160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Selling, distributing or hiring</w:t>
      </w:r>
      <w:r>
        <w:tab/>
      </w:r>
      <w:r>
        <w:fldChar w:fldCharType="begin"/>
      </w:r>
      <w:r>
        <w:instrText xml:space="preserve"> PAGEREF _Toc264965161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Removal of property</w:t>
      </w:r>
      <w:r>
        <w:tab/>
      </w:r>
      <w:r>
        <w:fldChar w:fldCharType="begin"/>
      </w:r>
      <w:r>
        <w:instrText xml:space="preserve"> PAGEREF _Toc264965162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Public performances, etc.</w:t>
      </w:r>
      <w:r>
        <w:tab/>
      </w:r>
      <w:r>
        <w:fldChar w:fldCharType="begin"/>
      </w:r>
      <w:r>
        <w:instrText xml:space="preserve"> PAGEREF _Toc264965163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Gambling</w:t>
      </w:r>
      <w:r>
        <w:tab/>
      </w:r>
      <w:r>
        <w:fldChar w:fldCharType="begin"/>
      </w:r>
      <w:r>
        <w:instrText xml:space="preserve"> PAGEREF _Toc264965164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Directions concerning use of certain areas</w:t>
      </w:r>
      <w:r>
        <w:tab/>
      </w:r>
      <w:r>
        <w:fldChar w:fldCharType="begin"/>
      </w:r>
      <w:r>
        <w:instrText xml:space="preserve"> PAGEREF _Toc264965165 \h </w:instrText>
      </w:r>
      <w:r>
        <w:fldChar w:fldCharType="separate"/>
      </w:r>
      <w:r>
        <w:t>7</w:t>
      </w:r>
      <w:r>
        <w:fldChar w:fldCharType="end"/>
      </w:r>
    </w:p>
    <w:p>
      <w:pPr>
        <w:pStyle w:val="TOC2"/>
        <w:tabs>
          <w:tab w:val="right" w:leader="dot" w:pos="7078"/>
        </w:tabs>
        <w:rPr>
          <w:b w:val="0"/>
          <w:sz w:val="24"/>
          <w:szCs w:val="24"/>
        </w:rPr>
      </w:pPr>
      <w:r>
        <w:rPr>
          <w:szCs w:val="30"/>
        </w:rPr>
        <w:t>Part III — Traffic control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16</w:t>
      </w:r>
      <w:r>
        <w:rPr>
          <w:snapToGrid w:val="0"/>
          <w:szCs w:val="24"/>
        </w:rPr>
        <w:t>.</w:t>
      </w:r>
      <w:r>
        <w:rPr>
          <w:snapToGrid w:val="0"/>
          <w:szCs w:val="24"/>
        </w:rPr>
        <w:tab/>
        <w:t>Driving of vehicles</w:t>
      </w:r>
      <w:r>
        <w:tab/>
      </w:r>
      <w:r>
        <w:fldChar w:fldCharType="begin"/>
      </w:r>
      <w:r>
        <w:instrText xml:space="preserve"> PAGEREF _Toc264965168 \h </w:instrText>
      </w:r>
      <w:r>
        <w:fldChar w:fldCharType="separate"/>
      </w:r>
      <w:r>
        <w:t>9</w:t>
      </w:r>
      <w:r>
        <w:fldChar w:fldCharType="end"/>
      </w:r>
    </w:p>
    <w:p>
      <w:pPr>
        <w:pStyle w:val="TOC8"/>
        <w:rPr>
          <w:sz w:val="24"/>
          <w:szCs w:val="24"/>
        </w:rPr>
      </w:pPr>
      <w:r>
        <w:rPr>
          <w:szCs w:val="24"/>
        </w:rPr>
        <w:lastRenderedPageBreak/>
        <w:t>17</w:t>
      </w:r>
      <w:r>
        <w:rPr>
          <w:snapToGrid w:val="0"/>
          <w:szCs w:val="24"/>
        </w:rPr>
        <w:t>.</w:t>
      </w:r>
      <w:r>
        <w:rPr>
          <w:snapToGrid w:val="0"/>
          <w:szCs w:val="24"/>
        </w:rPr>
        <w:tab/>
        <w:t>Driver to obey reasonable direction</w:t>
      </w:r>
      <w:r>
        <w:tab/>
      </w:r>
      <w:r>
        <w:fldChar w:fldCharType="begin"/>
      </w:r>
      <w:r>
        <w:instrText xml:space="preserve"> PAGEREF _Toc264965169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 xml:space="preserve">Application of </w:t>
      </w:r>
      <w:r>
        <w:rPr>
          <w:i/>
          <w:iCs/>
          <w:snapToGrid w:val="0"/>
          <w:szCs w:val="24"/>
        </w:rPr>
        <w:t>Road Traffic Code 2000</w:t>
      </w:r>
      <w:r>
        <w:tab/>
      </w:r>
      <w:r>
        <w:fldChar w:fldCharType="begin"/>
      </w:r>
      <w:r>
        <w:instrText xml:space="preserve"> PAGEREF _Toc264965170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Speed limits</w:t>
      </w:r>
      <w:r>
        <w:tab/>
      </w:r>
      <w:r>
        <w:fldChar w:fldCharType="begin"/>
      </w:r>
      <w:r>
        <w:instrText xml:space="preserve"> PAGEREF _Toc264965171 \h </w:instrText>
      </w:r>
      <w:r>
        <w:fldChar w:fldCharType="separate"/>
      </w:r>
      <w:r>
        <w:t>9</w:t>
      </w:r>
      <w:r>
        <w:fldChar w:fldCharType="end"/>
      </w:r>
    </w:p>
    <w:p>
      <w:pPr>
        <w:pStyle w:val="TOC8"/>
        <w:rPr>
          <w:sz w:val="24"/>
          <w:szCs w:val="24"/>
        </w:rPr>
      </w:pPr>
      <w:r>
        <w:rPr>
          <w:szCs w:val="24"/>
        </w:rPr>
        <w:t>20.</w:t>
      </w:r>
      <w:r>
        <w:rPr>
          <w:szCs w:val="24"/>
        </w:rPr>
        <w:tab/>
        <w:t>Use of roads on site</w:t>
      </w:r>
      <w:r>
        <w:tab/>
      </w:r>
      <w:r>
        <w:fldChar w:fldCharType="begin"/>
      </w:r>
      <w:r>
        <w:instrText xml:space="preserve"> PAGEREF _Toc264965172 \h </w:instrText>
      </w:r>
      <w:r>
        <w:fldChar w:fldCharType="separate"/>
      </w:r>
      <w:r>
        <w:t>10</w:t>
      </w:r>
      <w:r>
        <w:fldChar w:fldCharType="end"/>
      </w:r>
    </w:p>
    <w:p>
      <w:pPr>
        <w:pStyle w:val="TOC8"/>
        <w:rPr>
          <w:sz w:val="24"/>
          <w:szCs w:val="24"/>
        </w:rPr>
      </w:pPr>
      <w:r>
        <w:rPr>
          <w:szCs w:val="24"/>
        </w:rPr>
        <w:t>21</w:t>
      </w:r>
      <w:r>
        <w:rPr>
          <w:snapToGrid w:val="0"/>
          <w:szCs w:val="24"/>
        </w:rPr>
        <w:t>.</w:t>
      </w:r>
      <w:r>
        <w:rPr>
          <w:snapToGrid w:val="0"/>
          <w:szCs w:val="24"/>
        </w:rPr>
        <w:tab/>
        <w:t>Give way</w:t>
      </w:r>
      <w:r>
        <w:tab/>
      </w:r>
      <w:r>
        <w:fldChar w:fldCharType="begin"/>
      </w:r>
      <w:r>
        <w:instrText xml:space="preserve"> PAGEREF _Toc264965173 \h </w:instrText>
      </w:r>
      <w:r>
        <w:fldChar w:fldCharType="separate"/>
      </w:r>
      <w:r>
        <w:t>10</w:t>
      </w:r>
      <w:r>
        <w:fldChar w:fldCharType="end"/>
      </w:r>
    </w:p>
    <w:p>
      <w:pPr>
        <w:pStyle w:val="TOC8"/>
        <w:rPr>
          <w:sz w:val="24"/>
          <w:szCs w:val="24"/>
        </w:rPr>
      </w:pPr>
      <w:r>
        <w:rPr>
          <w:szCs w:val="24"/>
        </w:rPr>
        <w:t>22</w:t>
      </w:r>
      <w:r>
        <w:rPr>
          <w:snapToGrid w:val="0"/>
          <w:szCs w:val="24"/>
        </w:rPr>
        <w:t>.</w:t>
      </w:r>
      <w:r>
        <w:rPr>
          <w:snapToGrid w:val="0"/>
          <w:szCs w:val="24"/>
        </w:rPr>
        <w:tab/>
        <w:t>Roadway not to be used for instructions or repairs</w:t>
      </w:r>
      <w:r>
        <w:tab/>
      </w:r>
      <w:r>
        <w:fldChar w:fldCharType="begin"/>
      </w:r>
      <w:r>
        <w:instrText xml:space="preserve"> PAGEREF _Toc264965174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Parking</w:t>
      </w:r>
    </w:p>
    <w:p>
      <w:pPr>
        <w:pStyle w:val="TOC8"/>
        <w:rPr>
          <w:sz w:val="24"/>
          <w:szCs w:val="24"/>
        </w:rPr>
      </w:pPr>
      <w:r>
        <w:rPr>
          <w:szCs w:val="24"/>
        </w:rPr>
        <w:t>23</w:t>
      </w:r>
      <w:r>
        <w:rPr>
          <w:snapToGrid w:val="0"/>
          <w:szCs w:val="24"/>
        </w:rPr>
        <w:t>.</w:t>
      </w:r>
      <w:r>
        <w:rPr>
          <w:snapToGrid w:val="0"/>
          <w:szCs w:val="24"/>
        </w:rPr>
        <w:tab/>
        <w:t>Parking only in parking spaces</w:t>
      </w:r>
      <w:r>
        <w:tab/>
      </w:r>
      <w:r>
        <w:fldChar w:fldCharType="begin"/>
      </w:r>
      <w:r>
        <w:instrText xml:space="preserve"> PAGEREF _Toc264965176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Signs to be obeyed</w:t>
      </w:r>
      <w:r>
        <w:tab/>
      </w:r>
      <w:r>
        <w:fldChar w:fldCharType="begin"/>
      </w:r>
      <w:r>
        <w:instrText xml:space="preserve"> PAGEREF _Toc264965177 \h </w:instrText>
      </w:r>
      <w:r>
        <w:fldChar w:fldCharType="separate"/>
      </w:r>
      <w:r>
        <w:t>11</w:t>
      </w:r>
      <w:r>
        <w:fldChar w:fldCharType="end"/>
      </w:r>
    </w:p>
    <w:p>
      <w:pPr>
        <w:pStyle w:val="TOC8"/>
        <w:rPr>
          <w:sz w:val="24"/>
          <w:szCs w:val="24"/>
        </w:rPr>
      </w:pPr>
      <w:r>
        <w:rPr>
          <w:szCs w:val="24"/>
        </w:rPr>
        <w:t>25</w:t>
      </w:r>
      <w:r>
        <w:rPr>
          <w:snapToGrid w:val="0"/>
          <w:szCs w:val="24"/>
        </w:rPr>
        <w:t>.</w:t>
      </w:r>
      <w:r>
        <w:rPr>
          <w:snapToGrid w:val="0"/>
          <w:szCs w:val="24"/>
        </w:rPr>
        <w:tab/>
        <w:t>Parking in parking spaces</w:t>
      </w:r>
      <w:r>
        <w:tab/>
      </w:r>
      <w:r>
        <w:fldChar w:fldCharType="begin"/>
      </w:r>
      <w:r>
        <w:instrText xml:space="preserve"> PAGEREF _Toc264965178 \h </w:instrText>
      </w:r>
      <w:r>
        <w:fldChar w:fldCharType="separate"/>
      </w:r>
      <w:r>
        <w:t>11</w:t>
      </w:r>
      <w:r>
        <w:fldChar w:fldCharType="end"/>
      </w:r>
    </w:p>
    <w:p>
      <w:pPr>
        <w:pStyle w:val="TOC8"/>
        <w:rPr>
          <w:sz w:val="24"/>
          <w:szCs w:val="24"/>
        </w:rPr>
      </w:pPr>
      <w:r>
        <w:rPr>
          <w:szCs w:val="24"/>
        </w:rPr>
        <w:t>26.</w:t>
      </w:r>
      <w:r>
        <w:rPr>
          <w:szCs w:val="24"/>
        </w:rPr>
        <w:tab/>
        <w:t>Types of parking areas</w:t>
      </w:r>
      <w:r>
        <w:tab/>
      </w:r>
      <w:r>
        <w:fldChar w:fldCharType="begin"/>
      </w:r>
      <w:r>
        <w:instrText xml:space="preserve"> PAGEREF _Toc264965179 \h </w:instrText>
      </w:r>
      <w:r>
        <w:fldChar w:fldCharType="separate"/>
      </w:r>
      <w:r>
        <w:t>12</w:t>
      </w:r>
      <w:r>
        <w:fldChar w:fldCharType="end"/>
      </w:r>
    </w:p>
    <w:p>
      <w:pPr>
        <w:pStyle w:val="TOC8"/>
        <w:rPr>
          <w:sz w:val="24"/>
          <w:szCs w:val="24"/>
        </w:rPr>
      </w:pPr>
      <w:r>
        <w:rPr>
          <w:szCs w:val="24"/>
        </w:rPr>
        <w:t>26AA.</w:t>
      </w:r>
      <w:r>
        <w:rPr>
          <w:szCs w:val="24"/>
        </w:rPr>
        <w:tab/>
        <w:t>Parking in ticket parking area or boom gate controlled ticket parking area</w:t>
      </w:r>
      <w:r>
        <w:tab/>
      </w:r>
      <w:r>
        <w:fldChar w:fldCharType="begin"/>
      </w:r>
      <w:r>
        <w:instrText xml:space="preserve"> PAGEREF _Toc264965180 \h </w:instrText>
      </w:r>
      <w:r>
        <w:fldChar w:fldCharType="separate"/>
      </w:r>
      <w:r>
        <w:t>12</w:t>
      </w:r>
      <w:r>
        <w:fldChar w:fldCharType="end"/>
      </w:r>
    </w:p>
    <w:p>
      <w:pPr>
        <w:pStyle w:val="TOC8"/>
        <w:rPr>
          <w:sz w:val="24"/>
          <w:szCs w:val="24"/>
        </w:rPr>
      </w:pPr>
      <w:r>
        <w:rPr>
          <w:szCs w:val="24"/>
        </w:rPr>
        <w:t>26AB.</w:t>
      </w:r>
      <w:r>
        <w:rPr>
          <w:szCs w:val="24"/>
        </w:rPr>
        <w:tab/>
        <w:t>Parking in paid staff parking area</w:t>
      </w:r>
      <w:r>
        <w:tab/>
      </w:r>
      <w:r>
        <w:fldChar w:fldCharType="begin"/>
      </w:r>
      <w:r>
        <w:instrText xml:space="preserve"> PAGEREF _Toc264965181 \h </w:instrText>
      </w:r>
      <w:r>
        <w:fldChar w:fldCharType="separate"/>
      </w:r>
      <w:r>
        <w:t>13</w:t>
      </w:r>
      <w:r>
        <w:fldChar w:fldCharType="end"/>
      </w:r>
    </w:p>
    <w:p>
      <w:pPr>
        <w:pStyle w:val="TOC8"/>
        <w:rPr>
          <w:sz w:val="24"/>
          <w:szCs w:val="24"/>
        </w:rPr>
      </w:pPr>
      <w:r>
        <w:rPr>
          <w:szCs w:val="24"/>
        </w:rPr>
        <w:t>26AC.</w:t>
      </w:r>
      <w:r>
        <w:rPr>
          <w:szCs w:val="24"/>
        </w:rPr>
        <w:tab/>
        <w:t>Parking in permit parking area</w:t>
      </w:r>
      <w:r>
        <w:tab/>
      </w:r>
      <w:r>
        <w:fldChar w:fldCharType="begin"/>
      </w:r>
      <w:r>
        <w:instrText xml:space="preserve"> PAGEREF _Toc264965182 \h </w:instrText>
      </w:r>
      <w:r>
        <w:fldChar w:fldCharType="separate"/>
      </w:r>
      <w:r>
        <w:t>14</w:t>
      </w:r>
      <w:r>
        <w:fldChar w:fldCharType="end"/>
      </w:r>
    </w:p>
    <w:p>
      <w:pPr>
        <w:pStyle w:val="TOC8"/>
        <w:rPr>
          <w:sz w:val="24"/>
          <w:szCs w:val="24"/>
        </w:rPr>
      </w:pPr>
      <w:r>
        <w:rPr>
          <w:szCs w:val="24"/>
        </w:rPr>
        <w:t>26AD.</w:t>
      </w:r>
      <w:r>
        <w:rPr>
          <w:szCs w:val="24"/>
        </w:rPr>
        <w:tab/>
        <w:t>Parking permits</w:t>
      </w:r>
      <w:r>
        <w:tab/>
      </w:r>
      <w:r>
        <w:fldChar w:fldCharType="begin"/>
      </w:r>
      <w:r>
        <w:instrText xml:space="preserve"> PAGEREF _Toc264965183 \h </w:instrText>
      </w:r>
      <w:r>
        <w:fldChar w:fldCharType="separate"/>
      </w:r>
      <w:r>
        <w:t>14</w:t>
      </w:r>
      <w:r>
        <w:fldChar w:fldCharType="end"/>
      </w:r>
    </w:p>
    <w:p>
      <w:pPr>
        <w:pStyle w:val="TOC8"/>
        <w:rPr>
          <w:sz w:val="24"/>
          <w:szCs w:val="24"/>
        </w:rPr>
      </w:pPr>
      <w:r>
        <w:rPr>
          <w:szCs w:val="24"/>
        </w:rPr>
        <w:t>26AE.</w:t>
      </w:r>
      <w:r>
        <w:rPr>
          <w:szCs w:val="24"/>
        </w:rPr>
        <w:tab/>
        <w:t>Application for parking permit</w:t>
      </w:r>
      <w:r>
        <w:tab/>
      </w:r>
      <w:r>
        <w:fldChar w:fldCharType="begin"/>
      </w:r>
      <w:r>
        <w:instrText xml:space="preserve"> PAGEREF _Toc264965184 \h </w:instrText>
      </w:r>
      <w:r>
        <w:fldChar w:fldCharType="separate"/>
      </w:r>
      <w:r>
        <w:t>15</w:t>
      </w:r>
      <w:r>
        <w:fldChar w:fldCharType="end"/>
      </w:r>
    </w:p>
    <w:p>
      <w:pPr>
        <w:pStyle w:val="TOC8"/>
        <w:rPr>
          <w:sz w:val="24"/>
          <w:szCs w:val="24"/>
        </w:rPr>
      </w:pPr>
      <w:r>
        <w:rPr>
          <w:szCs w:val="24"/>
        </w:rPr>
        <w:t>26AF.</w:t>
      </w:r>
      <w:r>
        <w:rPr>
          <w:szCs w:val="24"/>
        </w:rPr>
        <w:tab/>
        <w:t>Fees for parking permits</w:t>
      </w:r>
      <w:r>
        <w:tab/>
      </w:r>
      <w:r>
        <w:fldChar w:fldCharType="begin"/>
      </w:r>
      <w:r>
        <w:instrText xml:space="preserve"> PAGEREF _Toc264965185 \h </w:instrText>
      </w:r>
      <w:r>
        <w:fldChar w:fldCharType="separate"/>
      </w:r>
      <w:r>
        <w:t>16</w:t>
      </w:r>
      <w:r>
        <w:fldChar w:fldCharType="end"/>
      </w:r>
    </w:p>
    <w:p>
      <w:pPr>
        <w:pStyle w:val="TOC8"/>
        <w:rPr>
          <w:sz w:val="24"/>
          <w:szCs w:val="24"/>
        </w:rPr>
      </w:pPr>
      <w:r>
        <w:rPr>
          <w:szCs w:val="24"/>
        </w:rPr>
        <w:t>26AG.</w:t>
      </w:r>
      <w:r>
        <w:rPr>
          <w:szCs w:val="24"/>
        </w:rPr>
        <w:tab/>
        <w:t>Cancellation of parking permit</w:t>
      </w:r>
      <w:r>
        <w:tab/>
      </w:r>
      <w:r>
        <w:fldChar w:fldCharType="begin"/>
      </w:r>
      <w:r>
        <w:instrText xml:space="preserve"> PAGEREF _Toc264965186 \h </w:instrText>
      </w:r>
      <w:r>
        <w:fldChar w:fldCharType="separate"/>
      </w:r>
      <w:r>
        <w:t>16</w:t>
      </w:r>
      <w:r>
        <w:fldChar w:fldCharType="end"/>
      </w:r>
    </w:p>
    <w:p>
      <w:pPr>
        <w:pStyle w:val="TOC8"/>
        <w:rPr>
          <w:sz w:val="24"/>
          <w:szCs w:val="24"/>
        </w:rPr>
      </w:pPr>
      <w:r>
        <w:rPr>
          <w:szCs w:val="24"/>
        </w:rPr>
        <w:t>26AH.</w:t>
      </w:r>
      <w:r>
        <w:rPr>
          <w:szCs w:val="24"/>
        </w:rPr>
        <w:tab/>
        <w:t>Refund of parking permit fees</w:t>
      </w:r>
      <w:r>
        <w:tab/>
      </w:r>
      <w:r>
        <w:fldChar w:fldCharType="begin"/>
      </w:r>
      <w:r>
        <w:instrText xml:space="preserve"> PAGEREF _Toc264965187 \h </w:instrText>
      </w:r>
      <w:r>
        <w:fldChar w:fldCharType="separate"/>
      </w:r>
      <w:r>
        <w:t>17</w:t>
      </w:r>
      <w:r>
        <w:fldChar w:fldCharType="end"/>
      </w:r>
    </w:p>
    <w:p>
      <w:pPr>
        <w:pStyle w:val="TOC8"/>
        <w:rPr>
          <w:sz w:val="24"/>
          <w:szCs w:val="24"/>
        </w:rPr>
      </w:pPr>
      <w:r>
        <w:rPr>
          <w:szCs w:val="24"/>
        </w:rPr>
        <w:t>26B</w:t>
      </w:r>
      <w:r>
        <w:rPr>
          <w:snapToGrid w:val="0"/>
          <w:szCs w:val="24"/>
        </w:rPr>
        <w:t>.</w:t>
      </w:r>
      <w:r>
        <w:rPr>
          <w:snapToGrid w:val="0"/>
          <w:szCs w:val="24"/>
        </w:rPr>
        <w:tab/>
        <w:t>Removal of vehicles</w:t>
      </w:r>
      <w:r>
        <w:tab/>
      </w:r>
      <w:r>
        <w:fldChar w:fldCharType="begin"/>
      </w:r>
      <w:r>
        <w:instrText xml:space="preserve"> PAGEREF _Toc264965188 \h </w:instrText>
      </w:r>
      <w:r>
        <w:fldChar w:fldCharType="separate"/>
      </w:r>
      <w:r>
        <w:t>18</w:t>
      </w:r>
      <w:r>
        <w:fldChar w:fldCharType="end"/>
      </w:r>
    </w:p>
    <w:p>
      <w:pPr>
        <w:pStyle w:val="TOC2"/>
        <w:tabs>
          <w:tab w:val="right" w:leader="dot" w:pos="7078"/>
        </w:tabs>
        <w:rPr>
          <w:b w:val="0"/>
          <w:sz w:val="24"/>
          <w:szCs w:val="24"/>
        </w:rPr>
      </w:pPr>
      <w:r>
        <w:rPr>
          <w:szCs w:val="30"/>
        </w:rPr>
        <w:t>Part V — Offences and penalties</w:t>
      </w:r>
    </w:p>
    <w:p>
      <w:pPr>
        <w:pStyle w:val="TOC8"/>
        <w:rPr>
          <w:sz w:val="24"/>
          <w:szCs w:val="24"/>
        </w:rPr>
      </w:pPr>
      <w:r>
        <w:rPr>
          <w:szCs w:val="24"/>
        </w:rPr>
        <w:t>27</w:t>
      </w:r>
      <w:r>
        <w:rPr>
          <w:snapToGrid w:val="0"/>
          <w:szCs w:val="24"/>
        </w:rPr>
        <w:t>.</w:t>
      </w:r>
      <w:r>
        <w:rPr>
          <w:snapToGrid w:val="0"/>
          <w:szCs w:val="24"/>
        </w:rPr>
        <w:tab/>
        <w:t>Definition</w:t>
      </w:r>
      <w:r>
        <w:tab/>
      </w:r>
      <w:r>
        <w:fldChar w:fldCharType="begin"/>
      </w:r>
      <w:r>
        <w:instrText xml:space="preserve"> PAGEREF _Toc264965190 \h </w:instrText>
      </w:r>
      <w:r>
        <w:fldChar w:fldCharType="separate"/>
      </w:r>
      <w:r>
        <w:t>19</w:t>
      </w:r>
      <w:r>
        <w:fldChar w:fldCharType="end"/>
      </w:r>
    </w:p>
    <w:p>
      <w:pPr>
        <w:pStyle w:val="TOC8"/>
        <w:rPr>
          <w:sz w:val="24"/>
          <w:szCs w:val="24"/>
        </w:rPr>
      </w:pPr>
      <w:r>
        <w:rPr>
          <w:szCs w:val="24"/>
        </w:rPr>
        <w:t>27A</w:t>
      </w:r>
      <w:r>
        <w:rPr>
          <w:snapToGrid w:val="0"/>
          <w:szCs w:val="24"/>
        </w:rPr>
        <w:t>.</w:t>
      </w:r>
      <w:r>
        <w:rPr>
          <w:snapToGrid w:val="0"/>
          <w:szCs w:val="24"/>
        </w:rPr>
        <w:tab/>
        <w:t>Offences</w:t>
      </w:r>
      <w:r>
        <w:tab/>
      </w:r>
      <w:r>
        <w:fldChar w:fldCharType="begin"/>
      </w:r>
      <w:r>
        <w:instrText xml:space="preserve"> PAGEREF _Toc264965191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General penalty</w:t>
      </w:r>
      <w:r>
        <w:tab/>
      </w:r>
      <w:r>
        <w:fldChar w:fldCharType="begin"/>
      </w:r>
      <w:r>
        <w:instrText xml:space="preserve"> PAGEREF _Toc264965192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Modified penalties</w:t>
      </w:r>
      <w:r>
        <w:tab/>
      </w:r>
      <w:r>
        <w:fldChar w:fldCharType="begin"/>
      </w:r>
      <w:r>
        <w:instrText xml:space="preserve"> PAGEREF _Toc264965193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Infringement notices</w:t>
      </w:r>
      <w:r>
        <w:tab/>
      </w:r>
      <w:r>
        <w:fldChar w:fldCharType="begin"/>
      </w:r>
      <w:r>
        <w:instrText xml:space="preserve"> PAGEREF _Toc264965194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Modified penalties</w:t>
      </w:r>
      <w:r>
        <w:tab/>
      </w:r>
      <w:r>
        <w:fldChar w:fldCharType="begin"/>
      </w:r>
      <w:r>
        <w:instrText xml:space="preserve"> PAGEREF _Toc264965195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Withdrawal of infringement notice</w:t>
      </w:r>
      <w:r>
        <w:tab/>
      </w:r>
      <w:r>
        <w:fldChar w:fldCharType="begin"/>
      </w:r>
      <w:r>
        <w:instrText xml:space="preserve"> PAGEREF _Toc264965196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Removal and endorsement of infringement notices</w:t>
      </w:r>
      <w:r>
        <w:tab/>
      </w:r>
      <w:r>
        <w:fldChar w:fldCharType="begin"/>
      </w:r>
      <w:r>
        <w:instrText xml:space="preserve"> PAGEREF _Toc264965197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Prosecutions</w:t>
      </w:r>
      <w:r>
        <w:tab/>
      </w:r>
      <w:r>
        <w:fldChar w:fldCharType="begin"/>
      </w:r>
      <w:r>
        <w:instrText xml:space="preserve"> PAGEREF _Toc264965198 \h </w:instrText>
      </w:r>
      <w:r>
        <w:fldChar w:fldCharType="separate"/>
      </w:r>
      <w:r>
        <w:t>21</w:t>
      </w:r>
      <w:r>
        <w:fldChar w:fldCharType="end"/>
      </w:r>
    </w:p>
    <w:p>
      <w:pPr>
        <w:pStyle w:val="TOC2"/>
        <w:tabs>
          <w:tab w:val="right" w:leader="dot" w:pos="7078"/>
        </w:tabs>
        <w:rPr>
          <w:b w:val="0"/>
          <w:sz w:val="24"/>
          <w:szCs w:val="24"/>
        </w:rPr>
      </w:pPr>
      <w:r>
        <w:rPr>
          <w:szCs w:val="30"/>
        </w:rPr>
        <w:t>Part VI — General</w:t>
      </w:r>
    </w:p>
    <w:p>
      <w:pPr>
        <w:pStyle w:val="TOC8"/>
        <w:rPr>
          <w:sz w:val="24"/>
          <w:szCs w:val="24"/>
        </w:rPr>
      </w:pPr>
      <w:r>
        <w:rPr>
          <w:szCs w:val="24"/>
        </w:rPr>
        <w:t>35</w:t>
      </w:r>
      <w:r>
        <w:rPr>
          <w:snapToGrid w:val="0"/>
          <w:szCs w:val="24"/>
        </w:rPr>
        <w:t>.</w:t>
      </w:r>
      <w:r>
        <w:rPr>
          <w:snapToGrid w:val="0"/>
          <w:szCs w:val="24"/>
        </w:rPr>
        <w:tab/>
        <w:t>Registered owner shall supply name and address of driver or person in charge of vehicle</w:t>
      </w:r>
      <w:r>
        <w:tab/>
      </w:r>
      <w:r>
        <w:fldChar w:fldCharType="begin"/>
      </w:r>
      <w:r>
        <w:instrText xml:space="preserve"> PAGEREF _Toc264965200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Other offences</w:t>
      </w:r>
      <w:r>
        <w:tab/>
      </w:r>
      <w:r>
        <w:fldChar w:fldCharType="begin"/>
      </w:r>
      <w:r>
        <w:instrText xml:space="preserve"> PAGEREF _Toc264965201 \h </w:instrText>
      </w:r>
      <w:r>
        <w:fldChar w:fldCharType="separate"/>
      </w:r>
      <w:r>
        <w:t>22</w:t>
      </w:r>
      <w:r>
        <w:fldChar w:fldCharType="end"/>
      </w:r>
    </w:p>
    <w:p>
      <w:pPr>
        <w:pStyle w:val="TOC2"/>
        <w:tabs>
          <w:tab w:val="right" w:leader="dot" w:pos="7078"/>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_Toc264965206 \h </w:instrText>
      </w:r>
      <w:r>
        <w:fldChar w:fldCharType="separate"/>
      </w:r>
      <w:r>
        <w:t>31</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spacing w:after="120"/>
        <w:rPr>
          <w:snapToGrid w:val="0"/>
        </w:rPr>
      </w:pPr>
      <w:r>
        <w:rPr>
          <w:snapToGrid w:val="0"/>
        </w:rPr>
        <w:t>Queen Elizabeth II Medical Centre Act 1966</w:t>
      </w:r>
    </w:p>
    <w:p>
      <w:pPr>
        <w:pStyle w:val="PrincipalActReg"/>
        <w:spacing w:after="120"/>
        <w:rPr>
          <w:snapToGrid w:val="0"/>
        </w:rPr>
      </w:pPr>
      <w:r>
        <w:rPr>
          <w:snapToGrid w:val="0"/>
        </w:rPr>
        <w:t>Interpretation Act 1984 (Section 25)</w:t>
      </w:r>
    </w:p>
    <w:p>
      <w:pPr>
        <w:pStyle w:val="NameofActReg"/>
      </w:pPr>
      <w:r>
        <w:t>Queen Elizabeth II Medical Centre (Delegated Site) By</w:t>
      </w:r>
      <w:r>
        <w:noBreakHyphen/>
        <w:t>laws 1986</w:t>
      </w:r>
    </w:p>
    <w:p>
      <w:pPr>
        <w:pStyle w:val="Heading2"/>
        <w:pageBreakBefore w:val="0"/>
      </w:pPr>
      <w:bookmarkStart w:id="2" w:name="_Toc264894837"/>
      <w:bookmarkStart w:id="3" w:name="_Toc264894993"/>
      <w:bookmarkStart w:id="4" w:name="_Toc264965146"/>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264965147"/>
      <w:r>
        <w:rPr>
          <w:rStyle w:val="CharSectno"/>
        </w:rPr>
        <w:t>1</w:t>
      </w:r>
      <w:r>
        <w:rPr>
          <w:snapToGrid w:val="0"/>
        </w:rPr>
        <w:t>.</w:t>
      </w:r>
      <w:r>
        <w:rPr>
          <w:snapToGrid w:val="0"/>
        </w:rPr>
        <w:tab/>
        <w:t>Citation</w:t>
      </w:r>
      <w:bookmarkEnd w:id="5"/>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6" w:name="_Toc264965148"/>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264965149"/>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Sir Charles Gairdner Hospital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rPr>
          <w:rStyle w:val="CharDefText"/>
          <w:b w:val="0"/>
          <w:i w:val="0"/>
        </w:rP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rPr>
          <w:b/>
        </w:rPr>
        <w:tab/>
      </w:r>
      <w:r>
        <w:rPr>
          <w:rStyle w:val="CharDefText"/>
        </w:rPr>
        <w:t>the site</w:t>
      </w:r>
      <w:r>
        <w:t xml:space="preserve"> means the land in respect of which powers are for the time being delegated to the Hospital under section 13 of the 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8" w:name="_Toc264965150"/>
      <w:r>
        <w:rPr>
          <w:rStyle w:val="CharSectno"/>
        </w:rPr>
        <w:t>3A</w:t>
      </w:r>
      <w:r>
        <w:t>.</w:t>
      </w:r>
      <w:r>
        <w:tab/>
        <w:t>Authorised persons</w:t>
      </w:r>
      <w:bookmarkEnd w:id="8"/>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9" w:name="_Toc264965151"/>
      <w:r>
        <w:rPr>
          <w:rStyle w:val="CharSectno"/>
        </w:rPr>
        <w:t>3B</w:t>
      </w:r>
      <w:r>
        <w:t>.</w:t>
      </w:r>
      <w:r>
        <w:tab/>
        <w:t>Delegation</w:t>
      </w:r>
      <w:bookmarkEnd w:id="9"/>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10" w:name="_Toc264894843"/>
      <w:bookmarkStart w:id="11" w:name="_Toc264894999"/>
      <w:bookmarkStart w:id="12" w:name="_Toc264965152"/>
      <w:r>
        <w:rPr>
          <w:rStyle w:val="CharPartNo"/>
        </w:rPr>
        <w:t>Part II</w:t>
      </w:r>
      <w:r>
        <w:rPr>
          <w:rStyle w:val="CharDivNo"/>
        </w:rPr>
        <w:t> </w:t>
      </w:r>
      <w:r>
        <w:t>—</w:t>
      </w:r>
      <w:r>
        <w:rPr>
          <w:rStyle w:val="CharDivText"/>
        </w:rPr>
        <w:t> </w:t>
      </w:r>
      <w:r>
        <w:rPr>
          <w:rStyle w:val="CharPartText"/>
        </w:rPr>
        <w:t>Grounds</w:t>
      </w:r>
      <w:bookmarkEnd w:id="10"/>
      <w:bookmarkEnd w:id="11"/>
      <w:bookmarkEnd w:id="12"/>
      <w:r>
        <w:rPr>
          <w:rStyle w:val="CharPartText"/>
        </w:rPr>
        <w:t xml:space="preserve"> </w:t>
      </w:r>
    </w:p>
    <w:p>
      <w:pPr>
        <w:pStyle w:val="Heading5"/>
        <w:rPr>
          <w:snapToGrid w:val="0"/>
        </w:rPr>
      </w:pPr>
      <w:bookmarkStart w:id="13" w:name="_Toc264965153"/>
      <w:r>
        <w:rPr>
          <w:rStyle w:val="CharSectno"/>
        </w:rPr>
        <w:t>4</w:t>
      </w:r>
      <w:r>
        <w:rPr>
          <w:snapToGrid w:val="0"/>
        </w:rPr>
        <w:t>.</w:t>
      </w:r>
      <w:r>
        <w:rPr>
          <w:snapToGrid w:val="0"/>
        </w:rPr>
        <w:tab/>
        <w:t>Trespass and offensive behaviour</w:t>
      </w:r>
      <w:bookmarkEnd w:id="13"/>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w:t>
      </w:r>
    </w:p>
    <w:p>
      <w:pPr>
        <w:pStyle w:val="Indenta"/>
        <w:rPr>
          <w:snapToGrid w:val="0"/>
        </w:rPr>
      </w:pPr>
      <w:r>
        <w:rPr>
          <w:snapToGrid w:val="0"/>
        </w:rPr>
        <w:tab/>
        <w:t>(b)</w:t>
      </w:r>
      <w:r>
        <w:rPr>
          <w:snapToGrid w:val="0"/>
        </w:rPr>
        <w:tab/>
        <w:t>use abusive or insulting language or do or engage in any offensive, indecent or improper act, conduct or behaviour;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14" w:name="_Toc264965154"/>
      <w:r>
        <w:rPr>
          <w:rStyle w:val="CharSectno"/>
        </w:rPr>
        <w:t>5</w:t>
      </w:r>
      <w:r>
        <w:rPr>
          <w:snapToGrid w:val="0"/>
        </w:rPr>
        <w:t>.</w:t>
      </w:r>
      <w:r>
        <w:rPr>
          <w:snapToGrid w:val="0"/>
        </w:rPr>
        <w:tab/>
        <w:t>Bill sticking</w:t>
      </w:r>
      <w:bookmarkEnd w:id="1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5" w:name="_Toc264965155"/>
      <w:r>
        <w:rPr>
          <w:rStyle w:val="CharSectno"/>
        </w:rPr>
        <w:t>6</w:t>
      </w:r>
      <w:r>
        <w:rPr>
          <w:snapToGrid w:val="0"/>
        </w:rPr>
        <w:t>.</w:t>
      </w:r>
      <w:r>
        <w:rPr>
          <w:snapToGrid w:val="0"/>
        </w:rPr>
        <w:tab/>
        <w:t>Litter</w:t>
      </w:r>
      <w:bookmarkEnd w:id="15"/>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6" w:name="_Toc264965156"/>
      <w:r>
        <w:rPr>
          <w:rStyle w:val="CharSectno"/>
        </w:rPr>
        <w:t>7</w:t>
      </w:r>
      <w:r>
        <w:rPr>
          <w:snapToGrid w:val="0"/>
        </w:rPr>
        <w:t>.</w:t>
      </w:r>
      <w:r>
        <w:rPr>
          <w:snapToGrid w:val="0"/>
        </w:rPr>
        <w:tab/>
        <w:t>Liquor</w:t>
      </w:r>
      <w:bookmarkEnd w:id="16"/>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7" w:name="_Toc264965157"/>
      <w:r>
        <w:rPr>
          <w:rStyle w:val="CharSectno"/>
        </w:rPr>
        <w:t>8A</w:t>
      </w:r>
      <w:r>
        <w:t>.</w:t>
      </w:r>
      <w:r>
        <w:tab/>
        <w:t>Smoking</w:t>
      </w:r>
      <w:bookmarkEnd w:id="17"/>
    </w:p>
    <w:p>
      <w:pPr>
        <w:pStyle w:val="Subsection"/>
      </w:pPr>
      <w:r>
        <w:tab/>
      </w:r>
      <w:r>
        <w:tab/>
        <w:t>A person who smokes on the site commits an offence.</w:t>
      </w:r>
    </w:p>
    <w:p>
      <w:pPr>
        <w:pStyle w:val="Footnotesection"/>
      </w:pPr>
      <w:r>
        <w:tab/>
        <w:t>[By-law 8A inserted in Gazette 22 Jun 2010 p. 2773.]</w:t>
      </w:r>
    </w:p>
    <w:p>
      <w:pPr>
        <w:pStyle w:val="Heading5"/>
        <w:rPr>
          <w:snapToGrid w:val="0"/>
        </w:rPr>
      </w:pPr>
      <w:bookmarkStart w:id="18" w:name="_Toc264965158"/>
      <w:r>
        <w:rPr>
          <w:rStyle w:val="CharSectno"/>
        </w:rPr>
        <w:t>8</w:t>
      </w:r>
      <w:r>
        <w:rPr>
          <w:snapToGrid w:val="0"/>
        </w:rPr>
        <w:t>.</w:t>
      </w:r>
      <w:r>
        <w:rPr>
          <w:snapToGrid w:val="0"/>
        </w:rPr>
        <w:tab/>
        <w:t>Protection of trees, buildings, etc.</w:t>
      </w:r>
      <w:bookmarkEnd w:id="18"/>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w:t>
      </w:r>
    </w:p>
    <w:p>
      <w:pPr>
        <w:pStyle w:val="Indenta"/>
        <w:rPr>
          <w:snapToGrid w:val="0"/>
        </w:rPr>
      </w:pPr>
      <w:r>
        <w:rPr>
          <w:snapToGrid w:val="0"/>
        </w:rPr>
        <w:tab/>
        <w:t>(b)</w:t>
      </w:r>
      <w:r>
        <w:rPr>
          <w:snapToGrid w:val="0"/>
        </w:rPr>
        <w:tab/>
        <w:t>damages, removes or interferes with any stake or label on or near any tree, shrub, plant, flower, garden or lawn on the site;</w:t>
      </w:r>
    </w:p>
    <w:p>
      <w:pPr>
        <w:pStyle w:val="Indenta"/>
        <w:rPr>
          <w:snapToGrid w:val="0"/>
        </w:rPr>
      </w:pPr>
      <w:r>
        <w:rPr>
          <w:snapToGrid w:val="0"/>
        </w:rPr>
        <w:tab/>
        <w:t>(c)</w:t>
      </w:r>
      <w:r>
        <w:rPr>
          <w:snapToGrid w:val="0"/>
        </w:rPr>
        <w:tab/>
        <w:t>walks on or causes damage to any area on the site containing or being prepared for shrubs or flowers;</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9" w:name="_Toc264965159"/>
      <w:r>
        <w:rPr>
          <w:rStyle w:val="CharSectno"/>
        </w:rPr>
        <w:t>9</w:t>
      </w:r>
      <w:r>
        <w:rPr>
          <w:snapToGrid w:val="0"/>
        </w:rPr>
        <w:t>.</w:t>
      </w:r>
      <w:r>
        <w:rPr>
          <w:snapToGrid w:val="0"/>
        </w:rPr>
        <w:tab/>
        <w:t>Dangerous activities</w:t>
      </w:r>
      <w:bookmarkEnd w:id="19"/>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w:t>
      </w:r>
    </w:p>
    <w:p>
      <w:pPr>
        <w:pStyle w:val="Indenta"/>
        <w:rPr>
          <w:snapToGrid w:val="0"/>
        </w:rPr>
      </w:pPr>
      <w:r>
        <w:rPr>
          <w:snapToGrid w:val="0"/>
        </w:rPr>
        <w:tab/>
        <w:t>(b)</w:t>
      </w:r>
      <w:r>
        <w:rPr>
          <w:snapToGrid w:val="0"/>
        </w:rPr>
        <w:tab/>
        <w:t>creates or discharges an offensive or dangerous gas, smoke, smell or noise;</w:t>
      </w:r>
    </w:p>
    <w:p>
      <w:pPr>
        <w:pStyle w:val="Indenta"/>
        <w:rPr>
          <w:snapToGrid w:val="0"/>
        </w:rPr>
      </w:pPr>
      <w:r>
        <w:rPr>
          <w:snapToGrid w:val="0"/>
        </w:rPr>
        <w:tab/>
        <w:t>(c)</w:t>
      </w:r>
      <w:r>
        <w:rPr>
          <w:snapToGrid w:val="0"/>
        </w:rPr>
        <w:tab/>
        <w:t>carries or discharges a firearm or other offensive weapon;</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20" w:name="_Toc264965160"/>
      <w:r>
        <w:rPr>
          <w:rStyle w:val="CharSectno"/>
        </w:rPr>
        <w:t>10</w:t>
      </w:r>
      <w:r>
        <w:rPr>
          <w:snapToGrid w:val="0"/>
        </w:rPr>
        <w:t>.</w:t>
      </w:r>
      <w:r>
        <w:rPr>
          <w:snapToGrid w:val="0"/>
        </w:rPr>
        <w:tab/>
        <w:t>Animals</w:t>
      </w:r>
      <w:bookmarkEnd w:id="20"/>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21" w:name="_Toc264965161"/>
      <w:r>
        <w:rPr>
          <w:rStyle w:val="CharSectno"/>
        </w:rPr>
        <w:t>11</w:t>
      </w:r>
      <w:r>
        <w:rPr>
          <w:snapToGrid w:val="0"/>
        </w:rPr>
        <w:t>.</w:t>
      </w:r>
      <w:r>
        <w:rPr>
          <w:snapToGrid w:val="0"/>
        </w:rPr>
        <w:tab/>
        <w:t>Selling, distributing or hiring</w:t>
      </w:r>
      <w:bookmarkEnd w:id="21"/>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w:t>
      </w:r>
    </w:p>
    <w:p>
      <w:pPr>
        <w:pStyle w:val="Indenta"/>
        <w:rPr>
          <w:snapToGrid w:val="0"/>
        </w:rPr>
      </w:pPr>
      <w:r>
        <w:rPr>
          <w:snapToGrid w:val="0"/>
        </w:rPr>
        <w:tab/>
        <w:t>(b)</w:t>
      </w:r>
      <w:r>
        <w:rPr>
          <w:snapToGrid w:val="0"/>
        </w:rPr>
        <w:tab/>
        <w:t>solicit or gather money;</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22" w:name="_Toc264965162"/>
      <w:r>
        <w:rPr>
          <w:rStyle w:val="CharSectno"/>
        </w:rPr>
        <w:t>12</w:t>
      </w:r>
      <w:r>
        <w:rPr>
          <w:snapToGrid w:val="0"/>
        </w:rPr>
        <w:t>.</w:t>
      </w:r>
      <w:r>
        <w:rPr>
          <w:snapToGrid w:val="0"/>
        </w:rPr>
        <w:tab/>
        <w:t>Removal of property</w:t>
      </w:r>
      <w:bookmarkEnd w:id="22"/>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23" w:name="_Toc264965163"/>
      <w:r>
        <w:rPr>
          <w:rStyle w:val="CharSectno"/>
        </w:rPr>
        <w:t>13</w:t>
      </w:r>
      <w:r>
        <w:rPr>
          <w:snapToGrid w:val="0"/>
        </w:rPr>
        <w:t>.</w:t>
      </w:r>
      <w:r>
        <w:rPr>
          <w:snapToGrid w:val="0"/>
        </w:rPr>
        <w:tab/>
        <w:t>Public performances, etc.</w:t>
      </w:r>
      <w:bookmarkEnd w:id="23"/>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24" w:name="_Toc264965164"/>
      <w:r>
        <w:rPr>
          <w:rStyle w:val="CharSectno"/>
        </w:rPr>
        <w:t>14</w:t>
      </w:r>
      <w:r>
        <w:rPr>
          <w:snapToGrid w:val="0"/>
        </w:rPr>
        <w:t>.</w:t>
      </w:r>
      <w:r>
        <w:rPr>
          <w:snapToGrid w:val="0"/>
        </w:rPr>
        <w:tab/>
        <w:t>Gambling</w:t>
      </w:r>
      <w:bookmarkEnd w:id="24"/>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5" w:name="_Toc264965165"/>
      <w:r>
        <w:rPr>
          <w:rStyle w:val="CharSectno"/>
        </w:rPr>
        <w:t>15</w:t>
      </w:r>
      <w:r>
        <w:rPr>
          <w:snapToGrid w:val="0"/>
        </w:rPr>
        <w:t>.</w:t>
      </w:r>
      <w:r>
        <w:rPr>
          <w:snapToGrid w:val="0"/>
        </w:rPr>
        <w:tab/>
        <w:t>Directions concerning use of certain areas</w:t>
      </w:r>
      <w:bookmarkEnd w:id="25"/>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6" w:name="_Toc264894857"/>
      <w:bookmarkStart w:id="27" w:name="_Toc264895013"/>
      <w:bookmarkStart w:id="28" w:name="_Toc264965166"/>
      <w:r>
        <w:rPr>
          <w:rStyle w:val="CharPartNo"/>
        </w:rPr>
        <w:t>Part III</w:t>
      </w:r>
      <w:r>
        <w:t> — </w:t>
      </w:r>
      <w:r>
        <w:rPr>
          <w:rStyle w:val="CharPartText"/>
        </w:rPr>
        <w:t>Traffic control</w:t>
      </w:r>
      <w:bookmarkEnd w:id="26"/>
      <w:bookmarkEnd w:id="27"/>
      <w:bookmarkEnd w:id="28"/>
      <w:r>
        <w:rPr>
          <w:rStyle w:val="CharPartText"/>
        </w:rPr>
        <w:t xml:space="preserve"> </w:t>
      </w:r>
    </w:p>
    <w:p>
      <w:pPr>
        <w:pStyle w:val="Heading3"/>
        <w:rPr>
          <w:snapToGrid w:val="0"/>
        </w:rPr>
      </w:pPr>
      <w:bookmarkStart w:id="29" w:name="_Toc264894858"/>
      <w:bookmarkStart w:id="30" w:name="_Toc264895014"/>
      <w:bookmarkStart w:id="31" w:name="_Toc264965167"/>
      <w:r>
        <w:rPr>
          <w:rStyle w:val="CharDivNo"/>
        </w:rPr>
        <w:t>Division 1</w:t>
      </w:r>
      <w:r>
        <w:rPr>
          <w:snapToGrid w:val="0"/>
        </w:rPr>
        <w:t> — </w:t>
      </w:r>
      <w:r>
        <w:rPr>
          <w:rStyle w:val="CharDivText"/>
        </w:rPr>
        <w:t>General</w:t>
      </w:r>
      <w:bookmarkEnd w:id="29"/>
      <w:bookmarkEnd w:id="30"/>
      <w:bookmarkEnd w:id="31"/>
      <w:r>
        <w:rPr>
          <w:rStyle w:val="CharDivText"/>
        </w:rPr>
        <w:t xml:space="preserve"> </w:t>
      </w:r>
    </w:p>
    <w:p>
      <w:pPr>
        <w:pStyle w:val="Heading5"/>
        <w:rPr>
          <w:snapToGrid w:val="0"/>
        </w:rPr>
      </w:pPr>
      <w:bookmarkStart w:id="32" w:name="_Toc264965168"/>
      <w:r>
        <w:rPr>
          <w:rStyle w:val="CharSectno"/>
        </w:rPr>
        <w:t>16</w:t>
      </w:r>
      <w:r>
        <w:rPr>
          <w:snapToGrid w:val="0"/>
        </w:rPr>
        <w:t>.</w:t>
      </w:r>
      <w:r>
        <w:rPr>
          <w:snapToGrid w:val="0"/>
        </w:rPr>
        <w:tab/>
        <w:t>Driving of vehicles</w:t>
      </w:r>
      <w:bookmarkEnd w:id="32"/>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33" w:name="_Toc264965169"/>
      <w:r>
        <w:rPr>
          <w:rStyle w:val="CharSectno"/>
        </w:rPr>
        <w:t>17</w:t>
      </w:r>
      <w:r>
        <w:rPr>
          <w:snapToGrid w:val="0"/>
        </w:rPr>
        <w:t>.</w:t>
      </w:r>
      <w:r>
        <w:rPr>
          <w:snapToGrid w:val="0"/>
        </w:rPr>
        <w:tab/>
        <w:t>Driver to obey reasonable direction</w:t>
      </w:r>
      <w:bookmarkEnd w:id="33"/>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34" w:name="_Toc264965170"/>
      <w:r>
        <w:rPr>
          <w:rStyle w:val="CharSectno"/>
        </w:rPr>
        <w:t>18</w:t>
      </w:r>
      <w:r>
        <w:rPr>
          <w:snapToGrid w:val="0"/>
        </w:rPr>
        <w:t>.</w:t>
      </w:r>
      <w:r>
        <w:rPr>
          <w:snapToGrid w:val="0"/>
        </w:rPr>
        <w:tab/>
        <w:t xml:space="preserve">Application of </w:t>
      </w:r>
      <w:r>
        <w:rPr>
          <w:i/>
          <w:iCs/>
          <w:snapToGrid w:val="0"/>
        </w:rPr>
        <w:t>Road Traffic Code 2000</w:t>
      </w:r>
      <w:bookmarkEnd w:id="34"/>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35" w:name="_Toc264965171"/>
      <w:r>
        <w:rPr>
          <w:rStyle w:val="CharSectno"/>
        </w:rPr>
        <w:t>19</w:t>
      </w:r>
      <w:r>
        <w:rPr>
          <w:snapToGrid w:val="0"/>
        </w:rPr>
        <w:t>.</w:t>
      </w:r>
      <w:r>
        <w:rPr>
          <w:snapToGrid w:val="0"/>
        </w:rPr>
        <w:tab/>
        <w:t>Speed limits</w:t>
      </w:r>
      <w:bookmarkEnd w:id="35"/>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36" w:name="_Toc264965172"/>
      <w:r>
        <w:rPr>
          <w:rStyle w:val="CharSectno"/>
        </w:rPr>
        <w:t>20</w:t>
      </w:r>
      <w:r>
        <w:t>.</w:t>
      </w:r>
      <w:r>
        <w:tab/>
        <w:t>Use of roads on site</w:t>
      </w:r>
      <w:bookmarkEnd w:id="36"/>
    </w:p>
    <w:p>
      <w:pPr>
        <w:pStyle w:val="Subsection"/>
      </w:pPr>
      <w:r>
        <w:tab/>
        <w:t>(1)</w:t>
      </w:r>
      <w:r>
        <w:tab/>
        <w:t>A person must not drive a vehicle —</w:t>
      </w:r>
    </w:p>
    <w:p>
      <w:pPr>
        <w:pStyle w:val="Indenta"/>
      </w:pPr>
      <w:r>
        <w:tab/>
        <w:t>(a)</w:t>
      </w:r>
      <w:r>
        <w:tab/>
        <w:t>on Hospital Avenue;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37" w:name="_Toc264965173"/>
      <w:r>
        <w:rPr>
          <w:rStyle w:val="CharSectno"/>
        </w:rPr>
        <w:t>21</w:t>
      </w:r>
      <w:r>
        <w:rPr>
          <w:snapToGrid w:val="0"/>
        </w:rPr>
        <w:t>.</w:t>
      </w:r>
      <w:r>
        <w:rPr>
          <w:snapToGrid w:val="0"/>
        </w:rPr>
        <w:tab/>
        <w:t>Give way</w:t>
      </w:r>
      <w:bookmarkEnd w:id="37"/>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38" w:name="_Toc264965174"/>
      <w:r>
        <w:rPr>
          <w:rStyle w:val="CharSectno"/>
        </w:rPr>
        <w:t>22</w:t>
      </w:r>
      <w:r>
        <w:rPr>
          <w:snapToGrid w:val="0"/>
        </w:rPr>
        <w:t>.</w:t>
      </w:r>
      <w:r>
        <w:rPr>
          <w:snapToGrid w:val="0"/>
        </w:rPr>
        <w:tab/>
        <w:t>Roadway not to be used for instructions or repairs</w:t>
      </w:r>
      <w:bookmarkEnd w:id="38"/>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9" w:name="_Toc264894866"/>
      <w:bookmarkStart w:id="40" w:name="_Toc264895022"/>
      <w:bookmarkStart w:id="41" w:name="_Toc264965175"/>
      <w:r>
        <w:rPr>
          <w:rStyle w:val="CharDivNo"/>
        </w:rPr>
        <w:t>Division 2</w:t>
      </w:r>
      <w:r>
        <w:rPr>
          <w:snapToGrid w:val="0"/>
        </w:rPr>
        <w:t> — </w:t>
      </w:r>
      <w:r>
        <w:rPr>
          <w:rStyle w:val="CharDivText"/>
        </w:rPr>
        <w:t>Parking</w:t>
      </w:r>
      <w:bookmarkEnd w:id="39"/>
      <w:bookmarkEnd w:id="40"/>
      <w:bookmarkEnd w:id="41"/>
      <w:r>
        <w:rPr>
          <w:rStyle w:val="CharDivText"/>
        </w:rPr>
        <w:t xml:space="preserve"> </w:t>
      </w:r>
    </w:p>
    <w:p>
      <w:pPr>
        <w:pStyle w:val="Heading5"/>
        <w:rPr>
          <w:snapToGrid w:val="0"/>
        </w:rPr>
      </w:pPr>
      <w:bookmarkStart w:id="42" w:name="_Toc264965176"/>
      <w:r>
        <w:rPr>
          <w:rStyle w:val="CharSectno"/>
        </w:rPr>
        <w:t>23</w:t>
      </w:r>
      <w:r>
        <w:rPr>
          <w:snapToGrid w:val="0"/>
        </w:rPr>
        <w:t>.</w:t>
      </w:r>
      <w:r>
        <w:rPr>
          <w:snapToGrid w:val="0"/>
        </w:rPr>
        <w:tab/>
        <w:t>Parking only in parking spaces</w:t>
      </w:r>
      <w:bookmarkEnd w:id="42"/>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rPr>
          <w:snapToGrid w:val="0"/>
        </w:rPr>
      </w:pPr>
      <w:bookmarkStart w:id="43" w:name="_Toc264965177"/>
      <w:r>
        <w:rPr>
          <w:rStyle w:val="CharSectno"/>
        </w:rPr>
        <w:t>24</w:t>
      </w:r>
      <w:r>
        <w:rPr>
          <w:snapToGrid w:val="0"/>
        </w:rPr>
        <w:t>.</w:t>
      </w:r>
      <w:r>
        <w:rPr>
          <w:snapToGrid w:val="0"/>
        </w:rPr>
        <w:tab/>
        <w:t>Signs to be obeyed</w:t>
      </w:r>
      <w:bookmarkEnd w:id="43"/>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p.881.] </w:t>
      </w:r>
    </w:p>
    <w:p>
      <w:pPr>
        <w:pStyle w:val="Heading5"/>
        <w:rPr>
          <w:snapToGrid w:val="0"/>
        </w:rPr>
      </w:pPr>
      <w:bookmarkStart w:id="44" w:name="_Toc264965178"/>
      <w:r>
        <w:rPr>
          <w:rStyle w:val="CharSectno"/>
        </w:rPr>
        <w:t>25</w:t>
      </w:r>
      <w:r>
        <w:rPr>
          <w:snapToGrid w:val="0"/>
        </w:rPr>
        <w:t>.</w:t>
      </w:r>
      <w:r>
        <w:rPr>
          <w:snapToGrid w:val="0"/>
        </w:rPr>
        <w:tab/>
        <w:t>Parking in parking spaces</w:t>
      </w:r>
      <w:bookmarkEnd w:id="44"/>
      <w:r>
        <w:rPr>
          <w:snapToGrid w:val="0"/>
        </w:rPr>
        <w:t xml:space="preserve"> </w:t>
      </w:r>
    </w:p>
    <w:p>
      <w:pPr>
        <w:pStyle w:val="Subsection"/>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w:t>
      </w:r>
    </w:p>
    <w:p>
      <w:pPr>
        <w:pStyle w:val="Indenta"/>
        <w:rPr>
          <w:snapToGrid w:val="0"/>
        </w:rPr>
      </w:pPr>
      <w:r>
        <w:rPr>
          <w:snapToGrid w:val="0"/>
        </w:rPr>
        <w:tab/>
        <w:t>(b)</w:t>
      </w:r>
      <w:r>
        <w:rPr>
          <w:snapToGrid w:val="0"/>
        </w:rPr>
        <w:tab/>
        <w:t>for the vehicle of a specified person or specified class of persons;</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rPr>
          <w:snapToGrid w:val="0"/>
        </w:rPr>
      </w:pPr>
      <w:r>
        <w:rPr>
          <w:snapToGrid w:val="0"/>
        </w:rPr>
        <w:tab/>
      </w:r>
      <w:r>
        <w:rPr>
          <w:snapToGrid w:val="0"/>
        </w:rPr>
        <w:tab/>
        <w:t>as the case requires.</w:t>
      </w:r>
    </w:p>
    <w:p>
      <w:pPr>
        <w:pStyle w:val="Ednotesubsection"/>
      </w:pPr>
      <w:r>
        <w:tab/>
        <w:t>[(3), (3a),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p.4820; 22 Feb 1991 p.881; 22 Aug 1995 p.3802; 29 Jun 2001 p. 3113; 22 Jun 2010 p. 2774.]</w:t>
      </w:r>
    </w:p>
    <w:p>
      <w:pPr>
        <w:pStyle w:val="Heading5"/>
      </w:pPr>
      <w:bookmarkStart w:id="45" w:name="_Toc264965179"/>
      <w:r>
        <w:rPr>
          <w:rStyle w:val="CharSectno"/>
        </w:rPr>
        <w:t>26</w:t>
      </w:r>
      <w:r>
        <w:t>.</w:t>
      </w:r>
      <w:r>
        <w:tab/>
        <w:t>Types of parking areas</w:t>
      </w:r>
      <w:bookmarkEnd w:id="45"/>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pPr>
      <w:bookmarkStart w:id="46" w:name="_Toc264965180"/>
      <w:r>
        <w:rPr>
          <w:rStyle w:val="CharSectno"/>
        </w:rPr>
        <w:t>26AA</w:t>
      </w:r>
      <w:r>
        <w:t>.</w:t>
      </w:r>
      <w:r>
        <w:tab/>
        <w:t>Parking in ticket parking area or boom gate controlled ticket parking area</w:t>
      </w:r>
      <w:bookmarkEnd w:id="46"/>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47" w:name="_Toc264965181"/>
      <w:r>
        <w:rPr>
          <w:rStyle w:val="CharSectno"/>
        </w:rPr>
        <w:t>26AB</w:t>
      </w:r>
      <w:r>
        <w:t>.</w:t>
      </w:r>
      <w:r>
        <w:tab/>
        <w:t>Parking in paid staff parking area</w:t>
      </w:r>
      <w:bookmarkEnd w:id="47"/>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48" w:name="_Toc264965182"/>
      <w:r>
        <w:rPr>
          <w:rStyle w:val="CharSectno"/>
        </w:rPr>
        <w:t>26AC</w:t>
      </w:r>
      <w:r>
        <w:t>.</w:t>
      </w:r>
      <w:r>
        <w:tab/>
        <w:t>Parking in permit parking area</w:t>
      </w:r>
      <w:bookmarkEnd w:id="48"/>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49" w:name="_Toc264965183"/>
      <w:r>
        <w:rPr>
          <w:rStyle w:val="CharSectno"/>
        </w:rPr>
        <w:t>26AD</w:t>
      </w:r>
      <w:r>
        <w:t>.</w:t>
      </w:r>
      <w:r>
        <w:tab/>
        <w:t>Parking permits</w:t>
      </w:r>
      <w:bookmarkEnd w:id="49"/>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50" w:name="_Toc264965184"/>
      <w:r>
        <w:rPr>
          <w:rStyle w:val="CharSectno"/>
        </w:rPr>
        <w:t>26AE</w:t>
      </w:r>
      <w:r>
        <w:t>.</w:t>
      </w:r>
      <w:r>
        <w:tab/>
        <w:t>Application for parking permit</w:t>
      </w:r>
      <w:bookmarkEnd w:id="50"/>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Heading5"/>
      </w:pPr>
      <w:bookmarkStart w:id="51" w:name="_Toc264965185"/>
      <w:r>
        <w:rPr>
          <w:rStyle w:val="CharSectno"/>
        </w:rPr>
        <w:t>26AF</w:t>
      </w:r>
      <w:r>
        <w:t>.</w:t>
      </w:r>
      <w:r>
        <w:tab/>
        <w:t>Fees for parking permits</w:t>
      </w:r>
      <w:bookmarkEnd w:id="51"/>
    </w:p>
    <w:p>
      <w:pPr>
        <w:pStyle w:val="Subsection"/>
      </w:pPr>
      <w:r>
        <w:tab/>
        <w:t>(1)</w:t>
      </w:r>
      <w:r>
        <w:tab/>
        <w:t>The prescribed fee is payable for a parking permit.</w:t>
      </w:r>
    </w:p>
    <w:p>
      <w:pPr>
        <w:pStyle w:val="Subsection"/>
      </w:pPr>
      <w:r>
        <w:tab/>
        <w:t>(2)</w:t>
      </w:r>
      <w:r>
        <w:tab/>
        <w:t>The fees for a parking permit must be paid —</w:t>
      </w:r>
    </w:p>
    <w:p>
      <w:pPr>
        <w:pStyle w:val="Indenta"/>
      </w:pPr>
      <w:r>
        <w:tab/>
        <w:t>(a)</w:t>
      </w:r>
      <w:r>
        <w:tab/>
        <w:t>in full for the whole of the period for which the permit is to be in force paid when the permit is issued; or</w:t>
      </w:r>
    </w:p>
    <w:p>
      <w:pPr>
        <w:pStyle w:val="Indenta"/>
      </w:pPr>
      <w:r>
        <w:tab/>
        <w:t>(b)</w:t>
      </w:r>
      <w:r>
        <w:tab/>
        <w:t>in fortnightly payments made by way of payroll deduction; or</w:t>
      </w:r>
    </w:p>
    <w:p>
      <w:pPr>
        <w:pStyle w:val="Indenta"/>
      </w:pPr>
      <w:r>
        <w:tab/>
        <w:t>(c)</w:t>
      </w:r>
      <w:r>
        <w:tab/>
        <w:t>in any other manner approved by the secretary.</w:t>
      </w:r>
    </w:p>
    <w:p>
      <w:pPr>
        <w:pStyle w:val="Subsection"/>
      </w:pPr>
      <w:r>
        <w:tab/>
        <w:t>(3)</w:t>
      </w:r>
      <w:r>
        <w:tab/>
        <w:t>An authorised person must not grant a parking permit unless at the time it is granted —</w:t>
      </w:r>
    </w:p>
    <w:p>
      <w:pPr>
        <w:pStyle w:val="Indenta"/>
      </w:pPr>
      <w:r>
        <w:tab/>
        <w:t>(a)</w:t>
      </w:r>
      <w:r>
        <w:tab/>
        <w:t>the applicant pays the fee for the permit in accordance with sub</w:t>
      </w:r>
      <w:r>
        <w:noBreakHyphen/>
        <w:t>bylaw (2)(a); or</w:t>
      </w:r>
    </w:p>
    <w:p>
      <w:pPr>
        <w:pStyle w:val="Indenta"/>
      </w:pPr>
      <w:r>
        <w:tab/>
        <w:t>(b)</w:t>
      </w:r>
      <w:r>
        <w:tab/>
        <w:t>the authorised person is satisfied that arrangements are in place for the fees for the permit to be paid in accordance with sub</w:t>
      </w:r>
      <w:r>
        <w:noBreakHyphen/>
        <w:t>bylaw (2)(b); or</w:t>
      </w:r>
    </w:p>
    <w:p>
      <w:pPr>
        <w:pStyle w:val="Indenta"/>
      </w:pPr>
      <w:r>
        <w:tab/>
        <w:t>(c)</w:t>
      </w:r>
      <w:r>
        <w:tab/>
        <w:t>the authorised person is satisfied that the fees for the permit have been or will be paid in accordance with sub</w:t>
      </w:r>
      <w:r>
        <w:noBreakHyphen/>
        <w:t>bylaw (2)(c).</w:t>
      </w:r>
    </w:p>
    <w:p>
      <w:pPr>
        <w:pStyle w:val="Footnotesection"/>
      </w:pPr>
      <w:r>
        <w:tab/>
        <w:t>[By-law 26AF inserted in Gazette 22 Jun 2010 p. 2776-7.]</w:t>
      </w:r>
    </w:p>
    <w:p>
      <w:pPr>
        <w:pStyle w:val="Heading5"/>
      </w:pPr>
      <w:bookmarkStart w:id="52" w:name="_Toc264965186"/>
      <w:r>
        <w:rPr>
          <w:rStyle w:val="CharSectno"/>
        </w:rPr>
        <w:t>26AG</w:t>
      </w:r>
      <w:r>
        <w:t>.</w:t>
      </w:r>
      <w:r>
        <w:tab/>
        <w:t>Cancellation of parking permit</w:t>
      </w:r>
      <w:bookmarkEnd w:id="52"/>
    </w:p>
    <w:p>
      <w:pPr>
        <w:pStyle w:val="Subsection"/>
      </w:pPr>
      <w:r>
        <w:tab/>
        <w:t>(1)</w:t>
      </w:r>
      <w:r>
        <w:tab/>
        <w:t>There are grounds for cancelling a parking permit if —</w:t>
      </w:r>
    </w:p>
    <w:p>
      <w:pPr>
        <w:pStyle w:val="Indenta"/>
      </w:pPr>
      <w:r>
        <w:tab/>
        <w:t>(a)</w:t>
      </w:r>
      <w:r>
        <w:tab/>
        <w:t>in the case of a permit holder who pays the fees for the permit in accordance with by</w:t>
      </w:r>
      <w:r>
        <w:noBreakHyphen/>
        <w:t>law 26AF(2)(b) or (c) — the permit holder fails to make any payment when it becomes due; or</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pPr>
      <w:r>
        <w:tab/>
        <w:t>(2)</w:t>
      </w:r>
      <w:r>
        <w:tab/>
        <w:t>If an authorised person considers that there are grounds for cancelling a parking permit under sub</w:t>
      </w:r>
      <w:r>
        <w:noBreakHyphen/>
        <w:t>bylaw (1)(a) to (e), the authorised person may cancel the permit by giving the permit holder 14 days written notice.</w:t>
      </w:r>
    </w:p>
    <w:p>
      <w:pPr>
        <w:pStyle w:val="Subsection"/>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pPr>
      <w:r>
        <w:tab/>
        <w:t>(4)</w:t>
      </w:r>
      <w:r>
        <w:tab/>
        <w:t>If the permit holder requests an authorised person to do so, the authorised person may cancel the permit by giving the permit holder written notice.</w:t>
      </w:r>
    </w:p>
    <w:p>
      <w:pPr>
        <w:pStyle w:val="Subsection"/>
      </w:pPr>
      <w:r>
        <w:tab/>
        <w:t>(5)</w:t>
      </w:r>
      <w:r>
        <w:tab/>
        <w:t>The notice given under this by</w:t>
      </w:r>
      <w:r>
        <w:noBreakHyphen/>
        <w:t>law must set out the grounds on which the permit is cancelled.</w:t>
      </w:r>
    </w:p>
    <w:p>
      <w:pPr>
        <w:pStyle w:val="Footnotesection"/>
      </w:pPr>
      <w:r>
        <w:tab/>
        <w:t>[By-law 26AG inserted in Gazette 22 Jun 2010 p. 2777-8.]</w:t>
      </w:r>
    </w:p>
    <w:p>
      <w:pPr>
        <w:pStyle w:val="Heading5"/>
      </w:pPr>
      <w:bookmarkStart w:id="53" w:name="_Toc264965187"/>
      <w:r>
        <w:rPr>
          <w:rStyle w:val="CharSectno"/>
        </w:rPr>
        <w:t>26AH</w:t>
      </w:r>
      <w:r>
        <w:t>.</w:t>
      </w:r>
      <w:r>
        <w:tab/>
        <w:t>Refund of parking permit fees</w:t>
      </w:r>
      <w:bookmarkEnd w:id="53"/>
    </w:p>
    <w:p>
      <w:pPr>
        <w:pStyle w:val="Subsection"/>
      </w:pPr>
      <w:r>
        <w:tab/>
        <w:t>(1)</w:t>
      </w:r>
      <w:r>
        <w:tab/>
        <w:t>If a parking permit is cancelled on a ground referred to in by</w:t>
      </w:r>
      <w:r>
        <w:noBreakHyphen/>
        <w:t>law 26AG(1)(f) or (g) the secretary must cause any permit fee paid for any week commencing on or after the day on which the permit is cancelled to be refunded to the permit holder.</w:t>
      </w:r>
    </w:p>
    <w:p>
      <w:pPr>
        <w:pStyle w:val="Subsection"/>
      </w:pPr>
      <w:r>
        <w:tab/>
        <w:t>(2)</w:t>
      </w:r>
      <w:r>
        <w:tab/>
        <w:t>If a parking permit is cancelled on the ground referred to in by</w:t>
      </w:r>
      <w:r>
        <w:noBreakHyphen/>
        <w:t>law 26AG(1)(e) the secretary may cause any permit fee paid for any week commencing on or after the day on which the permit is cancelled to be refunded to the permit holder.</w:t>
      </w:r>
    </w:p>
    <w:p>
      <w:pPr>
        <w:pStyle w:val="Subsection"/>
      </w:pPr>
      <w:r>
        <w:tab/>
        <w:t>(3)</w:t>
      </w:r>
      <w:r>
        <w:tab/>
        <w:t>If an authorised person is satisfied that a permit holder will not park, or has not parked, on the site for a continuous period exceeding 4 weeks, the authorised person may waive the fees payable for the permit for that period.</w:t>
      </w:r>
    </w:p>
    <w:p>
      <w:pPr>
        <w:pStyle w:val="Footnotesection"/>
      </w:pPr>
      <w:r>
        <w:tab/>
        <w:t>[By-law 26AH inserted in Gazette 22 Jun 2010 p. 2778.]</w:t>
      </w:r>
    </w:p>
    <w:p>
      <w:pPr>
        <w:pStyle w:val="Ednotesection"/>
      </w:pPr>
      <w:r>
        <w:t>[</w:t>
      </w:r>
      <w:r>
        <w:rPr>
          <w:b/>
          <w:bCs/>
        </w:rPr>
        <w:t>26A.</w:t>
      </w:r>
      <w:r>
        <w:tab/>
        <w:t>Deleted in Gazette 22 Jun 2010 p. 2774.]</w:t>
      </w:r>
    </w:p>
    <w:p>
      <w:pPr>
        <w:pStyle w:val="Heading5"/>
        <w:spacing w:before="180"/>
        <w:rPr>
          <w:snapToGrid w:val="0"/>
        </w:rPr>
      </w:pPr>
      <w:bookmarkStart w:id="54" w:name="_Toc264965188"/>
      <w:r>
        <w:rPr>
          <w:rStyle w:val="CharSectno"/>
        </w:rPr>
        <w:t>26B</w:t>
      </w:r>
      <w:r>
        <w:rPr>
          <w:snapToGrid w:val="0"/>
        </w:rPr>
        <w:t>.</w:t>
      </w:r>
      <w:r>
        <w:rPr>
          <w:snapToGrid w:val="0"/>
        </w:rPr>
        <w:tab/>
        <w:t>Removal of vehicles</w:t>
      </w:r>
      <w:bookmarkEnd w:id="54"/>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p.4821; amended in Gazette 29 Jun 2001 p. 3113; 22 Jun 2010 p. 2778.] </w:t>
      </w:r>
    </w:p>
    <w:p>
      <w:pPr>
        <w:pStyle w:val="Heading2"/>
      </w:pPr>
      <w:bookmarkStart w:id="55" w:name="_Toc264894880"/>
      <w:bookmarkStart w:id="56" w:name="_Toc264895036"/>
      <w:bookmarkStart w:id="57" w:name="_Toc264965189"/>
      <w:r>
        <w:rPr>
          <w:rStyle w:val="CharPartNo"/>
        </w:rPr>
        <w:t>Part V</w:t>
      </w:r>
      <w:r>
        <w:rPr>
          <w:rStyle w:val="CharDivNo"/>
        </w:rPr>
        <w:t> </w:t>
      </w:r>
      <w:r>
        <w:t>—</w:t>
      </w:r>
      <w:r>
        <w:rPr>
          <w:rStyle w:val="CharDivText"/>
        </w:rPr>
        <w:t> </w:t>
      </w:r>
      <w:r>
        <w:rPr>
          <w:rStyle w:val="CharPartText"/>
        </w:rPr>
        <w:t>Offences and penalties</w:t>
      </w:r>
      <w:bookmarkEnd w:id="55"/>
      <w:bookmarkEnd w:id="56"/>
      <w:bookmarkEnd w:id="57"/>
      <w:r>
        <w:rPr>
          <w:rStyle w:val="CharPartText"/>
        </w:rPr>
        <w:t xml:space="preserve"> </w:t>
      </w:r>
    </w:p>
    <w:p>
      <w:pPr>
        <w:pStyle w:val="Heading5"/>
        <w:rPr>
          <w:snapToGrid w:val="0"/>
        </w:rPr>
      </w:pPr>
      <w:bookmarkStart w:id="58" w:name="_Toc264965190"/>
      <w:r>
        <w:rPr>
          <w:rStyle w:val="CharSectno"/>
        </w:rPr>
        <w:t>27</w:t>
      </w:r>
      <w:r>
        <w:rPr>
          <w:snapToGrid w:val="0"/>
        </w:rPr>
        <w:t>.</w:t>
      </w:r>
      <w:r>
        <w:rPr>
          <w:snapToGrid w:val="0"/>
        </w:rPr>
        <w:tab/>
        <w:t>Definition</w:t>
      </w:r>
      <w:bookmarkEnd w:id="5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59" w:name="endcomma"/>
      <w:bookmarkEnd w:id="59"/>
      <w:r>
        <w:rPr>
          <w:rStyle w:val="CharDefText"/>
        </w:rPr>
        <w:t>modified penalty</w:t>
      </w:r>
      <w:r>
        <w:t xml:space="preserve"> </w:t>
      </w:r>
      <w:bookmarkStart w:id="60" w:name="comma"/>
      <w:bookmarkEnd w:id="60"/>
      <w:r>
        <w:t>means modified penalty prescribed in Schedule 2 for an offence under these by</w:t>
      </w:r>
      <w:r>
        <w:noBreakHyphen/>
        <w:t>laws.</w:t>
      </w:r>
    </w:p>
    <w:p>
      <w:pPr>
        <w:pStyle w:val="Footnotesection"/>
      </w:pPr>
      <w:r>
        <w:tab/>
        <w:t>[By-law 27 amended in Gazette 29 Jun 2001 p. 3113; 22 Jun 2010 p. 2778.]</w:t>
      </w:r>
    </w:p>
    <w:p>
      <w:pPr>
        <w:pStyle w:val="Heading5"/>
        <w:rPr>
          <w:snapToGrid w:val="0"/>
        </w:rPr>
      </w:pPr>
      <w:bookmarkStart w:id="61" w:name="_Toc264965191"/>
      <w:r>
        <w:rPr>
          <w:rStyle w:val="CharSectno"/>
        </w:rPr>
        <w:t>27A</w:t>
      </w:r>
      <w:r>
        <w:rPr>
          <w:snapToGrid w:val="0"/>
        </w:rPr>
        <w:t>.</w:t>
      </w:r>
      <w:r>
        <w:rPr>
          <w:snapToGrid w:val="0"/>
        </w:rPr>
        <w:tab/>
        <w:t>Offences</w:t>
      </w:r>
      <w:bookmarkEnd w:id="61"/>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p.4821.] </w:t>
      </w:r>
    </w:p>
    <w:p>
      <w:pPr>
        <w:pStyle w:val="Heading5"/>
        <w:rPr>
          <w:snapToGrid w:val="0"/>
        </w:rPr>
      </w:pPr>
      <w:bookmarkStart w:id="62" w:name="_Toc264965192"/>
      <w:r>
        <w:rPr>
          <w:rStyle w:val="CharSectno"/>
        </w:rPr>
        <w:t>28</w:t>
      </w:r>
      <w:r>
        <w:rPr>
          <w:snapToGrid w:val="0"/>
        </w:rPr>
        <w:t>.</w:t>
      </w:r>
      <w:r>
        <w:rPr>
          <w:snapToGrid w:val="0"/>
        </w:rPr>
        <w:tab/>
        <w:t>General penalty</w:t>
      </w:r>
      <w:bookmarkEnd w:id="62"/>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rPr>
          <w:snapToGrid w:val="0"/>
        </w:rPr>
      </w:pPr>
      <w:bookmarkStart w:id="63" w:name="_Toc264965193"/>
      <w:r>
        <w:rPr>
          <w:rStyle w:val="CharSectno"/>
        </w:rPr>
        <w:t>29</w:t>
      </w:r>
      <w:r>
        <w:rPr>
          <w:snapToGrid w:val="0"/>
        </w:rPr>
        <w:t>.</w:t>
      </w:r>
      <w:r>
        <w:rPr>
          <w:snapToGrid w:val="0"/>
        </w:rPr>
        <w:tab/>
        <w:t>Modified penalties</w:t>
      </w:r>
      <w:bookmarkEnd w:id="63"/>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64" w:name="_Toc264965194"/>
      <w:r>
        <w:rPr>
          <w:rStyle w:val="CharSectno"/>
        </w:rPr>
        <w:t>30</w:t>
      </w:r>
      <w:r>
        <w:rPr>
          <w:snapToGrid w:val="0"/>
        </w:rPr>
        <w:t>.</w:t>
      </w:r>
      <w:r>
        <w:rPr>
          <w:snapToGrid w:val="0"/>
        </w:rPr>
        <w:tab/>
        <w:t>Infringement notices</w:t>
      </w:r>
      <w:bookmarkEnd w:id="64"/>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w:t>
      </w:r>
    </w:p>
    <w:p>
      <w:pPr>
        <w:pStyle w:val="Indenta"/>
        <w:rPr>
          <w:snapToGrid w:val="0"/>
        </w:rPr>
      </w:pPr>
      <w:r>
        <w:rPr>
          <w:snapToGrid w:val="0"/>
        </w:rPr>
        <w:tab/>
        <w:t>(b)</w:t>
      </w:r>
      <w:r>
        <w:rPr>
          <w:snapToGrid w:val="0"/>
        </w:rPr>
        <w:tab/>
        <w:t>identify the alleged offender by reference to his name and address or the vehicle make and registration number of his vehicle;</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p.4821; 29 Jun 2001 p. 3113; 22 Jun 2010 p. 2778.] </w:t>
      </w:r>
    </w:p>
    <w:p>
      <w:pPr>
        <w:pStyle w:val="Heading5"/>
        <w:rPr>
          <w:snapToGrid w:val="0"/>
        </w:rPr>
      </w:pPr>
      <w:bookmarkStart w:id="65" w:name="_Toc264965195"/>
      <w:r>
        <w:rPr>
          <w:rStyle w:val="CharSectno"/>
        </w:rPr>
        <w:t>31</w:t>
      </w:r>
      <w:r>
        <w:rPr>
          <w:snapToGrid w:val="0"/>
        </w:rPr>
        <w:t>.</w:t>
      </w:r>
      <w:r>
        <w:rPr>
          <w:snapToGrid w:val="0"/>
        </w:rPr>
        <w:tab/>
        <w:t>Modified penalties</w:t>
      </w:r>
      <w:bookmarkEnd w:id="65"/>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66" w:name="_Toc264965196"/>
      <w:r>
        <w:rPr>
          <w:rStyle w:val="CharSectno"/>
        </w:rPr>
        <w:t>32</w:t>
      </w:r>
      <w:r>
        <w:rPr>
          <w:snapToGrid w:val="0"/>
        </w:rPr>
        <w:t>.</w:t>
      </w:r>
      <w:r>
        <w:rPr>
          <w:snapToGrid w:val="0"/>
        </w:rPr>
        <w:tab/>
        <w:t>Withdrawal of infringement notice</w:t>
      </w:r>
      <w:bookmarkEnd w:id="66"/>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p.4821.] </w:t>
      </w:r>
    </w:p>
    <w:p>
      <w:pPr>
        <w:pStyle w:val="Heading5"/>
        <w:rPr>
          <w:snapToGrid w:val="0"/>
        </w:rPr>
      </w:pPr>
      <w:bookmarkStart w:id="67" w:name="_Toc264965197"/>
      <w:r>
        <w:rPr>
          <w:rStyle w:val="CharSectno"/>
        </w:rPr>
        <w:t>33</w:t>
      </w:r>
      <w:r>
        <w:rPr>
          <w:snapToGrid w:val="0"/>
        </w:rPr>
        <w:t>.</w:t>
      </w:r>
      <w:r>
        <w:rPr>
          <w:snapToGrid w:val="0"/>
        </w:rPr>
        <w:tab/>
        <w:t>Removal and endorsement of infringement notices</w:t>
      </w:r>
      <w:bookmarkEnd w:id="67"/>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68" w:name="_Toc264965198"/>
      <w:r>
        <w:rPr>
          <w:rStyle w:val="CharSectno"/>
        </w:rPr>
        <w:t>34</w:t>
      </w:r>
      <w:r>
        <w:rPr>
          <w:snapToGrid w:val="0"/>
        </w:rPr>
        <w:t>.</w:t>
      </w:r>
      <w:r>
        <w:rPr>
          <w:snapToGrid w:val="0"/>
        </w:rPr>
        <w:tab/>
        <w:t>Prosecutions</w:t>
      </w:r>
      <w:bookmarkEnd w:id="68"/>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p.4821; amended in Gazette 29 Jun 2001 p. 3114.] </w:t>
      </w:r>
    </w:p>
    <w:p>
      <w:pPr>
        <w:pStyle w:val="Heading2"/>
      </w:pPr>
      <w:bookmarkStart w:id="69" w:name="_Toc264894890"/>
      <w:bookmarkStart w:id="70" w:name="_Toc264895046"/>
      <w:bookmarkStart w:id="71" w:name="_Toc264965199"/>
      <w:r>
        <w:rPr>
          <w:rStyle w:val="CharPartNo"/>
        </w:rPr>
        <w:t>Part VI</w:t>
      </w:r>
      <w:r>
        <w:rPr>
          <w:rStyle w:val="CharDivNo"/>
        </w:rPr>
        <w:t> </w:t>
      </w:r>
      <w:r>
        <w:t>—</w:t>
      </w:r>
      <w:r>
        <w:rPr>
          <w:rStyle w:val="CharDivText"/>
        </w:rPr>
        <w:t> </w:t>
      </w:r>
      <w:r>
        <w:rPr>
          <w:rStyle w:val="CharPartText"/>
        </w:rPr>
        <w:t>General</w:t>
      </w:r>
      <w:bookmarkEnd w:id="69"/>
      <w:bookmarkEnd w:id="70"/>
      <w:bookmarkEnd w:id="71"/>
      <w:r>
        <w:rPr>
          <w:rStyle w:val="CharPartText"/>
        </w:rPr>
        <w:t xml:space="preserve"> </w:t>
      </w:r>
    </w:p>
    <w:p>
      <w:pPr>
        <w:pStyle w:val="Heading5"/>
        <w:rPr>
          <w:snapToGrid w:val="0"/>
        </w:rPr>
      </w:pPr>
      <w:bookmarkStart w:id="72" w:name="_Toc264965200"/>
      <w:r>
        <w:rPr>
          <w:rStyle w:val="CharSectno"/>
        </w:rPr>
        <w:t>35</w:t>
      </w:r>
      <w:r>
        <w:rPr>
          <w:snapToGrid w:val="0"/>
        </w:rPr>
        <w:t>.</w:t>
      </w:r>
      <w:r>
        <w:rPr>
          <w:snapToGrid w:val="0"/>
        </w:rPr>
        <w:tab/>
        <w:t>Registered owner shall supply name and address of driver or person in charge of vehicle</w:t>
      </w:r>
      <w:bookmarkEnd w:id="72"/>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[Regulation 35 inserted in Gazette 28 Jun 1991 p.3146; amended in Gazette 29 Jun 2001 p. 3114.] </w:t>
      </w:r>
    </w:p>
    <w:p>
      <w:pPr>
        <w:pStyle w:val="Heading5"/>
        <w:rPr>
          <w:snapToGrid w:val="0"/>
        </w:rPr>
      </w:pPr>
      <w:bookmarkStart w:id="73" w:name="_Toc264965201"/>
      <w:r>
        <w:rPr>
          <w:rStyle w:val="CharSectno"/>
        </w:rPr>
        <w:t>36</w:t>
      </w:r>
      <w:r>
        <w:rPr>
          <w:snapToGrid w:val="0"/>
        </w:rPr>
        <w:t>.</w:t>
      </w:r>
      <w:r>
        <w:rPr>
          <w:snapToGrid w:val="0"/>
        </w:rPr>
        <w:tab/>
        <w:t>Other offences</w:t>
      </w:r>
      <w:bookmarkEnd w:id="73"/>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keepNext/>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keepNext/>
        <w:keepLines/>
        <w:rPr>
          <w:snapToGrid w:val="0"/>
        </w:rPr>
      </w:pPr>
      <w:r>
        <w:rPr>
          <w:snapToGrid w:val="0"/>
        </w:rPr>
        <w:tab/>
      </w:r>
      <w:r>
        <w:rPr>
          <w:snapToGrid w:val="0"/>
        </w:rPr>
        <w:tab/>
        <w:t>commits an offence.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74" w:name="_Toc264894893"/>
      <w:bookmarkStart w:id="75" w:name="_Toc264895049"/>
      <w:bookmarkStart w:id="76" w:name="_Toc264965202"/>
      <w:r>
        <w:rPr>
          <w:rStyle w:val="CharSchNo"/>
        </w:rPr>
        <w:t>Schedule 1</w:t>
      </w:r>
      <w:r>
        <w:rPr>
          <w:rStyle w:val="CharSDivNo"/>
        </w:rPr>
        <w:t> </w:t>
      </w:r>
      <w:r>
        <w:t>—</w:t>
      </w:r>
      <w:r>
        <w:rPr>
          <w:rStyle w:val="CharSDivText"/>
        </w:rPr>
        <w:t> </w:t>
      </w:r>
      <w:r>
        <w:rPr>
          <w:rStyle w:val="CharSchText"/>
        </w:rPr>
        <w:t>Fees</w:t>
      </w:r>
      <w:bookmarkEnd w:id="74"/>
      <w:bookmarkEnd w:id="75"/>
      <w:bookmarkEnd w:id="76"/>
    </w:p>
    <w:p>
      <w:pPr>
        <w:pStyle w:val="yShoulderClause"/>
      </w:pPr>
      <w:r>
        <w:t>[bl. 3]</w:t>
      </w:r>
    </w:p>
    <w:p>
      <w:pPr>
        <w:pStyle w:val="yFootnoteheading"/>
      </w:pPr>
      <w:r>
        <w:tab/>
        <w:t>[Heading inserted in Gazette 22 Jun 2010 p. 2779.]</w:t>
      </w:r>
    </w:p>
    <w:tbl>
      <w:tblPr>
        <w:tblW w:w="6237"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395"/>
        <w:gridCol w:w="850"/>
      </w:tblGrid>
      <w:tr>
        <w:trPr>
          <w:tblHeader/>
        </w:trPr>
        <w:tc>
          <w:tcPr>
            <w:tcW w:w="992" w:type="dxa"/>
            <w:tcMar>
              <w:left w:w="57" w:type="dxa"/>
              <w:right w:w="57" w:type="dxa"/>
            </w:tcMar>
          </w:tcPr>
          <w:p>
            <w:pPr>
              <w:pStyle w:val="yTableNAm"/>
              <w:rPr>
                <w:b/>
                <w:bCs/>
              </w:rPr>
            </w:pPr>
            <w:r>
              <w:rPr>
                <w:b/>
                <w:bCs/>
              </w:rPr>
              <w:t>By</w:t>
            </w:r>
            <w:r>
              <w:rPr>
                <w:b/>
                <w:bCs/>
              </w:rPr>
              <w:noBreakHyphen/>
              <w:t>law</w:t>
            </w:r>
          </w:p>
        </w:tc>
        <w:tc>
          <w:tcPr>
            <w:tcW w:w="4395" w:type="dxa"/>
            <w:tcMar>
              <w:left w:w="57" w:type="dxa"/>
              <w:right w:w="57" w:type="dxa"/>
            </w:tcMar>
          </w:tcPr>
          <w:p>
            <w:pPr>
              <w:pStyle w:val="yTableNAm"/>
              <w:rPr>
                <w:b/>
                <w:bCs/>
              </w:rPr>
            </w:pPr>
          </w:p>
        </w:tc>
        <w:tc>
          <w:tcPr>
            <w:tcW w:w="850" w:type="dxa"/>
            <w:tcMar>
              <w:left w:w="57" w:type="dxa"/>
              <w:right w:w="57" w:type="dxa"/>
            </w:tcMar>
          </w:tcPr>
          <w:p>
            <w:pPr>
              <w:pStyle w:val="yTableNAm"/>
              <w:rPr>
                <w:b/>
                <w:bCs/>
              </w:rPr>
            </w:pPr>
            <w:r>
              <w:rPr>
                <w:b/>
                <w:bCs/>
              </w:rPr>
              <w:t>Fee</w:t>
            </w:r>
          </w:p>
        </w:tc>
      </w:tr>
      <w:tr>
        <w:tc>
          <w:tcPr>
            <w:tcW w:w="992" w:type="dxa"/>
            <w:tcMar>
              <w:left w:w="57" w:type="dxa"/>
              <w:right w:w="57" w:type="dxa"/>
            </w:tcMar>
          </w:tcPr>
          <w:p>
            <w:pPr>
              <w:pStyle w:val="yTableNAm"/>
            </w:pPr>
            <w:r>
              <w:t>26AA(2)</w:t>
            </w:r>
          </w:p>
          <w:p>
            <w:pPr>
              <w:pStyle w:val="yTableNAm"/>
            </w:pPr>
            <w:r>
              <w:t>or</w:t>
            </w:r>
            <w:r>
              <w:br/>
              <w:t>26AA(4)</w:t>
            </w:r>
          </w:p>
        </w:tc>
        <w:tc>
          <w:tcPr>
            <w:tcW w:w="4395" w:type="dxa"/>
          </w:tcPr>
          <w:p>
            <w:pPr>
              <w:pStyle w:val="yTableNAm"/>
            </w:pPr>
            <w:r>
              <w:t>Ticket parking — per hour</w:t>
            </w:r>
          </w:p>
          <w:p>
            <w:pPr>
              <w:pStyle w:val="yTableNAm"/>
              <w:tabs>
                <w:tab w:val="left" w:leader="dot" w:pos="5103"/>
              </w:tabs>
              <w:ind w:left="585" w:hanging="585"/>
            </w:pPr>
            <w:r>
              <w:t>(a)</w:t>
            </w:r>
            <w:r>
              <w:tab/>
              <w:t xml:space="preserve">in parking area where maximum permitted length of stay is 3 hours </w:t>
            </w:r>
            <w:r>
              <w:tab/>
            </w:r>
          </w:p>
          <w:p>
            <w:pPr>
              <w:pStyle w:val="yTableNAm"/>
              <w:tabs>
                <w:tab w:val="left" w:leader="dot" w:pos="5103"/>
              </w:tabs>
              <w:ind w:left="585" w:hanging="585"/>
            </w:pPr>
            <w:r>
              <w:t>(b)</w:t>
            </w:r>
            <w:r>
              <w:tab/>
              <w:t xml:space="preserve">in other parking area </w:t>
            </w:r>
            <w:r>
              <w:tab/>
            </w:r>
          </w:p>
        </w:tc>
        <w:tc>
          <w:tcPr>
            <w:tcW w:w="850" w:type="dxa"/>
          </w:tcPr>
          <w:p>
            <w:pPr>
              <w:pStyle w:val="yTableNAm"/>
            </w:pPr>
          </w:p>
          <w:p>
            <w:pPr>
              <w:pStyle w:val="yTableNAm"/>
            </w:pPr>
            <w:r>
              <w:br/>
              <w:t>$1.50</w:t>
            </w:r>
          </w:p>
          <w:p>
            <w:pPr>
              <w:pStyle w:val="yTableNAm"/>
            </w:pPr>
            <w:r>
              <w:t>$1.30</w:t>
            </w:r>
          </w:p>
        </w:tc>
      </w:tr>
      <w:tr>
        <w:tc>
          <w:tcPr>
            <w:tcW w:w="992" w:type="dxa"/>
            <w:tcMar>
              <w:left w:w="57" w:type="dxa"/>
              <w:right w:w="57" w:type="dxa"/>
            </w:tcMar>
          </w:tcPr>
          <w:p>
            <w:pPr>
              <w:pStyle w:val="yTableNAm"/>
            </w:pPr>
            <w:r>
              <w:t>26AB(3)</w:t>
            </w:r>
          </w:p>
        </w:tc>
        <w:tc>
          <w:tcPr>
            <w:tcW w:w="4395" w:type="dxa"/>
          </w:tcPr>
          <w:p>
            <w:pPr>
              <w:pStyle w:val="yTableNAm"/>
              <w:tabs>
                <w:tab w:val="left" w:leader="dot" w:pos="5103"/>
              </w:tabs>
            </w:pPr>
            <w:r>
              <w:t xml:space="preserve">Paid staff parking — per day </w:t>
            </w:r>
            <w:r>
              <w:tab/>
            </w:r>
          </w:p>
        </w:tc>
        <w:tc>
          <w:tcPr>
            <w:tcW w:w="850" w:type="dxa"/>
          </w:tcPr>
          <w:p>
            <w:pPr>
              <w:pStyle w:val="yTableNAm"/>
            </w:pPr>
            <w:r>
              <w:t>$1.60</w:t>
            </w:r>
          </w:p>
        </w:tc>
      </w:tr>
      <w:tr>
        <w:tc>
          <w:tcPr>
            <w:tcW w:w="992" w:type="dxa"/>
            <w:tcMar>
              <w:left w:w="57" w:type="dxa"/>
              <w:right w:w="57" w:type="dxa"/>
            </w:tcMar>
          </w:tcPr>
          <w:p>
            <w:pPr>
              <w:pStyle w:val="yTableNAm"/>
            </w:pPr>
            <w:r>
              <w:t>26AF(1)</w:t>
            </w:r>
          </w:p>
        </w:tc>
        <w:tc>
          <w:tcPr>
            <w:tcW w:w="4395" w:type="dxa"/>
          </w:tcPr>
          <w:p>
            <w:pPr>
              <w:pStyle w:val="yTableNAm"/>
            </w:pPr>
            <w:r>
              <w:t>Parking permit — per week</w:t>
            </w:r>
          </w:p>
          <w:p>
            <w:pPr>
              <w:pStyle w:val="yTableNAm"/>
              <w:tabs>
                <w:tab w:val="left" w:leader="dot" w:pos="5103"/>
              </w:tabs>
              <w:ind w:left="585" w:hanging="585"/>
            </w:pPr>
            <w:r>
              <w:t>(a)</w:t>
            </w:r>
            <w:r>
              <w:tab/>
              <w:t xml:space="preserve">permit holder whose normal working hours exceed 3 days a week </w:t>
            </w:r>
            <w:r>
              <w:tab/>
            </w:r>
          </w:p>
          <w:p>
            <w:pPr>
              <w:pStyle w:val="yTableNAm"/>
              <w:tabs>
                <w:tab w:val="left" w:leader="dot" w:pos="5103"/>
              </w:tabs>
              <w:ind w:left="585" w:hanging="585"/>
            </w:pPr>
            <w:r>
              <w:t>(b)</w:t>
            </w:r>
            <w:r>
              <w:tab/>
              <w:t xml:space="preserve">permit holder whose normal working hours are 3 days a week or less </w:t>
            </w:r>
            <w:r>
              <w:tab/>
            </w:r>
          </w:p>
        </w:tc>
        <w:tc>
          <w:tcPr>
            <w:tcW w:w="850" w:type="dxa"/>
          </w:tcPr>
          <w:p>
            <w:pPr>
              <w:pStyle w:val="yTableNAm"/>
            </w:pPr>
          </w:p>
          <w:p>
            <w:pPr>
              <w:pStyle w:val="yTableNAm"/>
            </w:pPr>
            <w:r>
              <w:br/>
              <w:t>$13.50</w:t>
            </w:r>
          </w:p>
          <w:p>
            <w:pPr>
              <w:pStyle w:val="yTableNAm"/>
            </w:pPr>
            <w:r>
              <w:br/>
              <w:t>$9.00</w:t>
            </w:r>
          </w:p>
        </w:tc>
      </w:tr>
      <w:tr>
        <w:tc>
          <w:tcPr>
            <w:tcW w:w="992" w:type="dxa"/>
            <w:tcMar>
              <w:left w:w="57" w:type="dxa"/>
              <w:right w:w="57" w:type="dxa"/>
            </w:tcMar>
          </w:tcPr>
          <w:p>
            <w:pPr>
              <w:pStyle w:val="yTableNAm"/>
            </w:pPr>
            <w:r>
              <w:t>26B(3)</w:t>
            </w:r>
          </w:p>
        </w:tc>
        <w:tc>
          <w:tcPr>
            <w:tcW w:w="4395" w:type="dxa"/>
          </w:tcPr>
          <w:p>
            <w:pPr>
              <w:pStyle w:val="yTableNAm"/>
            </w:pPr>
            <w:r>
              <w:t>Removal and storage of vehicle</w:t>
            </w:r>
          </w:p>
          <w:p>
            <w:pPr>
              <w:pStyle w:val="yTableNAm"/>
              <w:tabs>
                <w:tab w:val="left" w:leader="dot" w:pos="5103"/>
              </w:tabs>
              <w:ind w:left="585" w:hanging="585"/>
            </w:pPr>
            <w:r>
              <w:t>(a)</w:t>
            </w:r>
            <w:r>
              <w:tab/>
              <w:t xml:space="preserve">basic fee </w:t>
            </w:r>
            <w:r>
              <w:tab/>
            </w:r>
          </w:p>
          <w:p>
            <w:pPr>
              <w:pStyle w:val="yTableNAm"/>
            </w:pPr>
            <w:r>
              <w:tab/>
              <w:t>plus</w:t>
            </w:r>
          </w:p>
          <w:p>
            <w:pPr>
              <w:pStyle w:val="yTableNAm"/>
              <w:tabs>
                <w:tab w:val="left" w:leader="dot" w:pos="5103"/>
              </w:tabs>
              <w:ind w:left="585" w:hanging="585"/>
            </w:pPr>
            <w:r>
              <w:t>(b)</w:t>
            </w:r>
            <w:r>
              <w:tab/>
              <w:t xml:space="preserve">if vehicle is stored for more than 24 hours — for each 7 days or part of 7 days for which vehicle is stored after first 24 hours </w:t>
            </w:r>
            <w:r>
              <w:tab/>
            </w:r>
          </w:p>
        </w:tc>
        <w:tc>
          <w:tcPr>
            <w:tcW w:w="850" w:type="dxa"/>
          </w:tcPr>
          <w:p>
            <w:pPr>
              <w:pStyle w:val="yTableNAm"/>
            </w:pPr>
          </w:p>
          <w:p>
            <w:pPr>
              <w:pStyle w:val="yTableNAm"/>
            </w:pPr>
            <w:r>
              <w:t>$200</w:t>
            </w:r>
          </w:p>
          <w:p>
            <w:pPr>
              <w:pStyle w:val="yTableNAm"/>
            </w:pPr>
          </w:p>
          <w:p>
            <w:pPr>
              <w:pStyle w:val="yTableNAm"/>
            </w:pPr>
            <w:r>
              <w:br/>
            </w:r>
            <w:r>
              <w:br/>
            </w:r>
            <w:r>
              <w:br/>
              <w:t>$20</w:t>
            </w:r>
          </w:p>
        </w:tc>
      </w:tr>
    </w:tbl>
    <w:p>
      <w:pPr>
        <w:pStyle w:val="yFootnotesection"/>
      </w:pPr>
      <w:r>
        <w:tab/>
        <w:t>[Schedule 1 inserted in Gazette 22 Jun 2010 p. 2779; amended in Gazette 17 Dec 2010 p. 6355.]</w:t>
      </w:r>
    </w:p>
    <w:p>
      <w:pPr>
        <w:pStyle w:val="yScheduleHeading"/>
      </w:pPr>
      <w:bookmarkStart w:id="77" w:name="_Toc264894894"/>
      <w:bookmarkStart w:id="78" w:name="_Toc264895050"/>
      <w:bookmarkStart w:id="79" w:name="_Toc264965203"/>
      <w:r>
        <w:rPr>
          <w:rStyle w:val="CharSchNo"/>
        </w:rPr>
        <w:t>Schedule 2</w:t>
      </w:r>
      <w:bookmarkEnd w:id="77"/>
      <w:bookmarkEnd w:id="78"/>
      <w:bookmarkEnd w:id="79"/>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083" w:type="dxa"/>
        <w:tblInd w:w="281" w:type="dxa"/>
        <w:tblLayout w:type="fixed"/>
        <w:tblCellMar>
          <w:left w:w="141" w:type="dxa"/>
          <w:right w:w="141" w:type="dxa"/>
        </w:tblCellMar>
        <w:tblLook w:val="0000" w:firstRow="0" w:lastRow="0" w:firstColumn="0" w:lastColumn="0" w:noHBand="0" w:noVBand="0"/>
      </w:tblPr>
      <w:tblGrid>
        <w:gridCol w:w="1134"/>
        <w:gridCol w:w="4606"/>
        <w:gridCol w:w="1343"/>
      </w:tblGrid>
      <w:tr>
        <w:trPr>
          <w:tblHeader/>
        </w:trPr>
        <w:tc>
          <w:tcPr>
            <w:tcW w:w="1134" w:type="dxa"/>
          </w:tcPr>
          <w:p>
            <w:pPr>
              <w:pStyle w:val="yTableNAm"/>
              <w:rPr>
                <w:b/>
                <w:bCs/>
              </w:rPr>
            </w:pPr>
            <w:r>
              <w:rPr>
                <w:b/>
                <w:bCs/>
              </w:rPr>
              <w:t>By</w:t>
            </w:r>
            <w:r>
              <w:rPr>
                <w:b/>
                <w:bCs/>
              </w:rPr>
              <w:noBreakHyphen/>
              <w:t>law</w:t>
            </w:r>
          </w:p>
        </w:tc>
        <w:tc>
          <w:tcPr>
            <w:tcW w:w="4606" w:type="dxa"/>
          </w:tcPr>
          <w:p>
            <w:pPr>
              <w:pStyle w:val="yTableNAm"/>
              <w:rPr>
                <w:b/>
                <w:bCs/>
              </w:rPr>
            </w:pPr>
            <w:r>
              <w:rPr>
                <w:b/>
                <w:bCs/>
              </w:rPr>
              <w:t>Brief description of offence</w:t>
            </w:r>
          </w:p>
        </w:tc>
        <w:tc>
          <w:tcPr>
            <w:tcW w:w="1343"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134" w:type="dxa"/>
          </w:tcPr>
          <w:p>
            <w:pPr>
              <w:pStyle w:val="yTableNAm"/>
              <w:rPr>
                <w:i/>
                <w:iCs/>
              </w:rPr>
            </w:pPr>
            <w:r>
              <w:rPr>
                <w:i/>
                <w:iCs/>
              </w:rPr>
              <w:t>[4-15</w:t>
            </w:r>
          </w:p>
        </w:tc>
        <w:tc>
          <w:tcPr>
            <w:tcW w:w="4606" w:type="dxa"/>
          </w:tcPr>
          <w:p>
            <w:pPr>
              <w:pStyle w:val="yTableNAm"/>
              <w:rPr>
                <w:i/>
                <w:iCs/>
              </w:rPr>
            </w:pPr>
            <w:r>
              <w:rPr>
                <w:i/>
                <w:iCs/>
              </w:rPr>
              <w:t>deleted]</w:t>
            </w:r>
          </w:p>
        </w:tc>
        <w:tc>
          <w:tcPr>
            <w:tcW w:w="1343" w:type="dxa"/>
          </w:tcPr>
          <w:p>
            <w:pPr>
              <w:pStyle w:val="yTableNAm"/>
              <w:rPr>
                <w:i/>
                <w:iCs/>
              </w:rPr>
            </w:pPr>
          </w:p>
        </w:tc>
      </w:tr>
      <w:tr>
        <w:tc>
          <w:tcPr>
            <w:tcW w:w="1134" w:type="dxa"/>
          </w:tcPr>
          <w:p>
            <w:pPr>
              <w:pStyle w:val="yTableNAm"/>
            </w:pPr>
            <w:r>
              <w:t>16</w:t>
            </w:r>
          </w:p>
        </w:tc>
        <w:tc>
          <w:tcPr>
            <w:tcW w:w="4606" w:type="dxa"/>
          </w:tcPr>
          <w:p>
            <w:pPr>
              <w:pStyle w:val="yTableNAm"/>
              <w:tabs>
                <w:tab w:val="left" w:leader="dot" w:pos="5387"/>
              </w:tabs>
            </w:pPr>
            <w:r>
              <w:t xml:space="preserve">Driving or bringing vehicle on site other than roadway or parking area or standing area </w:t>
            </w:r>
            <w:r>
              <w:tab/>
            </w:r>
          </w:p>
        </w:tc>
        <w:tc>
          <w:tcPr>
            <w:tcW w:w="1343" w:type="dxa"/>
          </w:tcPr>
          <w:p>
            <w:pPr>
              <w:pStyle w:val="yTableNAm"/>
            </w:pPr>
            <w:r>
              <w:br/>
            </w:r>
            <w:r>
              <w:tab/>
              <w:t>45</w:t>
            </w:r>
          </w:p>
        </w:tc>
      </w:tr>
      <w:tr>
        <w:tc>
          <w:tcPr>
            <w:tcW w:w="1134" w:type="dxa"/>
          </w:tcPr>
          <w:p>
            <w:pPr>
              <w:pStyle w:val="yTableNAm"/>
            </w:pPr>
            <w:r>
              <w:t>17</w:t>
            </w:r>
          </w:p>
        </w:tc>
        <w:tc>
          <w:tcPr>
            <w:tcW w:w="4606" w:type="dxa"/>
          </w:tcPr>
          <w:p>
            <w:pPr>
              <w:pStyle w:val="yTableNAm"/>
              <w:tabs>
                <w:tab w:val="left" w:leader="dot" w:pos="5387"/>
              </w:tabs>
            </w:pPr>
            <w:r>
              <w:t>Disobeying any reasonable order or directive given by authorised person</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speed limit specified in traffic sign </w:t>
            </w:r>
            <w:r>
              <w:tab/>
            </w:r>
          </w:p>
        </w:tc>
        <w:tc>
          <w:tcPr>
            <w:tcW w:w="1343" w:type="dxa"/>
          </w:tcPr>
          <w:p>
            <w:pPr>
              <w:pStyle w:val="yTableNAm"/>
            </w:pPr>
            <w:r>
              <w:br/>
            </w:r>
            <w:r>
              <w:tab/>
              <w:t>45</w:t>
            </w:r>
          </w:p>
        </w:tc>
      </w:tr>
      <w:tr>
        <w:tc>
          <w:tcPr>
            <w:tcW w:w="1134" w:type="dxa"/>
          </w:tcPr>
          <w:p>
            <w:pPr>
              <w:pStyle w:val="yTableNAm"/>
            </w:pPr>
            <w:r>
              <w:t>19</w:t>
            </w:r>
          </w:p>
        </w:tc>
        <w:tc>
          <w:tcPr>
            <w:tcW w:w="4606" w:type="dxa"/>
          </w:tcPr>
          <w:p>
            <w:pPr>
              <w:pStyle w:val="yTableNAm"/>
              <w:tabs>
                <w:tab w:val="left" w:leader="dot" w:pos="5387"/>
              </w:tabs>
            </w:pPr>
            <w:r>
              <w:t xml:space="preserve">Driving in excess of 30kph </w:t>
            </w:r>
            <w:r>
              <w:tab/>
            </w:r>
          </w:p>
        </w:tc>
        <w:tc>
          <w:tcPr>
            <w:tcW w:w="1343" w:type="dxa"/>
          </w:tcPr>
          <w:p>
            <w:pPr>
              <w:pStyle w:val="yTableNAm"/>
            </w:pPr>
            <w:r>
              <w:tab/>
              <w:t>45</w:t>
            </w:r>
          </w:p>
        </w:tc>
      </w:tr>
      <w:tr>
        <w:tc>
          <w:tcPr>
            <w:tcW w:w="1134" w:type="dxa"/>
          </w:tcPr>
          <w:p>
            <w:pPr>
              <w:pStyle w:val="yTableNAm"/>
            </w:pPr>
            <w:r>
              <w:t>20</w:t>
            </w:r>
          </w:p>
        </w:tc>
        <w:tc>
          <w:tcPr>
            <w:tcW w:w="4606" w:type="dxa"/>
          </w:tcPr>
          <w:p>
            <w:pPr>
              <w:pStyle w:val="yTableNAm"/>
              <w:tabs>
                <w:tab w:val="left" w:leader="dot" w:pos="5387"/>
              </w:tabs>
            </w:pPr>
            <w:r>
              <w:t xml:space="preserve">Using Hospital Avenue or Gairdner Drive as a thoroughfare </w:t>
            </w:r>
            <w:r>
              <w:tab/>
            </w:r>
          </w:p>
        </w:tc>
        <w:tc>
          <w:tcPr>
            <w:tcW w:w="1343" w:type="dxa"/>
          </w:tcPr>
          <w:p>
            <w:pPr>
              <w:pStyle w:val="yTableNAm"/>
            </w:pPr>
            <w:r>
              <w:br/>
            </w:r>
            <w:r>
              <w:tab/>
              <w:t>30</w:t>
            </w:r>
          </w:p>
        </w:tc>
      </w:tr>
      <w:tr>
        <w:tc>
          <w:tcPr>
            <w:tcW w:w="1134" w:type="dxa"/>
          </w:tcPr>
          <w:p>
            <w:pPr>
              <w:pStyle w:val="yTableNAm"/>
            </w:pPr>
            <w:r>
              <w:t>21</w:t>
            </w:r>
          </w:p>
        </w:tc>
        <w:tc>
          <w:tcPr>
            <w:tcW w:w="4606" w:type="dxa"/>
          </w:tcPr>
          <w:p>
            <w:pPr>
              <w:pStyle w:val="yTableNAm"/>
              <w:tabs>
                <w:tab w:val="left" w:leader="dot" w:pos="5387"/>
              </w:tabs>
            </w:pPr>
            <w:r>
              <w:t xml:space="preserve">Failing to give way when entering or leaving parking area or standing area </w:t>
            </w:r>
            <w:r>
              <w:tab/>
            </w:r>
          </w:p>
        </w:tc>
        <w:tc>
          <w:tcPr>
            <w:tcW w:w="1343" w:type="dxa"/>
          </w:tcPr>
          <w:p>
            <w:pPr>
              <w:pStyle w:val="yTableNAm"/>
            </w:pPr>
            <w:r>
              <w:br/>
            </w:r>
            <w:r>
              <w:tab/>
              <w:t>40</w:t>
            </w:r>
          </w:p>
        </w:tc>
      </w:tr>
      <w:tr>
        <w:tc>
          <w:tcPr>
            <w:tcW w:w="1134" w:type="dxa"/>
          </w:tcPr>
          <w:p>
            <w:pPr>
              <w:pStyle w:val="yTableNAm"/>
            </w:pPr>
            <w:r>
              <w:t>22</w:t>
            </w:r>
          </w:p>
        </w:tc>
        <w:tc>
          <w:tcPr>
            <w:tcW w:w="4606" w:type="dxa"/>
          </w:tcPr>
          <w:p>
            <w:pPr>
              <w:pStyle w:val="yTableNAm"/>
              <w:tabs>
                <w:tab w:val="left" w:leader="dot" w:pos="5387"/>
              </w:tabs>
            </w:pPr>
            <w:r>
              <w:t xml:space="preserve">Repairing vehicle on site </w:t>
            </w:r>
            <w:r>
              <w:tab/>
            </w:r>
          </w:p>
        </w:tc>
        <w:tc>
          <w:tcPr>
            <w:tcW w:w="1343" w:type="dxa"/>
          </w:tcPr>
          <w:p>
            <w:pPr>
              <w:pStyle w:val="yTableNAm"/>
            </w:pPr>
            <w:r>
              <w:tab/>
              <w:t>30</w:t>
            </w:r>
          </w:p>
        </w:tc>
      </w:tr>
      <w:tr>
        <w:tc>
          <w:tcPr>
            <w:tcW w:w="1134" w:type="dxa"/>
          </w:tcPr>
          <w:p>
            <w:pPr>
              <w:pStyle w:val="yTableNAm"/>
            </w:pPr>
            <w:r>
              <w:t>22</w:t>
            </w:r>
          </w:p>
        </w:tc>
        <w:tc>
          <w:tcPr>
            <w:tcW w:w="4606" w:type="dxa"/>
          </w:tcPr>
          <w:p>
            <w:pPr>
              <w:pStyle w:val="yTableNAm"/>
              <w:tabs>
                <w:tab w:val="left" w:leader="dot" w:pos="5387"/>
              </w:tabs>
            </w:pPr>
            <w:r>
              <w:t xml:space="preserve">Instructing learner driver on site </w:t>
            </w:r>
            <w:r>
              <w:tab/>
            </w:r>
          </w:p>
        </w:tc>
        <w:tc>
          <w:tcPr>
            <w:tcW w:w="1343" w:type="dxa"/>
          </w:tcPr>
          <w:p>
            <w:pPr>
              <w:pStyle w:val="yTableNAm"/>
            </w:pPr>
            <w:r>
              <w:tab/>
              <w:t>30</w:t>
            </w:r>
          </w:p>
        </w:tc>
      </w:tr>
      <w:tr>
        <w:tc>
          <w:tcPr>
            <w:tcW w:w="1134" w:type="dxa"/>
          </w:tcPr>
          <w:p>
            <w:pPr>
              <w:pStyle w:val="yTableNAm"/>
            </w:pPr>
            <w:r>
              <w:t>24</w:t>
            </w:r>
          </w:p>
        </w:tc>
        <w:tc>
          <w:tcPr>
            <w:tcW w:w="4606" w:type="dxa"/>
          </w:tcPr>
          <w:p>
            <w:pPr>
              <w:pStyle w:val="yTableNAm"/>
            </w:pPr>
            <w:r>
              <w:t>Failing to comply with an indication displayed on a sign in particular</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STOP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GIVE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ab/>
              <w:t> — ONE WAY .</w:t>
            </w:r>
            <w:r>
              <w:tab/>
            </w:r>
          </w:p>
        </w:tc>
        <w:tc>
          <w:tcPr>
            <w:tcW w:w="1343" w:type="dxa"/>
          </w:tcPr>
          <w:p>
            <w:pPr>
              <w:pStyle w:val="yTableNAm"/>
            </w:pPr>
            <w:r>
              <w:tab/>
              <w:t>40</w:t>
            </w:r>
          </w:p>
        </w:tc>
      </w:tr>
      <w:tr>
        <w:tc>
          <w:tcPr>
            <w:tcW w:w="1134" w:type="dxa"/>
          </w:tcPr>
          <w:p>
            <w:pPr>
              <w:pStyle w:val="yTableNAm"/>
            </w:pPr>
          </w:p>
        </w:tc>
        <w:tc>
          <w:tcPr>
            <w:tcW w:w="4606" w:type="dxa"/>
          </w:tcPr>
          <w:p>
            <w:pPr>
              <w:pStyle w:val="yTableNAm"/>
              <w:tabs>
                <w:tab w:val="left" w:leader="dot" w:pos="5387"/>
              </w:tabs>
            </w:pPr>
            <w:r>
              <w:t xml:space="preserve">or any other sign displayed directing the driver of a motor vehicle to do a particular thing </w:t>
            </w:r>
            <w:r>
              <w:tab/>
            </w:r>
          </w:p>
        </w:tc>
        <w:tc>
          <w:tcPr>
            <w:tcW w:w="1343" w:type="dxa"/>
          </w:tcPr>
          <w:p>
            <w:pPr>
              <w:pStyle w:val="yTableNAm"/>
            </w:pPr>
            <w:r>
              <w:br/>
            </w:r>
            <w:r>
              <w:tab/>
              <w:t>40</w:t>
            </w:r>
          </w:p>
        </w:tc>
      </w:tr>
      <w:tr>
        <w:tc>
          <w:tcPr>
            <w:tcW w:w="1134" w:type="dxa"/>
          </w:tcPr>
          <w:p>
            <w:pPr>
              <w:pStyle w:val="yTableNAm"/>
            </w:pPr>
            <w:r>
              <w:t>23</w:t>
            </w:r>
          </w:p>
        </w:tc>
        <w:tc>
          <w:tcPr>
            <w:tcW w:w="4606" w:type="dxa"/>
          </w:tcPr>
          <w:p>
            <w:pPr>
              <w:pStyle w:val="yTableNAm"/>
              <w:tabs>
                <w:tab w:val="left" w:leader="dot" w:pos="5387"/>
              </w:tabs>
            </w:pPr>
            <w:r>
              <w:t>Parking or standing on site outside of a parking space</w:t>
            </w:r>
            <w:r>
              <w:tab/>
            </w:r>
            <w:r>
              <w:tab/>
            </w:r>
          </w:p>
        </w:tc>
        <w:tc>
          <w:tcPr>
            <w:tcW w:w="1343" w:type="dxa"/>
          </w:tcPr>
          <w:p>
            <w:pPr>
              <w:pStyle w:val="yTableNAm"/>
            </w:pPr>
            <w:r>
              <w:br/>
            </w:r>
            <w:r>
              <w:tab/>
              <w:t>40</w:t>
            </w:r>
          </w:p>
        </w:tc>
      </w:tr>
      <w:tr>
        <w:tc>
          <w:tcPr>
            <w:tcW w:w="1134" w:type="dxa"/>
          </w:tcPr>
          <w:p>
            <w:pPr>
              <w:pStyle w:val="yTableNAm"/>
            </w:pPr>
            <w:r>
              <w:t>24</w:t>
            </w:r>
          </w:p>
        </w:tc>
        <w:tc>
          <w:tcPr>
            <w:tcW w:w="4606" w:type="dxa"/>
          </w:tcPr>
          <w:p>
            <w:pPr>
              <w:pStyle w:val="yTableNAm"/>
            </w:pPr>
            <w:r>
              <w:t>Parking contrary to a sign specifying</w:t>
            </w:r>
          </w:p>
        </w:tc>
        <w:tc>
          <w:tcPr>
            <w:tcW w:w="1343" w:type="dxa"/>
          </w:tcPr>
          <w:p>
            <w:pPr>
              <w:pStyle w:val="yTableNAm"/>
            </w:pPr>
          </w:p>
        </w:tc>
      </w:tr>
      <w:tr>
        <w:tc>
          <w:tcPr>
            <w:tcW w:w="1134" w:type="dxa"/>
          </w:tcPr>
          <w:p>
            <w:pPr>
              <w:pStyle w:val="yTableNAm"/>
            </w:pPr>
          </w:p>
        </w:tc>
        <w:tc>
          <w:tcPr>
            <w:tcW w:w="4606" w:type="dxa"/>
          </w:tcPr>
          <w:p>
            <w:pPr>
              <w:pStyle w:val="yTableNAm"/>
              <w:tabs>
                <w:tab w:val="left" w:leader="dot" w:pos="5387"/>
              </w:tabs>
            </w:pPr>
            <w:r>
              <w:tab/>
              <w:t xml:space="preserve"> — No Standing at Any time </w:t>
            </w:r>
            <w:r>
              <w:tab/>
            </w:r>
          </w:p>
        </w:tc>
        <w:tc>
          <w:tcPr>
            <w:tcW w:w="1343" w:type="dxa"/>
          </w:tcPr>
          <w:p>
            <w:pPr>
              <w:pStyle w:val="yTableNAm"/>
            </w:pPr>
            <w:r>
              <w:tab/>
              <w:t>45</w:t>
            </w:r>
          </w:p>
        </w:tc>
      </w:tr>
      <w:tr>
        <w:tc>
          <w:tcPr>
            <w:tcW w:w="1134" w:type="dxa"/>
          </w:tcPr>
          <w:p>
            <w:pPr>
              <w:pStyle w:val="yTableNAm"/>
            </w:pPr>
          </w:p>
        </w:tc>
        <w:tc>
          <w:tcPr>
            <w:tcW w:w="4606" w:type="dxa"/>
          </w:tcPr>
          <w:p>
            <w:pPr>
              <w:pStyle w:val="yTableNAm"/>
              <w:tabs>
                <w:tab w:val="left" w:leader="dot" w:pos="5387"/>
              </w:tabs>
            </w:pPr>
            <w:r>
              <w:tab/>
              <w:t xml:space="preserve"> — No Parking at Any time </w:t>
            </w:r>
            <w:r>
              <w:tab/>
            </w:r>
          </w:p>
        </w:tc>
        <w:tc>
          <w:tcPr>
            <w:tcW w:w="1343" w:type="dxa"/>
          </w:tcPr>
          <w:p>
            <w:pPr>
              <w:pStyle w:val="yTableNAm"/>
            </w:pPr>
            <w:r>
              <w:tab/>
              <w:t>40</w:t>
            </w:r>
          </w:p>
        </w:tc>
      </w:tr>
      <w:tr>
        <w:tc>
          <w:tcPr>
            <w:tcW w:w="1134" w:type="dxa"/>
          </w:tcPr>
          <w:p>
            <w:pPr>
              <w:pStyle w:val="yTableNAm"/>
            </w:pPr>
            <w:r>
              <w:t>25</w:t>
            </w:r>
          </w:p>
        </w:tc>
        <w:tc>
          <w:tcPr>
            <w:tcW w:w="4606" w:type="dxa"/>
          </w:tcPr>
          <w:p>
            <w:pPr>
              <w:pStyle w:val="yTableNAm"/>
              <w:tabs>
                <w:tab w:val="left" w:leader="dot" w:pos="5387"/>
              </w:tabs>
            </w:pPr>
            <w:r>
              <w:t xml:space="preserve">Parking contrary to a sign </w:t>
            </w:r>
            <w:r>
              <w:tab/>
            </w:r>
          </w:p>
        </w:tc>
        <w:tc>
          <w:tcPr>
            <w:tcW w:w="1343" w:type="dxa"/>
          </w:tcPr>
          <w:p>
            <w:pPr>
              <w:pStyle w:val="yTableNAm"/>
            </w:pPr>
            <w:r>
              <w:tab/>
              <w:t>40</w:t>
            </w:r>
          </w:p>
        </w:tc>
      </w:tr>
      <w:tr>
        <w:trPr>
          <w:cantSplit/>
        </w:trPr>
        <w:tc>
          <w:tcPr>
            <w:tcW w:w="5740" w:type="dxa"/>
            <w:gridSpan w:val="2"/>
          </w:tcPr>
          <w:p>
            <w:pPr>
              <w:pStyle w:val="yTableNAm"/>
              <w:rPr>
                <w:i/>
                <w:iCs/>
              </w:rPr>
            </w:pPr>
            <w:r>
              <w:rPr>
                <w:i/>
                <w:iCs/>
              </w:rPr>
              <w:t>[25(3), 25(4), 26(10) deleted]</w:t>
            </w:r>
          </w:p>
        </w:tc>
        <w:tc>
          <w:tcPr>
            <w:tcW w:w="1343" w:type="dxa"/>
          </w:tcPr>
          <w:p>
            <w:pPr>
              <w:pStyle w:val="yTableNAm"/>
              <w:rPr>
                <w:i/>
                <w:iCs/>
              </w:rPr>
            </w:pPr>
          </w:p>
        </w:tc>
      </w:tr>
      <w:tr>
        <w:tblPrEx>
          <w:tblCellMar>
            <w:left w:w="142" w:type="dxa"/>
            <w:right w:w="142" w:type="dxa"/>
          </w:tblCellMar>
        </w:tblPrEx>
        <w:trPr>
          <w:cantSplit/>
        </w:trPr>
        <w:tc>
          <w:tcPr>
            <w:tcW w:w="1134" w:type="dxa"/>
            <w:tcMar>
              <w:left w:w="57" w:type="dxa"/>
              <w:right w:w="57" w:type="dxa"/>
            </w:tcMar>
          </w:tcPr>
          <w:p>
            <w:pPr>
              <w:pStyle w:val="yTableNAm"/>
            </w:pPr>
            <w:r>
              <w:t>26AA(2)</w:t>
            </w:r>
          </w:p>
        </w:tc>
        <w:tc>
          <w:tcPr>
            <w:tcW w:w="4606"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343"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134" w:type="dxa"/>
            <w:tcMar>
              <w:left w:w="57" w:type="dxa"/>
              <w:right w:w="57" w:type="dxa"/>
            </w:tcMar>
          </w:tcPr>
          <w:p>
            <w:pPr>
              <w:pStyle w:val="yTableNAm"/>
            </w:pPr>
            <w:r>
              <w:t>26AA(3)</w:t>
            </w:r>
          </w:p>
        </w:tc>
        <w:tc>
          <w:tcPr>
            <w:tcW w:w="4606" w:type="dxa"/>
          </w:tcPr>
          <w:p>
            <w:pPr>
              <w:pStyle w:val="yTableNAm"/>
              <w:tabs>
                <w:tab w:val="left" w:leader="dot" w:pos="5387"/>
              </w:tabs>
            </w:pPr>
            <w:r>
              <w:t xml:space="preserve">Parking in boom gate controlled ticket parking area without a ticket </w:t>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26AA(4)</w:t>
            </w:r>
          </w:p>
        </w:tc>
        <w:tc>
          <w:tcPr>
            <w:tcW w:w="4606" w:type="dxa"/>
          </w:tcPr>
          <w:p>
            <w:pPr>
              <w:pStyle w:val="yTableNAm"/>
              <w:tabs>
                <w:tab w:val="left" w:leader="dot" w:pos="5387"/>
              </w:tabs>
            </w:pPr>
            <w:r>
              <w:t xml:space="preserve">Removing a vehicle from boom gate controlled ticket parking area without paying the prescribed fee </w:t>
            </w:r>
            <w:r>
              <w:tab/>
            </w:r>
            <w:r>
              <w:tab/>
            </w:r>
          </w:p>
        </w:tc>
        <w:tc>
          <w:tcPr>
            <w:tcW w:w="1343" w:type="dxa"/>
          </w:tcPr>
          <w:p>
            <w:pPr>
              <w:pStyle w:val="yTableNAm"/>
            </w:pPr>
            <w:r>
              <w:br/>
            </w: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26AA(5)</w:t>
            </w:r>
          </w:p>
        </w:tc>
        <w:tc>
          <w:tcPr>
            <w:tcW w:w="4606" w:type="dxa"/>
          </w:tcPr>
          <w:p>
            <w:pPr>
              <w:pStyle w:val="yTableNAm"/>
              <w:tabs>
                <w:tab w:val="left" w:leader="dot" w:pos="5387"/>
              </w:tabs>
              <w:ind w:right="-142"/>
            </w:pPr>
            <w:r>
              <w:t>Parking a vehicle in a ticket parking area or a boom gate controlled ticket parking area and leaving the site while the vehicle is parked there ……………………………………………...</w:t>
            </w:r>
          </w:p>
        </w:tc>
        <w:tc>
          <w:tcPr>
            <w:tcW w:w="1343" w:type="dxa"/>
          </w:tcPr>
          <w:p>
            <w:pPr>
              <w:pStyle w:val="yTableNAm"/>
            </w:pPr>
            <w:r>
              <w:br/>
            </w:r>
            <w:r>
              <w:br/>
            </w:r>
            <w:r>
              <w:br/>
            </w:r>
            <w:r>
              <w:tab/>
              <w:t>30</w:t>
            </w:r>
          </w:p>
        </w:tc>
      </w:tr>
      <w:tr>
        <w:tblPrEx>
          <w:tblCellMar>
            <w:left w:w="142" w:type="dxa"/>
            <w:right w:w="142" w:type="dxa"/>
          </w:tblCellMar>
        </w:tblPrEx>
        <w:trPr>
          <w:cantSplit/>
        </w:trPr>
        <w:tc>
          <w:tcPr>
            <w:tcW w:w="1134" w:type="dxa"/>
            <w:tcMar>
              <w:left w:w="57" w:type="dxa"/>
              <w:right w:w="57" w:type="dxa"/>
            </w:tcMar>
          </w:tcPr>
          <w:p>
            <w:pPr>
              <w:pStyle w:val="yTableNAm"/>
            </w:pPr>
            <w:r>
              <w:t>26AB(2)</w:t>
            </w:r>
          </w:p>
        </w:tc>
        <w:tc>
          <w:tcPr>
            <w:tcW w:w="4606" w:type="dxa"/>
          </w:tcPr>
          <w:p>
            <w:pPr>
              <w:pStyle w:val="yTableNAm"/>
              <w:tabs>
                <w:tab w:val="left" w:leader="dot" w:pos="5387"/>
              </w:tabs>
            </w:pPr>
            <w:r>
              <w:t xml:space="preserve">Parking in paid staff parking area when not an eligible staff member </w:t>
            </w:r>
            <w:r>
              <w:tab/>
            </w:r>
          </w:p>
        </w:tc>
        <w:tc>
          <w:tcPr>
            <w:tcW w:w="1343" w:type="dxa"/>
          </w:tcPr>
          <w:p>
            <w:pPr>
              <w:pStyle w:val="yTableNAm"/>
            </w:pPr>
            <w:r>
              <w:br/>
            </w:r>
            <w:r>
              <w:tab/>
              <w:t>45</w:t>
            </w:r>
          </w:p>
        </w:tc>
      </w:tr>
      <w:tr>
        <w:tblPrEx>
          <w:tblCellMar>
            <w:left w:w="142" w:type="dxa"/>
            <w:right w:w="142" w:type="dxa"/>
          </w:tblCellMar>
        </w:tblPrEx>
        <w:trPr>
          <w:cantSplit/>
        </w:trPr>
        <w:tc>
          <w:tcPr>
            <w:tcW w:w="1134" w:type="dxa"/>
            <w:tcMar>
              <w:left w:w="57" w:type="dxa"/>
              <w:right w:w="57" w:type="dxa"/>
            </w:tcMar>
          </w:tcPr>
          <w:p>
            <w:pPr>
              <w:pStyle w:val="yTableNAm"/>
            </w:pPr>
            <w:r>
              <w:t>26AB(3)</w:t>
            </w:r>
          </w:p>
        </w:tc>
        <w:tc>
          <w:tcPr>
            <w:tcW w:w="4606" w:type="dxa"/>
          </w:tcPr>
          <w:p>
            <w:pPr>
              <w:pStyle w:val="yTableNAm"/>
              <w:tabs>
                <w:tab w:val="left" w:leader="dot" w:pos="5387"/>
              </w:tabs>
            </w:pPr>
            <w:r>
              <w:t xml:space="preserve">Failing to pay before leaving a paid staff parking area </w:t>
            </w:r>
            <w:r>
              <w:tab/>
            </w:r>
            <w:r>
              <w:tab/>
            </w:r>
          </w:p>
        </w:tc>
        <w:tc>
          <w:tcPr>
            <w:tcW w:w="1343" w:type="dxa"/>
          </w:tcPr>
          <w:p>
            <w:pPr>
              <w:pStyle w:val="yTableNAm"/>
            </w:pPr>
            <w:r>
              <w:br/>
            </w:r>
            <w:r>
              <w:tab/>
              <w:t>20</w:t>
            </w:r>
          </w:p>
        </w:tc>
      </w:tr>
      <w:tr>
        <w:tblPrEx>
          <w:tblCellMar>
            <w:left w:w="142" w:type="dxa"/>
            <w:right w:w="142" w:type="dxa"/>
          </w:tblCellMar>
        </w:tblPrEx>
        <w:trPr>
          <w:cantSplit/>
        </w:trPr>
        <w:tc>
          <w:tcPr>
            <w:tcW w:w="1134" w:type="dxa"/>
            <w:tcMar>
              <w:left w:w="57" w:type="dxa"/>
              <w:right w:w="57" w:type="dxa"/>
            </w:tcMar>
          </w:tcPr>
          <w:p>
            <w:pPr>
              <w:pStyle w:val="yTableNAm"/>
            </w:pPr>
            <w:r>
              <w:t>26AC(2)</w:t>
            </w:r>
          </w:p>
        </w:tc>
        <w:tc>
          <w:tcPr>
            <w:tcW w:w="4606" w:type="dxa"/>
          </w:tcPr>
          <w:p>
            <w:pPr>
              <w:pStyle w:val="yTableNAm"/>
              <w:tabs>
                <w:tab w:val="left" w:leader="dot" w:pos="5387"/>
              </w:tabs>
            </w:pPr>
            <w:r>
              <w:t xml:space="preserve">Unlawfully parking in a permit parking area </w:t>
            </w:r>
            <w:r>
              <w:tab/>
            </w:r>
          </w:p>
        </w:tc>
        <w:tc>
          <w:tcPr>
            <w:tcW w:w="1343" w:type="dxa"/>
          </w:tcPr>
          <w:p>
            <w:pPr>
              <w:pStyle w:val="yTableNAm"/>
            </w:pPr>
            <w:r>
              <w:tab/>
              <w:t>45</w:t>
            </w:r>
          </w:p>
        </w:tc>
      </w:tr>
      <w:tr>
        <w:tc>
          <w:tcPr>
            <w:tcW w:w="1134" w:type="dxa"/>
          </w:tcPr>
          <w:p>
            <w:pPr>
              <w:pStyle w:val="yTableNAm"/>
            </w:pPr>
            <w:r>
              <w:t>33</w:t>
            </w:r>
          </w:p>
        </w:tc>
        <w:tc>
          <w:tcPr>
            <w:tcW w:w="4606" w:type="dxa"/>
          </w:tcPr>
          <w:p>
            <w:pPr>
              <w:pStyle w:val="yTableNAm"/>
              <w:tabs>
                <w:tab w:val="left" w:leader="dot" w:pos="5387"/>
              </w:tabs>
            </w:pPr>
            <w:r>
              <w:t>Unauthorised person endorsing an infringement notice</w:t>
            </w:r>
            <w:r>
              <w:tab/>
            </w:r>
            <w:r>
              <w:tab/>
            </w:r>
          </w:p>
        </w:tc>
        <w:tc>
          <w:tcPr>
            <w:tcW w:w="1343" w:type="dxa"/>
          </w:tcPr>
          <w:p>
            <w:pPr>
              <w:pStyle w:val="yTableNAm"/>
            </w:pPr>
            <w:r>
              <w:br/>
            </w:r>
            <w:r>
              <w:tab/>
              <w:t>45</w:t>
            </w:r>
          </w:p>
        </w:tc>
      </w:tr>
      <w:tr>
        <w:tc>
          <w:tcPr>
            <w:tcW w:w="1134" w:type="dxa"/>
          </w:tcPr>
          <w:p>
            <w:pPr>
              <w:pStyle w:val="yTableNAm"/>
            </w:pPr>
            <w:r>
              <w:t>33</w:t>
            </w:r>
          </w:p>
        </w:tc>
        <w:tc>
          <w:tcPr>
            <w:tcW w:w="4606" w:type="dxa"/>
          </w:tcPr>
          <w:p>
            <w:pPr>
              <w:pStyle w:val="yTableNAm"/>
              <w:tabs>
                <w:tab w:val="left" w:leader="dot" w:pos="5387"/>
              </w:tabs>
            </w:pPr>
            <w:r>
              <w:t xml:space="preserve">Removal of infringement notice by unauthorised person </w:t>
            </w:r>
            <w:r>
              <w:tab/>
            </w:r>
          </w:p>
        </w:tc>
        <w:tc>
          <w:tcPr>
            <w:tcW w:w="1343" w:type="dxa"/>
          </w:tcPr>
          <w:p>
            <w:pPr>
              <w:pStyle w:val="yTableNAm"/>
            </w:pPr>
            <w:r>
              <w:br/>
            </w:r>
            <w:r>
              <w:tab/>
              <w:t>45</w:t>
            </w:r>
          </w:p>
        </w:tc>
      </w:tr>
      <w:tr>
        <w:tc>
          <w:tcPr>
            <w:tcW w:w="1134" w:type="dxa"/>
          </w:tcPr>
          <w:p>
            <w:pPr>
              <w:pStyle w:val="yTableNAm"/>
            </w:pPr>
            <w:r>
              <w:t>35</w:t>
            </w:r>
          </w:p>
        </w:tc>
        <w:tc>
          <w:tcPr>
            <w:tcW w:w="4606" w:type="dxa"/>
          </w:tcPr>
          <w:p>
            <w:pPr>
              <w:pStyle w:val="yTableNAm"/>
              <w:tabs>
                <w:tab w:val="left" w:leader="dot" w:pos="5387"/>
              </w:tabs>
            </w:pPr>
            <w:r>
              <w:t xml:space="preserve">Refusing to supply name and address to authorised person when required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Wilfully obstructing person employed on site in discharge of his duty </w:t>
            </w:r>
            <w:r>
              <w:tab/>
            </w:r>
          </w:p>
        </w:tc>
        <w:tc>
          <w:tcPr>
            <w:tcW w:w="1343" w:type="dxa"/>
          </w:tcPr>
          <w:p>
            <w:pPr>
              <w:pStyle w:val="yTableNAm"/>
            </w:pPr>
            <w:r>
              <w:br/>
            </w:r>
            <w:r>
              <w:tab/>
              <w:t>45</w:t>
            </w:r>
          </w:p>
        </w:tc>
      </w:tr>
      <w:tr>
        <w:tc>
          <w:tcPr>
            <w:tcW w:w="1134" w:type="dxa"/>
          </w:tcPr>
          <w:p>
            <w:pPr>
              <w:pStyle w:val="yTableNAm"/>
            </w:pPr>
            <w:r>
              <w:t>36</w:t>
            </w:r>
          </w:p>
        </w:tc>
        <w:tc>
          <w:tcPr>
            <w:tcW w:w="4606" w:type="dxa"/>
          </w:tcPr>
          <w:p>
            <w:pPr>
              <w:pStyle w:val="yTableNAm"/>
              <w:tabs>
                <w:tab w:val="left" w:leader="dot" w:pos="5387"/>
              </w:tabs>
            </w:pPr>
            <w:r>
              <w:t xml:space="preserve">Obstructing, disturbing, interrupting or annoying person lawfully using site </w:t>
            </w:r>
            <w:r>
              <w:tab/>
            </w:r>
          </w:p>
        </w:tc>
        <w:tc>
          <w:tcPr>
            <w:tcW w:w="1343" w:type="dxa"/>
          </w:tcPr>
          <w:p>
            <w:pPr>
              <w:pStyle w:val="yTableNAm"/>
            </w:pPr>
            <w:r>
              <w:br/>
            </w:r>
            <w:r>
              <w:tab/>
              <w:t>45</w:t>
            </w:r>
          </w:p>
        </w:tc>
      </w:tr>
    </w:tbl>
    <w:p>
      <w:pPr>
        <w:pStyle w:val="yFootnotesection"/>
      </w:pPr>
      <w:r>
        <w:tab/>
        <w:t>[Schedule 2 inserted in Gazette 22 Feb 1991 pp.881</w:t>
      </w:r>
      <w:r>
        <w:noBreakHyphen/>
        <w:t>2; amended in Gazette 29 Jun 2001 p. 3114; 22 Jun 2010 p. 2779-80; 17 Dec 2010 p. 6355.]</w:t>
      </w:r>
    </w:p>
    <w:p>
      <w:pPr>
        <w:pStyle w:val="yScheduleHeading"/>
      </w:pPr>
      <w:bookmarkStart w:id="80" w:name="_Toc264894895"/>
      <w:bookmarkStart w:id="81" w:name="_Toc264895051"/>
      <w:bookmarkStart w:id="82" w:name="_Toc264965204"/>
      <w:r>
        <w:rPr>
          <w:rStyle w:val="CharSchNo"/>
        </w:rPr>
        <w:t>Schedule 3</w:t>
      </w:r>
      <w:bookmarkEnd w:id="80"/>
      <w:bookmarkEnd w:id="81"/>
      <w:bookmarkEnd w:id="82"/>
      <w:r>
        <w:rPr>
          <w:rStyle w:val="CharSchNo"/>
        </w:rPr>
        <w:t xml:space="preserve"> </w:t>
      </w:r>
    </w:p>
    <w:p>
      <w:pPr>
        <w:pStyle w:val="yShoulderClause"/>
        <w:spacing w:before="0"/>
        <w:rPr>
          <w:snapToGrid w:val="0"/>
        </w:rPr>
      </w:pPr>
      <w:r>
        <w:rPr>
          <w:snapToGrid w:val="0"/>
        </w:rPr>
        <w:t>[By</w:t>
      </w:r>
      <w:r>
        <w:rPr>
          <w:snapToGrid w:val="0"/>
        </w:rPr>
        <w:noBreakHyphen/>
        <w:t>law 30]</w:t>
      </w:r>
    </w:p>
    <w:p>
      <w:pPr>
        <w:pStyle w:val="yTable"/>
        <w:spacing w:before="0"/>
        <w:jc w:val="center"/>
        <w:rPr>
          <w:b/>
          <w:snapToGrid w:val="0"/>
        </w:rPr>
      </w:pPr>
      <w:r>
        <w:rPr>
          <w:b/>
          <w:snapToGrid w:val="0"/>
        </w:rPr>
        <w:t>Forms</w:t>
      </w:r>
    </w:p>
    <w:p>
      <w:pPr>
        <w:pStyle w:val="yTable"/>
        <w:spacing w:before="240"/>
        <w:jc w:val="center"/>
        <w:rPr>
          <w:b/>
          <w:snapToGrid w:val="0"/>
        </w:rPr>
      </w:pPr>
      <w:r>
        <w:rPr>
          <w:b/>
          <w:snapToGrid w:val="0"/>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pageBreakBefore/>
        <w:jc w:val="center"/>
        <w:rPr>
          <w:b/>
          <w:snapToGrid w:val="0"/>
        </w:rPr>
      </w:pPr>
      <w:r>
        <w:rPr>
          <w:b/>
          <w:snapToGrid w:val="0"/>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CentredBaseLine"/>
        <w:jc w:val="center"/>
      </w:pPr>
      <w:r>
        <w:object w:dxaOrig="202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18.75pt" o:ole="" fillcolor="window">
            <v:imagedata r:id="rId26" o:title=""/>
          </v:shape>
          <o:OLEObject Type="Embed" ProgID="PBrush" ShapeID="_x0000_i1025" DrawAspect="Content" ObjectID="_1616222328" r:id="rId27"/>
        </w:object>
      </w:r>
    </w:p>
    <w:p>
      <w:pPr>
        <w:pStyle w:val="yTable"/>
        <w:pageBreakBefore/>
        <w:jc w:val="center"/>
        <w:rPr>
          <w:b/>
          <w:snapToGrid w:val="0"/>
        </w:rPr>
      </w:pPr>
      <w:r>
        <w:rPr>
          <w:b/>
          <w:snapToGrid w:val="0"/>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[Schedule 3 amended in Gazette 9 Dec 1988 p.4822; 29 Jun 2001 p. 3114.] </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83" w:name="_Toc264894896"/>
      <w:bookmarkStart w:id="84" w:name="_Toc264895052"/>
      <w:bookmarkStart w:id="85" w:name="_Toc264965205"/>
      <w:r>
        <w:t>Notes</w:t>
      </w:r>
      <w:bookmarkEnd w:id="83"/>
      <w:bookmarkEnd w:id="84"/>
      <w:bookmarkEnd w:id="85"/>
    </w:p>
    <w:p>
      <w:pPr>
        <w:pStyle w:val="nSubsection"/>
        <w:rPr>
          <w:snapToGrid w:val="0"/>
        </w:rPr>
      </w:pPr>
      <w:r>
        <w:rPr>
          <w:snapToGrid w:val="0"/>
          <w:vertAlign w:val="superscript"/>
        </w:rPr>
        <w:t>1</w:t>
      </w:r>
      <w:r>
        <w:rPr>
          <w:snapToGrid w:val="0"/>
        </w:rPr>
        <w:tab/>
        <w:t xml:space="preserve">This is a compilation of the </w:t>
      </w:r>
      <w:r>
        <w:rPr>
          <w:i/>
          <w:noProof/>
          <w:snapToGrid w:val="0"/>
        </w:rPr>
        <w:t>Queen Elizabeth II Medical Centre (Delegated Site) By-laws 1986</w:t>
      </w:r>
      <w:r>
        <w:rPr>
          <w:snapToGrid w:val="0"/>
        </w:rPr>
        <w:t xml:space="preserve"> and includes the amendments made by the other written laws referred to in the following table.</w:t>
      </w:r>
    </w:p>
    <w:p>
      <w:pPr>
        <w:pStyle w:val="nHeading3"/>
        <w:rPr>
          <w:snapToGrid w:val="0"/>
        </w:rPr>
      </w:pPr>
      <w:bookmarkStart w:id="86" w:name="_Toc264965206"/>
      <w:r>
        <w:rPr>
          <w:snapToGrid w:val="0"/>
        </w:rPr>
        <w:t>Compilation table</w:t>
      </w:r>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by-law 2 and </w:t>
            </w:r>
            <w:r>
              <w:rPr>
                <w:i/>
                <w:sz w:val="19"/>
              </w:rPr>
              <w:t>Gazette</w:t>
            </w:r>
            <w:r>
              <w:rPr>
                <w:sz w:val="19"/>
              </w:rPr>
              <w:t xml:space="preserve"> 24 Oct 1986 p.3938)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by-law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by</w:t>
            </w:r>
            <w:r>
              <w:rPr>
                <w:sz w:val="19"/>
              </w:rPr>
              <w:noBreakHyphen/>
              <w:t>law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pp.3019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3118" w:type="dxa"/>
          </w:tcPr>
          <w:p>
            <w:pPr>
              <w:pStyle w:val="nTable"/>
              <w:spacing w:after="40"/>
              <w:ind w:right="170"/>
              <w:rPr>
                <w:i/>
                <w:sz w:val="19"/>
              </w:rPr>
            </w:pPr>
            <w:r>
              <w:rPr>
                <w:i/>
                <w:sz w:val="19"/>
              </w:rPr>
              <w:t>Queen Elizabeth II Medical Centre (Delegated Site) Amendment 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lang w:val="en-US"/>
              </w:rPr>
              <w:t>r. 1 and 2: 22 Jun 2010 (see r. 2(a));</w:t>
            </w:r>
            <w:r>
              <w:rPr>
                <w:snapToGrid w:val="0"/>
                <w:spacing w:val="-2"/>
                <w:sz w:val="19"/>
                <w:lang w:val="en-US"/>
              </w:rPr>
              <w:br/>
              <w:t>Regulations other than r. 1 and 2: 23 Jun 2010 (see r. 2(b))</w:t>
            </w:r>
          </w:p>
        </w:tc>
      </w:tr>
      <w:tr>
        <w:trPr>
          <w:cantSplit/>
        </w:trPr>
        <w:tc>
          <w:tcPr>
            <w:tcW w:w="3118" w:type="dxa"/>
            <w:tcBorders>
              <w:bottom w:val="single" w:sz="8" w:space="0" w:color="auto"/>
            </w:tcBorders>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Borders>
              <w:bottom w:val="single" w:sz="8" w:space="0" w:color="auto"/>
            </w:tcBorders>
          </w:tcPr>
          <w:p>
            <w:pPr>
              <w:pStyle w:val="nTable"/>
              <w:keepLines/>
              <w:spacing w:after="40"/>
              <w:rPr>
                <w:sz w:val="19"/>
              </w:rPr>
            </w:pPr>
            <w:r>
              <w:rPr>
                <w:sz w:val="19"/>
              </w:rPr>
              <w:t>17 Dec 2010 p. 6354</w:t>
            </w:r>
            <w:r>
              <w:rPr>
                <w:sz w:val="19"/>
              </w:rPr>
              <w:noBreakHyphen/>
              <w:t>5</w:t>
            </w:r>
          </w:p>
        </w:tc>
        <w:tc>
          <w:tcPr>
            <w:tcW w:w="2693" w:type="dxa"/>
            <w:tcBorders>
              <w:bottom w:val="single" w:sz="8" w:space="0" w:color="auto"/>
            </w:tcBorders>
          </w:tcPr>
          <w:p>
            <w:pPr>
              <w:pStyle w:val="nTable"/>
              <w:keepLines/>
              <w:spacing w:after="40"/>
              <w:rPr>
                <w:snapToGrid w:val="0"/>
                <w:spacing w:val="-2"/>
                <w:sz w:val="19"/>
                <w:lang w:val="en-US"/>
              </w:rPr>
            </w:pPr>
            <w:r>
              <w:rPr>
                <w:snapToGrid w:val="0"/>
                <w:spacing w:val="-2"/>
                <w:sz w:val="19"/>
                <w:lang w:val="en-US"/>
              </w:rPr>
              <w:t>bl. 1 and 2: 17 Dec 2010 (see bl. 2(a));</w:t>
            </w:r>
            <w:r>
              <w:rPr>
                <w:snapToGrid w:val="0"/>
                <w:spacing w:val="-2"/>
                <w:sz w:val="19"/>
                <w:lang w:val="en-US"/>
              </w:rPr>
              <w:br/>
              <w:t>By-laws other than bl. 1 and 2: 1 Jan 2011 (see bl. 2(b))</w:t>
            </w:r>
          </w:p>
        </w:tc>
      </w:tr>
    </w:tbl>
    <w:p>
      <w:pPr>
        <w:pStyle w:val="nSubsection"/>
      </w:pPr>
      <w:r>
        <w:rPr>
          <w:vertAlign w:val="superscript"/>
        </w:rPr>
        <w:t>2</w:t>
      </w:r>
      <w:r>
        <w:tab/>
        <w:t>Footnote no longer applicable.</w:t>
      </w:r>
    </w:p>
    <w:p>
      <w:pPr>
        <w:pStyle w:val="nSubsection"/>
      </w:pPr>
      <w:r>
        <w:rPr>
          <w:vertAlign w:val="superscript"/>
        </w:rPr>
        <w:t>3</w:t>
      </w:r>
      <w:r>
        <w:tab/>
        <w:t xml:space="preserve">Repealed by the </w:t>
      </w:r>
      <w:r>
        <w:rPr>
          <w:i/>
        </w:rPr>
        <w:t>Taxi Act 1994</w:t>
      </w:r>
      <w:r>
        <w:t xml:space="preserve"> (No. 83 of 1994).</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1"/>
  </w:num>
  <w:num w:numId="14">
    <w:abstractNumId w:val="1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928"/>
    <w:docVar w:name="WAFER_20151209114928" w:val="RemoveTrackChanges"/>
    <w:docVar w:name="WAFER_20151209114928_GUID" w:val="2cc31fd7-2ae4-4db4-b441-dffb0b315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7015</Words>
  <Characters>34797</Characters>
  <Application>Microsoft Office Word</Application>
  <DocSecurity>0</DocSecurity>
  <Lines>1122</Lines>
  <Paragraphs>774</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1986 - 01-d0-02</dc:title>
  <dc:subject/>
  <dc:creator/>
  <cp:keywords/>
  <dc:description/>
  <cp:lastModifiedBy>svcMRProcess</cp:lastModifiedBy>
  <cp:revision>4</cp:revision>
  <cp:lastPrinted>2000-11-21T01:26:00Z</cp:lastPrinted>
  <dcterms:created xsi:type="dcterms:W3CDTF">2019-04-08T01:52:00Z</dcterms:created>
  <dcterms:modified xsi:type="dcterms:W3CDTF">2019-04-08T01:52:00Z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20110101</vt:lpwstr>
  </property>
  <property fmtid="{D5CDD505-2E9C-101B-9397-08002B2CF9AE}" pid="4" name="DocumentType">
    <vt:lpwstr>Reg</vt:lpwstr>
  </property>
  <property fmtid="{D5CDD505-2E9C-101B-9397-08002B2CF9AE}" pid="5" name="AsAtDate">
    <vt:lpwstr>01 Jan 2011</vt:lpwstr>
  </property>
  <property fmtid="{D5CDD505-2E9C-101B-9397-08002B2CF9AE}" pid="6" name="Suffix">
    <vt:lpwstr>01-d0-02</vt:lpwstr>
  </property>
  <property fmtid="{D5CDD505-2E9C-101B-9397-08002B2CF9AE}" pid="7" name="OwlsUID">
    <vt:i4>4726</vt:i4>
  </property>
</Properties>
</file>