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and Related Resources Protection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_Toc412557426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_Toc412557427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Restrictions on movement of pinewood</w:t>
      </w:r>
    </w:p>
    <w:p>
      <w:pPr>
        <w:pStyle w:val="TOC8"/>
        <w:rPr>
          <w:rFonts w:asciiTheme="minorHAnsi" w:eastAsiaTheme="minorEastAsia" w:hAnsiTheme="minorHAnsi" w:cstheme="minorBidi"/>
          <w:szCs w:val="22"/>
        </w:rPr>
      </w:pPr>
      <w:r>
        <w:t>3.</w:t>
      </w:r>
      <w:r>
        <w:tab/>
        <w:t>Bringing pinewood into RMZ</w:t>
      </w:r>
      <w:r>
        <w:tab/>
      </w:r>
      <w:r>
        <w:fldChar w:fldCharType="begin"/>
      </w:r>
      <w:r>
        <w:instrText xml:space="preserve"> PAGEREF _Toc412557429 \h </w:instrText>
      </w:r>
      <w:r>
        <w:fldChar w:fldCharType="separate"/>
      </w:r>
      <w:r>
        <w:t>3</w:t>
      </w:r>
      <w:r>
        <w:fldChar w:fldCharType="end"/>
      </w:r>
    </w:p>
    <w:p>
      <w:pPr>
        <w:pStyle w:val="TOC8"/>
        <w:rPr>
          <w:rFonts w:asciiTheme="minorHAnsi" w:eastAsiaTheme="minorEastAsia" w:hAnsiTheme="minorHAnsi" w:cstheme="minorBidi"/>
          <w:szCs w:val="22"/>
        </w:rPr>
      </w:pPr>
      <w:r>
        <w:t>4.</w:t>
      </w:r>
      <w:r>
        <w:tab/>
        <w:t>Removing seasoned pinewood from RMZ</w:t>
      </w:r>
      <w:r>
        <w:tab/>
      </w:r>
      <w:r>
        <w:fldChar w:fldCharType="begin"/>
      </w:r>
      <w:r>
        <w:instrText xml:space="preserve"> PAGEREF _Toc412557430 \h </w:instrText>
      </w:r>
      <w:r>
        <w:fldChar w:fldCharType="separate"/>
      </w:r>
      <w:r>
        <w:t>3</w:t>
      </w:r>
      <w:r>
        <w:fldChar w:fldCharType="end"/>
      </w:r>
    </w:p>
    <w:p>
      <w:pPr>
        <w:pStyle w:val="TOC8"/>
        <w:rPr>
          <w:rFonts w:asciiTheme="minorHAnsi" w:eastAsiaTheme="minorEastAsia" w:hAnsiTheme="minorHAnsi" w:cstheme="minorBidi"/>
          <w:szCs w:val="22"/>
        </w:rPr>
      </w:pPr>
      <w:r>
        <w:t>5.</w:t>
      </w:r>
      <w:r>
        <w:tab/>
        <w:t>Removing unseasoned pinewood from RMZ</w:t>
      </w:r>
      <w:r>
        <w:tab/>
      </w:r>
      <w:r>
        <w:fldChar w:fldCharType="begin"/>
      </w:r>
      <w:r>
        <w:instrText xml:space="preserve"> PAGEREF _Toc412557431 \h </w:instrText>
      </w:r>
      <w:r>
        <w:fldChar w:fldCharType="separate"/>
      </w:r>
      <w:r>
        <w:t>5</w:t>
      </w:r>
      <w:r>
        <w:fldChar w:fldCharType="end"/>
      </w:r>
    </w:p>
    <w:p>
      <w:pPr>
        <w:pStyle w:val="TOC8"/>
        <w:rPr>
          <w:rFonts w:asciiTheme="minorHAnsi" w:eastAsiaTheme="minorEastAsia" w:hAnsiTheme="minorHAnsi" w:cstheme="minorBidi"/>
          <w:szCs w:val="22"/>
        </w:rPr>
      </w:pPr>
      <w:r>
        <w:t>6.</w:t>
      </w:r>
      <w:r>
        <w:tab/>
        <w:t>Removing seasoned pinewood from PMZ</w:t>
      </w:r>
      <w:r>
        <w:tab/>
      </w:r>
      <w:r>
        <w:fldChar w:fldCharType="begin"/>
      </w:r>
      <w:r>
        <w:instrText xml:space="preserve"> PAGEREF _Toc412557432 \h </w:instrText>
      </w:r>
      <w:r>
        <w:fldChar w:fldCharType="separate"/>
      </w:r>
      <w:r>
        <w:t>5</w:t>
      </w:r>
      <w:r>
        <w:fldChar w:fldCharType="end"/>
      </w:r>
    </w:p>
    <w:p>
      <w:pPr>
        <w:pStyle w:val="TOC8"/>
        <w:rPr>
          <w:rFonts w:asciiTheme="minorHAnsi" w:eastAsiaTheme="minorEastAsia" w:hAnsiTheme="minorHAnsi" w:cstheme="minorBidi"/>
          <w:szCs w:val="22"/>
        </w:rPr>
      </w:pPr>
      <w:r>
        <w:t>7.</w:t>
      </w:r>
      <w:r>
        <w:tab/>
        <w:t>Causing pinewood to be moved into or from RMZ or PMZ</w:t>
      </w:r>
      <w:r>
        <w:tab/>
      </w:r>
      <w:r>
        <w:fldChar w:fldCharType="begin"/>
      </w:r>
      <w:r>
        <w:instrText xml:space="preserve"> PAGEREF _Toc412557433 \h </w:instrText>
      </w:r>
      <w:r>
        <w:fldChar w:fldCharType="separate"/>
      </w:r>
      <w:r>
        <w:t>6</w:t>
      </w:r>
      <w:r>
        <w:fldChar w:fldCharType="end"/>
      </w:r>
    </w:p>
    <w:p>
      <w:pPr>
        <w:pStyle w:val="TOC8"/>
        <w:rPr>
          <w:rFonts w:asciiTheme="minorHAnsi" w:eastAsiaTheme="minorEastAsia" w:hAnsiTheme="minorHAnsi" w:cstheme="minorBidi"/>
          <w:szCs w:val="22"/>
        </w:rPr>
      </w:pPr>
      <w:r>
        <w:t>8.</w:t>
      </w:r>
      <w:r>
        <w:tab/>
        <w:t>Authorisations</w:t>
      </w:r>
      <w:r>
        <w:tab/>
      </w:r>
      <w:r>
        <w:fldChar w:fldCharType="begin"/>
      </w:r>
      <w:r>
        <w:instrText xml:space="preserve"> PAGEREF _Toc412557434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Destruction and treatment of pinewood</w:t>
      </w:r>
    </w:p>
    <w:p>
      <w:pPr>
        <w:pStyle w:val="TOC8"/>
        <w:rPr>
          <w:rFonts w:asciiTheme="minorHAnsi" w:eastAsiaTheme="minorEastAsia" w:hAnsiTheme="minorHAnsi" w:cstheme="minorBidi"/>
          <w:szCs w:val="22"/>
        </w:rPr>
      </w:pPr>
      <w:r>
        <w:t>9.</w:t>
      </w:r>
      <w:r>
        <w:tab/>
        <w:t>Unwanted pinewood in RMZ</w:t>
      </w:r>
      <w:r>
        <w:tab/>
      </w:r>
      <w:r>
        <w:fldChar w:fldCharType="begin"/>
      </w:r>
      <w:r>
        <w:instrText xml:space="preserve"> PAGEREF _Toc412557436 \h </w:instrText>
      </w:r>
      <w:r>
        <w:fldChar w:fldCharType="separate"/>
      </w:r>
      <w:r>
        <w:t>7</w:t>
      </w:r>
      <w:r>
        <w:fldChar w:fldCharType="end"/>
      </w:r>
    </w:p>
    <w:p>
      <w:pPr>
        <w:pStyle w:val="TOC8"/>
        <w:rPr>
          <w:rFonts w:asciiTheme="minorHAnsi" w:eastAsiaTheme="minorEastAsia" w:hAnsiTheme="minorHAnsi" w:cstheme="minorBidi"/>
          <w:szCs w:val="22"/>
        </w:rPr>
      </w:pPr>
      <w:r>
        <w:t>10.</w:t>
      </w:r>
      <w:r>
        <w:tab/>
        <w:t>Directions to store, treat or destroy pinewood in RMZ</w:t>
      </w:r>
      <w:r>
        <w:tab/>
      </w:r>
      <w:r>
        <w:fldChar w:fldCharType="begin"/>
      </w:r>
      <w:r>
        <w:instrText xml:space="preserve"> PAGEREF _Toc412557437 \h </w:instrText>
      </w:r>
      <w:r>
        <w:fldChar w:fldCharType="separate"/>
      </w:r>
      <w:r>
        <w:t>7</w:t>
      </w:r>
      <w:r>
        <w:fldChar w:fldCharType="end"/>
      </w:r>
    </w:p>
    <w:p>
      <w:pPr>
        <w:pStyle w:val="TOC8"/>
        <w:rPr>
          <w:rFonts w:asciiTheme="minorHAnsi" w:eastAsiaTheme="minorEastAsia" w:hAnsiTheme="minorHAnsi" w:cstheme="minorBidi"/>
          <w:szCs w:val="22"/>
        </w:rPr>
      </w:pPr>
      <w:r>
        <w:t>11.</w:t>
      </w:r>
      <w:r>
        <w:tab/>
        <w:t>Manner in which pinewood to be destroyed</w:t>
      </w:r>
      <w:r>
        <w:tab/>
      </w:r>
      <w:r>
        <w:fldChar w:fldCharType="begin"/>
      </w:r>
      <w:r>
        <w:instrText xml:space="preserve"> PAGEREF _Toc412557438 \h </w:instrText>
      </w:r>
      <w:r>
        <w:fldChar w:fldCharType="separate"/>
      </w:r>
      <w:r>
        <w:t>8</w:t>
      </w:r>
      <w:r>
        <w:fldChar w:fldCharType="end"/>
      </w:r>
    </w:p>
    <w:p>
      <w:pPr>
        <w:pStyle w:val="TOC8"/>
        <w:rPr>
          <w:rFonts w:asciiTheme="minorHAnsi" w:eastAsiaTheme="minorEastAsia" w:hAnsiTheme="minorHAnsi" w:cstheme="minorBidi"/>
          <w:szCs w:val="22"/>
        </w:rPr>
      </w:pPr>
      <w:r>
        <w:t>12.</w:t>
      </w:r>
      <w:r>
        <w:tab/>
        <w:t>Manner in which pinewood to be treated</w:t>
      </w:r>
      <w:r>
        <w:tab/>
      </w:r>
      <w:r>
        <w:fldChar w:fldCharType="begin"/>
      </w:r>
      <w:r>
        <w:instrText xml:space="preserve"> PAGEREF _Toc412557439 \h </w:instrText>
      </w:r>
      <w:r>
        <w:fldChar w:fldCharType="separate"/>
      </w:r>
      <w:r>
        <w:t>8</w:t>
      </w:r>
      <w:r>
        <w:fldChar w:fldCharType="end"/>
      </w:r>
    </w:p>
    <w:p>
      <w:pPr>
        <w:pStyle w:val="TOC8"/>
        <w:rPr>
          <w:rFonts w:asciiTheme="minorHAnsi" w:eastAsiaTheme="minorEastAsia" w:hAnsiTheme="minorHAnsi" w:cstheme="minorBidi"/>
          <w:szCs w:val="22"/>
        </w:rPr>
      </w:pPr>
      <w:r>
        <w:t>13.</w:t>
      </w:r>
      <w:r>
        <w:tab/>
        <w:t>Authorised person may carry out work and recover cost</w:t>
      </w:r>
      <w:r>
        <w:tab/>
      </w:r>
      <w:r>
        <w:fldChar w:fldCharType="begin"/>
      </w:r>
      <w:r>
        <w:instrText xml:space="preserve"> PAGEREF _Toc412557440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Structural pinewood</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_Toc412557442 \h </w:instrText>
      </w:r>
      <w:r>
        <w:fldChar w:fldCharType="separate"/>
      </w:r>
      <w:r>
        <w:t>10</w:t>
      </w:r>
      <w:r>
        <w:fldChar w:fldCharType="end"/>
      </w:r>
    </w:p>
    <w:p>
      <w:pPr>
        <w:pStyle w:val="TOC8"/>
        <w:rPr>
          <w:rFonts w:asciiTheme="minorHAnsi" w:eastAsiaTheme="minorEastAsia" w:hAnsiTheme="minorHAnsi" w:cstheme="minorBidi"/>
          <w:szCs w:val="22"/>
        </w:rPr>
      </w:pPr>
      <w:r>
        <w:t>15.</w:t>
      </w:r>
      <w:r>
        <w:tab/>
        <w:t>EHB infestation to be reported</w:t>
      </w:r>
      <w:r>
        <w:tab/>
      </w:r>
      <w:r>
        <w:fldChar w:fldCharType="begin"/>
      </w:r>
      <w:r>
        <w:instrText xml:space="preserve"> PAGEREF _Toc412557443 \h </w:instrText>
      </w:r>
      <w:r>
        <w:fldChar w:fldCharType="separate"/>
      </w:r>
      <w:r>
        <w:t>11</w:t>
      </w:r>
      <w:r>
        <w:fldChar w:fldCharType="end"/>
      </w:r>
    </w:p>
    <w:p>
      <w:pPr>
        <w:pStyle w:val="TOC8"/>
        <w:rPr>
          <w:rFonts w:asciiTheme="minorHAnsi" w:eastAsiaTheme="minorEastAsia" w:hAnsiTheme="minorHAnsi" w:cstheme="minorBidi"/>
          <w:szCs w:val="22"/>
        </w:rPr>
      </w:pPr>
      <w:r>
        <w:t>16.</w:t>
      </w:r>
      <w:r>
        <w:tab/>
        <w:t>Treatment of infested structural pinewood</w:t>
      </w:r>
      <w:r>
        <w:tab/>
      </w:r>
      <w:r>
        <w:fldChar w:fldCharType="begin"/>
      </w:r>
      <w:r>
        <w:instrText xml:space="preserve"> PAGEREF _Toc412557444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17.</w:t>
      </w:r>
      <w:r>
        <w:tab/>
        <w:t>Authorised person to notify owner or occupier of certain properties of infestation</w:t>
      </w:r>
      <w:r>
        <w:tab/>
      </w:r>
      <w:r>
        <w:fldChar w:fldCharType="begin"/>
      </w:r>
      <w:r>
        <w:instrText xml:space="preserve"> PAGEREF _Toc412557446 \h </w:instrText>
      </w:r>
      <w:r>
        <w:fldChar w:fldCharType="separate"/>
      </w:r>
      <w:r>
        <w:t>13</w:t>
      </w:r>
      <w:r>
        <w:fldChar w:fldCharType="end"/>
      </w:r>
    </w:p>
    <w:p>
      <w:pPr>
        <w:pStyle w:val="TOC8"/>
        <w:rPr>
          <w:rFonts w:asciiTheme="minorHAnsi" w:eastAsiaTheme="minorEastAsia" w:hAnsiTheme="minorHAnsi" w:cstheme="minorBidi"/>
          <w:szCs w:val="22"/>
        </w:rPr>
      </w:pPr>
      <w:r>
        <w:t>18A.</w:t>
      </w:r>
      <w:r>
        <w:tab/>
        <w:t>Notification of RMZ</w:t>
      </w:r>
      <w:r>
        <w:tab/>
      </w:r>
      <w:r>
        <w:fldChar w:fldCharType="begin"/>
      </w:r>
      <w:r>
        <w:instrText xml:space="preserve"> PAGEREF _Toc412557447 \h </w:instrText>
      </w:r>
      <w:r>
        <w:fldChar w:fldCharType="separate"/>
      </w:r>
      <w:r>
        <w:t>13</w:t>
      </w:r>
      <w:r>
        <w:fldChar w:fldCharType="end"/>
      </w:r>
    </w:p>
    <w:p>
      <w:pPr>
        <w:pStyle w:val="TOC8"/>
        <w:rPr>
          <w:rFonts w:asciiTheme="minorHAnsi" w:eastAsiaTheme="minorEastAsia" w:hAnsiTheme="minorHAnsi" w:cstheme="minorBidi"/>
          <w:szCs w:val="22"/>
        </w:rPr>
      </w:pPr>
      <w:r>
        <w:t>18.</w:t>
      </w:r>
      <w:r>
        <w:tab/>
        <w:t>Information as to source and supply of pinewood</w:t>
      </w:r>
      <w:r>
        <w:tab/>
      </w:r>
      <w:r>
        <w:fldChar w:fldCharType="begin"/>
      </w:r>
      <w:r>
        <w:instrText xml:space="preserve"> PAGEREF _Toc412557448 \h </w:instrText>
      </w:r>
      <w:r>
        <w:fldChar w:fldCharType="separate"/>
      </w:r>
      <w:r>
        <w:t>14</w:t>
      </w:r>
      <w:r>
        <w:fldChar w:fldCharType="end"/>
      </w:r>
    </w:p>
    <w:p>
      <w:pPr>
        <w:pStyle w:val="TOC8"/>
        <w:rPr>
          <w:rFonts w:asciiTheme="minorHAnsi" w:eastAsiaTheme="minorEastAsia" w:hAnsiTheme="minorHAnsi" w:cstheme="minorBidi"/>
          <w:szCs w:val="22"/>
        </w:rPr>
      </w:pPr>
      <w:r>
        <w:t>19.</w:t>
      </w:r>
      <w:r>
        <w:tab/>
        <w:t>Record keeping by dealers may be required</w:t>
      </w:r>
      <w:r>
        <w:tab/>
      </w:r>
      <w:r>
        <w:fldChar w:fldCharType="begin"/>
      </w:r>
      <w:r>
        <w:instrText xml:space="preserve"> PAGEREF _Toc412557449 \h </w:instrText>
      </w:r>
      <w:r>
        <w:fldChar w:fldCharType="separate"/>
      </w:r>
      <w:r>
        <w:t>14</w:t>
      </w:r>
      <w:r>
        <w:fldChar w:fldCharType="end"/>
      </w:r>
    </w:p>
    <w:p>
      <w:pPr>
        <w:pStyle w:val="TOC8"/>
        <w:rPr>
          <w:rFonts w:asciiTheme="minorHAnsi" w:eastAsiaTheme="minorEastAsia" w:hAnsiTheme="minorHAnsi" w:cstheme="minorBidi"/>
          <w:szCs w:val="22"/>
        </w:rPr>
      </w:pPr>
      <w:r>
        <w:t>20.</w:t>
      </w:r>
      <w:r>
        <w:tab/>
        <w:t>RMZ or PMZ notification signs</w:t>
      </w:r>
      <w:r>
        <w:tab/>
      </w:r>
      <w:r>
        <w:fldChar w:fldCharType="begin"/>
      </w:r>
      <w:r>
        <w:instrText xml:space="preserve"> PAGEREF _Toc412557450 \h </w:instrText>
      </w:r>
      <w:r>
        <w:fldChar w:fldCharType="separate"/>
      </w:r>
      <w:r>
        <w:t>15</w:t>
      </w:r>
      <w:r>
        <w:fldChar w:fldCharType="end"/>
      </w:r>
    </w:p>
    <w:p>
      <w:pPr>
        <w:pStyle w:val="TOC8"/>
        <w:rPr>
          <w:rFonts w:asciiTheme="minorHAnsi" w:eastAsiaTheme="minorEastAsia" w:hAnsiTheme="minorHAnsi" w:cstheme="minorBidi"/>
          <w:szCs w:val="22"/>
        </w:rPr>
      </w:pPr>
      <w:r>
        <w:t>21.</w:t>
      </w:r>
      <w:r>
        <w:tab/>
        <w:t>Surveillance poles, traps and lures</w:t>
      </w:r>
      <w:r>
        <w:tab/>
      </w:r>
      <w:r>
        <w:fldChar w:fldCharType="begin"/>
      </w:r>
      <w:r>
        <w:instrText xml:space="preserve"> PAGEREF _Toc412557451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_Toc412557453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3" w:name="_Toc377973287"/>
      <w:bookmarkStart w:id="4" w:name="_Toc412557396"/>
      <w:bookmarkStart w:id="5" w:name="_Toc4125574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973288"/>
      <w:bookmarkStart w:id="7" w:name="_Toc41255742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rPr>
          <w:vertAlign w:val="superscript"/>
        </w:rPr>
        <w:t> 1</w:t>
      </w:r>
      <w:r>
        <w:t>.</w:t>
      </w:r>
    </w:p>
    <w:p>
      <w:pPr>
        <w:pStyle w:val="Heading5"/>
      </w:pPr>
      <w:bookmarkStart w:id="8" w:name="_Toc377973289"/>
      <w:bookmarkStart w:id="9" w:name="_Toc412557427"/>
      <w:r>
        <w:rPr>
          <w:rStyle w:val="CharSectno"/>
        </w:rPr>
        <w:t>2</w:t>
      </w:r>
      <w:r>
        <w:t>.</w:t>
      </w:r>
      <w:r>
        <w:tab/>
        <w:t>Terms used</w:t>
      </w:r>
      <w:bookmarkEnd w:id="8"/>
      <w:bookmarkEnd w:id="9"/>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 2 amended: Gazette 28 Dec 2007 p. 6480</w:t>
      </w:r>
      <w:r>
        <w:noBreakHyphen/>
        <w:t>1; 5 Feb 2010 p. 241</w:t>
      </w:r>
      <w:r>
        <w:noBreakHyphen/>
        <w:t>2.]</w:t>
      </w:r>
    </w:p>
    <w:p>
      <w:pPr>
        <w:pStyle w:val="Heading2"/>
      </w:pPr>
      <w:bookmarkStart w:id="10" w:name="_Toc377973290"/>
      <w:bookmarkStart w:id="11" w:name="_Toc412557399"/>
      <w:bookmarkStart w:id="12" w:name="_Toc412557428"/>
      <w:r>
        <w:rPr>
          <w:rStyle w:val="CharPartNo"/>
        </w:rPr>
        <w:t>Part 2</w:t>
      </w:r>
      <w:r>
        <w:rPr>
          <w:rStyle w:val="CharDivNo"/>
        </w:rPr>
        <w:t> </w:t>
      </w:r>
      <w:r>
        <w:t>—</w:t>
      </w:r>
      <w:r>
        <w:rPr>
          <w:rStyle w:val="CharDivText"/>
        </w:rPr>
        <w:t> </w:t>
      </w:r>
      <w:r>
        <w:rPr>
          <w:rStyle w:val="CharPartText"/>
        </w:rPr>
        <w:t>Restrictions on movement of pinewood</w:t>
      </w:r>
      <w:bookmarkEnd w:id="10"/>
      <w:bookmarkEnd w:id="11"/>
      <w:bookmarkEnd w:id="12"/>
    </w:p>
    <w:p>
      <w:pPr>
        <w:pStyle w:val="Heading5"/>
        <w:spacing w:before="180"/>
      </w:pPr>
      <w:bookmarkStart w:id="13" w:name="_Toc377973291"/>
      <w:bookmarkStart w:id="14" w:name="_Toc412557429"/>
      <w:r>
        <w:rPr>
          <w:rStyle w:val="CharSectno"/>
        </w:rPr>
        <w:t>3</w:t>
      </w:r>
      <w:r>
        <w:t>.</w:t>
      </w:r>
      <w:r>
        <w:tab/>
        <w:t>Bringing pinewood into RMZ</w:t>
      </w:r>
      <w:bookmarkEnd w:id="13"/>
      <w:bookmarkEnd w:id="14"/>
      <w:r>
        <w:t xml:space="preserve"> </w:t>
      </w:r>
    </w:p>
    <w:p>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spacing w:before="120"/>
      </w:pPr>
      <w:r>
        <w:tab/>
        <w:t>(2)</w:t>
      </w:r>
      <w:r>
        <w:tab/>
        <w:t>A person given a notice under subregulation (1) must comply with it.</w:t>
      </w:r>
    </w:p>
    <w:p>
      <w:pPr>
        <w:pStyle w:val="Penstart"/>
      </w:pPr>
      <w:r>
        <w:tab/>
        <w:t>Penalty: a fine of $1 000.</w:t>
      </w:r>
    </w:p>
    <w:p>
      <w:pPr>
        <w:pStyle w:val="Footnotesection"/>
        <w:ind w:left="890" w:hanging="890"/>
      </w:pPr>
      <w:r>
        <w:tab/>
        <w:t>[Regulation 3 amended: Gazette 5 Feb 2010 p. 242.]</w:t>
      </w:r>
    </w:p>
    <w:p>
      <w:pPr>
        <w:pStyle w:val="Heading5"/>
        <w:spacing w:before="180"/>
      </w:pPr>
      <w:bookmarkStart w:id="15" w:name="_Toc377973292"/>
      <w:bookmarkStart w:id="16" w:name="_Toc412557430"/>
      <w:r>
        <w:rPr>
          <w:rStyle w:val="CharSectno"/>
        </w:rPr>
        <w:t>4</w:t>
      </w:r>
      <w:r>
        <w:t>.</w:t>
      </w:r>
      <w:r>
        <w:tab/>
        <w:t>Removing seasoned pinewood from RMZ</w:t>
      </w:r>
      <w:bookmarkEnd w:id="15"/>
      <w:bookmarkEnd w:id="16"/>
    </w:p>
    <w:p>
      <w:pPr>
        <w:pStyle w:val="Subsection"/>
        <w:spacing w:before="120"/>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Gazette 28 Dec 2007 p. 6481; 5 Feb 2010 p. 242</w:t>
      </w:r>
      <w:r>
        <w:noBreakHyphen/>
        <w:t>3.]</w:t>
      </w:r>
    </w:p>
    <w:p>
      <w:pPr>
        <w:pStyle w:val="Heading5"/>
      </w:pPr>
      <w:bookmarkStart w:id="17" w:name="_Toc377973293"/>
      <w:bookmarkStart w:id="18" w:name="_Toc412557431"/>
      <w:r>
        <w:rPr>
          <w:rStyle w:val="CharSectno"/>
        </w:rPr>
        <w:t>5</w:t>
      </w:r>
      <w:r>
        <w:t>.</w:t>
      </w:r>
      <w:r>
        <w:tab/>
        <w:t>Removing unseasoned pinewood from RMZ</w:t>
      </w:r>
      <w:bookmarkEnd w:id="17"/>
      <w:bookmarkEnd w:id="18"/>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 5 inserted: Gazette 5 Feb 2010 p. 243.]</w:t>
      </w:r>
    </w:p>
    <w:p>
      <w:pPr>
        <w:pStyle w:val="Heading5"/>
      </w:pPr>
      <w:bookmarkStart w:id="19" w:name="_Toc377973294"/>
      <w:bookmarkStart w:id="20" w:name="_Toc412557432"/>
      <w:r>
        <w:rPr>
          <w:rStyle w:val="CharSectno"/>
        </w:rPr>
        <w:t>6</w:t>
      </w:r>
      <w:r>
        <w:t>.</w:t>
      </w:r>
      <w:r>
        <w:tab/>
        <w:t>Removing seasoned pinewood from PMZ</w:t>
      </w:r>
      <w:bookmarkEnd w:id="19"/>
      <w:bookmarkEnd w:id="20"/>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t xml:space="preserve">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Gazette 28 Dec 2007 p. 6481</w:t>
      </w:r>
      <w:r>
        <w:noBreakHyphen/>
        <w:t>2; amended: Gazette 5 Feb 2010 p. 243.]</w:t>
      </w:r>
    </w:p>
    <w:p>
      <w:pPr>
        <w:pStyle w:val="Heading5"/>
      </w:pPr>
      <w:bookmarkStart w:id="21" w:name="_Toc377973295"/>
      <w:bookmarkStart w:id="22" w:name="_Toc412557433"/>
      <w:r>
        <w:rPr>
          <w:rStyle w:val="CharSectno"/>
        </w:rPr>
        <w:t>7</w:t>
      </w:r>
      <w:r>
        <w:t>.</w:t>
      </w:r>
      <w:r>
        <w:tab/>
        <w:t>Causing pinewood to be moved into or from RMZ or PMZ</w:t>
      </w:r>
      <w:bookmarkEnd w:id="21"/>
      <w:bookmarkEnd w:id="22"/>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r>
        <w:tab/>
        <w:t>[Regulation 7 amended: Gazette 5 Feb 2010 p. 244.]</w:t>
      </w:r>
    </w:p>
    <w:p>
      <w:pPr>
        <w:pStyle w:val="Heading5"/>
      </w:pPr>
      <w:bookmarkStart w:id="23" w:name="_Toc377973296"/>
      <w:bookmarkStart w:id="24" w:name="_Toc412557434"/>
      <w:r>
        <w:rPr>
          <w:rStyle w:val="CharSectno"/>
        </w:rPr>
        <w:t>8</w:t>
      </w:r>
      <w:r>
        <w:t>.</w:t>
      </w:r>
      <w:r>
        <w:tab/>
        <w:t>Authorisations</w:t>
      </w:r>
      <w:bookmarkEnd w:id="23"/>
      <w:bookmarkEnd w:id="24"/>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r>
        <w:tab/>
        <w:t>[Regulation 8 amended: Gazette 5 Feb 2010 p. 244.]</w:t>
      </w:r>
    </w:p>
    <w:p>
      <w:pPr>
        <w:pStyle w:val="Heading2"/>
      </w:pPr>
      <w:bookmarkStart w:id="25" w:name="_Toc377973297"/>
      <w:bookmarkStart w:id="26" w:name="_Toc412557406"/>
      <w:bookmarkStart w:id="27" w:name="_Toc412557435"/>
      <w:r>
        <w:rPr>
          <w:rStyle w:val="CharPartNo"/>
        </w:rPr>
        <w:t>Part 3</w:t>
      </w:r>
      <w:r>
        <w:rPr>
          <w:rStyle w:val="CharDivNo"/>
        </w:rPr>
        <w:t> </w:t>
      </w:r>
      <w:r>
        <w:t>—</w:t>
      </w:r>
      <w:r>
        <w:rPr>
          <w:rStyle w:val="CharDivText"/>
        </w:rPr>
        <w:t> </w:t>
      </w:r>
      <w:r>
        <w:rPr>
          <w:rStyle w:val="CharPartText"/>
        </w:rPr>
        <w:t>Destruction and treatment of pinewood</w:t>
      </w:r>
      <w:bookmarkEnd w:id="25"/>
      <w:bookmarkEnd w:id="26"/>
      <w:bookmarkEnd w:id="27"/>
    </w:p>
    <w:p>
      <w:pPr>
        <w:pStyle w:val="Heading5"/>
      </w:pPr>
      <w:bookmarkStart w:id="28" w:name="_Toc377973298"/>
      <w:bookmarkStart w:id="29" w:name="_Toc412557436"/>
      <w:r>
        <w:rPr>
          <w:rStyle w:val="CharSectno"/>
        </w:rPr>
        <w:t>9</w:t>
      </w:r>
      <w:r>
        <w:t>.</w:t>
      </w:r>
      <w:r>
        <w:tab/>
        <w:t>Unwanted pinewood in RMZ</w:t>
      </w:r>
      <w:bookmarkEnd w:id="28"/>
      <w:bookmarkEnd w:id="29"/>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30" w:name="_Toc377973299"/>
      <w:bookmarkStart w:id="31" w:name="_Toc412557437"/>
      <w:r>
        <w:rPr>
          <w:rStyle w:val="CharSectno"/>
        </w:rPr>
        <w:t>10</w:t>
      </w:r>
      <w:r>
        <w:t>.</w:t>
      </w:r>
      <w:r>
        <w:tab/>
        <w:t>Directions to store, treat or destroy pinewood in RMZ</w:t>
      </w:r>
      <w:bookmarkEnd w:id="30"/>
      <w:bookmarkEnd w:id="31"/>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Gazette 28 Dec 2007 p. 6482.]</w:t>
      </w:r>
    </w:p>
    <w:p>
      <w:pPr>
        <w:pStyle w:val="Heading5"/>
      </w:pPr>
      <w:bookmarkStart w:id="32" w:name="_Toc377973300"/>
      <w:bookmarkStart w:id="33" w:name="_Toc412557438"/>
      <w:r>
        <w:rPr>
          <w:rStyle w:val="CharSectno"/>
        </w:rPr>
        <w:t>11</w:t>
      </w:r>
      <w:r>
        <w:t>.</w:t>
      </w:r>
      <w:r>
        <w:tab/>
        <w:t>Manner in which pinewood to be destroyed</w:t>
      </w:r>
      <w:bookmarkEnd w:id="32"/>
      <w:bookmarkEnd w:id="33"/>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r>
        <w:tab/>
        <w:t>[Regulation 11 amended: Gazette 5 Feb 2010 p. 244.]</w:t>
      </w:r>
    </w:p>
    <w:p>
      <w:pPr>
        <w:pStyle w:val="Heading5"/>
      </w:pPr>
      <w:bookmarkStart w:id="34" w:name="_Toc377973301"/>
      <w:bookmarkStart w:id="35" w:name="_Toc412557439"/>
      <w:r>
        <w:rPr>
          <w:rStyle w:val="CharSectno"/>
        </w:rPr>
        <w:t>12</w:t>
      </w:r>
      <w:r>
        <w:t>.</w:t>
      </w:r>
      <w:r>
        <w:tab/>
        <w:t>Manner in which pinewood to be treated</w:t>
      </w:r>
      <w:bookmarkEnd w:id="34"/>
      <w:bookmarkEnd w:id="35"/>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TableNAm"/>
              <w:spacing w:before="0"/>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TableNAm"/>
              <w:spacing w:before="0"/>
              <w:jc w:val="center"/>
              <w:rPr>
                <w:b/>
                <w:bCs/>
                <w:sz w:val="20"/>
              </w:rPr>
            </w:pPr>
          </w:p>
        </w:tc>
        <w:tc>
          <w:tcPr>
            <w:tcW w:w="879" w:type="dxa"/>
            <w:tcBorders>
              <w:top w:val="single" w:sz="4" w:space="0" w:color="auto"/>
              <w:left w:val="single" w:sz="4" w:space="0" w:color="auto"/>
            </w:tcBorders>
          </w:tcPr>
          <w:p>
            <w:pPr>
              <w:pStyle w:val="TableNAm"/>
              <w:spacing w:before="0"/>
              <w:jc w:val="center"/>
              <w:rPr>
                <w:b/>
                <w:bCs/>
                <w:sz w:val="20"/>
              </w:rPr>
            </w:pPr>
            <w:r>
              <w:rPr>
                <w:b/>
                <w:bCs/>
                <w:sz w:val="20"/>
              </w:rPr>
              <w:t>At start</w:t>
            </w:r>
          </w:p>
        </w:tc>
        <w:tc>
          <w:tcPr>
            <w:tcW w:w="820" w:type="dxa"/>
            <w:tcBorders>
              <w:top w:val="single" w:sz="4" w:space="0" w:color="auto"/>
            </w:tcBorders>
          </w:tcPr>
          <w:p>
            <w:pPr>
              <w:pStyle w:val="TableNAm"/>
              <w:spacing w:before="0"/>
              <w:jc w:val="center"/>
              <w:rPr>
                <w:b/>
                <w:bCs/>
                <w:sz w:val="20"/>
              </w:rPr>
            </w:pPr>
            <w:r>
              <w:rPr>
                <w:b/>
                <w:bCs/>
                <w:sz w:val="20"/>
              </w:rPr>
              <w:t>After 2 hours</w:t>
            </w:r>
          </w:p>
        </w:tc>
        <w:tc>
          <w:tcPr>
            <w:tcW w:w="938" w:type="dxa"/>
            <w:tcBorders>
              <w:top w:val="single" w:sz="4" w:space="0" w:color="auto"/>
            </w:tcBorders>
          </w:tcPr>
          <w:p>
            <w:pPr>
              <w:pStyle w:val="TableNAm"/>
              <w:spacing w:before="0"/>
              <w:jc w:val="center"/>
              <w:rPr>
                <w:b/>
                <w:bCs/>
                <w:sz w:val="20"/>
              </w:rPr>
            </w:pPr>
            <w:r>
              <w:rPr>
                <w:b/>
                <w:bCs/>
                <w:sz w:val="20"/>
              </w:rPr>
              <w:t>After 4 hours</w:t>
            </w:r>
          </w:p>
        </w:tc>
        <w:tc>
          <w:tcPr>
            <w:tcW w:w="879" w:type="dxa"/>
            <w:tcBorders>
              <w:top w:val="single" w:sz="4" w:space="0" w:color="auto"/>
            </w:tcBorders>
          </w:tcPr>
          <w:p>
            <w:pPr>
              <w:pStyle w:val="TableNAm"/>
              <w:spacing w:before="0"/>
              <w:jc w:val="center"/>
              <w:rPr>
                <w:b/>
                <w:bCs/>
                <w:sz w:val="20"/>
              </w:rPr>
            </w:pPr>
            <w:r>
              <w:rPr>
                <w:b/>
                <w:bCs/>
                <w:sz w:val="20"/>
              </w:rPr>
              <w:t>After 12 hours</w:t>
            </w:r>
          </w:p>
        </w:tc>
        <w:tc>
          <w:tcPr>
            <w:tcW w:w="879" w:type="dxa"/>
            <w:tcBorders>
              <w:top w:val="single" w:sz="4" w:space="0" w:color="auto"/>
            </w:tcBorders>
          </w:tcPr>
          <w:p>
            <w:pPr>
              <w:pStyle w:val="TableNAm"/>
              <w:spacing w:before="0"/>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TableNAm"/>
              <w:spacing w:before="60"/>
              <w:rPr>
                <w:sz w:val="20"/>
              </w:rPr>
            </w:pPr>
            <w:r>
              <w:rPr>
                <w:sz w:val="20"/>
              </w:rPr>
              <w:t>≥ 21°C</w:t>
            </w:r>
          </w:p>
        </w:tc>
        <w:tc>
          <w:tcPr>
            <w:tcW w:w="879" w:type="dxa"/>
            <w:tcBorders>
              <w:top w:val="single" w:sz="4" w:space="0" w:color="auto"/>
              <w:left w:val="single" w:sz="4" w:space="0" w:color="auto"/>
            </w:tcBorders>
          </w:tcPr>
          <w:p>
            <w:pPr>
              <w:pStyle w:val="TableNAm"/>
              <w:spacing w:before="60"/>
              <w:jc w:val="center"/>
              <w:rPr>
                <w:sz w:val="20"/>
              </w:rPr>
            </w:pPr>
            <w:r>
              <w:rPr>
                <w:sz w:val="20"/>
              </w:rPr>
              <w:t>48</w:t>
            </w:r>
          </w:p>
        </w:tc>
        <w:tc>
          <w:tcPr>
            <w:tcW w:w="820" w:type="dxa"/>
            <w:tcBorders>
              <w:top w:val="single" w:sz="4" w:space="0" w:color="auto"/>
            </w:tcBorders>
          </w:tcPr>
          <w:p>
            <w:pPr>
              <w:pStyle w:val="TableNAm"/>
              <w:spacing w:before="60"/>
              <w:jc w:val="center"/>
              <w:rPr>
                <w:sz w:val="20"/>
              </w:rPr>
            </w:pPr>
            <w:r>
              <w:rPr>
                <w:sz w:val="20"/>
              </w:rPr>
              <w:t>36</w:t>
            </w:r>
          </w:p>
        </w:tc>
        <w:tc>
          <w:tcPr>
            <w:tcW w:w="938" w:type="dxa"/>
            <w:tcBorders>
              <w:top w:val="single" w:sz="4" w:space="0" w:color="auto"/>
            </w:tcBorders>
          </w:tcPr>
          <w:p>
            <w:pPr>
              <w:pStyle w:val="TableNAm"/>
              <w:spacing w:before="60"/>
              <w:jc w:val="center"/>
              <w:rPr>
                <w:sz w:val="20"/>
              </w:rPr>
            </w:pPr>
            <w:r>
              <w:rPr>
                <w:sz w:val="20"/>
              </w:rPr>
              <w:t>31</w:t>
            </w:r>
          </w:p>
        </w:tc>
        <w:tc>
          <w:tcPr>
            <w:tcW w:w="879" w:type="dxa"/>
            <w:tcBorders>
              <w:top w:val="single" w:sz="4" w:space="0" w:color="auto"/>
            </w:tcBorders>
          </w:tcPr>
          <w:p>
            <w:pPr>
              <w:pStyle w:val="TableNAm"/>
              <w:spacing w:before="60"/>
              <w:jc w:val="center"/>
              <w:rPr>
                <w:sz w:val="20"/>
              </w:rPr>
            </w:pPr>
            <w:r>
              <w:rPr>
                <w:sz w:val="20"/>
              </w:rPr>
              <w:t>28</w:t>
            </w:r>
          </w:p>
        </w:tc>
        <w:tc>
          <w:tcPr>
            <w:tcW w:w="879" w:type="dxa"/>
            <w:tcBorders>
              <w:top w:val="single" w:sz="4" w:space="0" w:color="auto"/>
            </w:tcBorders>
          </w:tcPr>
          <w:p>
            <w:pPr>
              <w:pStyle w:val="TableNAm"/>
              <w:spacing w:before="60"/>
              <w:jc w:val="center"/>
              <w:rPr>
                <w:sz w:val="20"/>
              </w:rPr>
            </w:pPr>
            <w:r>
              <w:rPr>
                <w:sz w:val="20"/>
              </w:rPr>
              <w:t>24</w:t>
            </w:r>
          </w:p>
        </w:tc>
      </w:tr>
      <w:tr>
        <w:trPr>
          <w:cantSplit/>
        </w:trPr>
        <w:tc>
          <w:tcPr>
            <w:tcW w:w="1650" w:type="dxa"/>
            <w:tcBorders>
              <w:right w:val="single" w:sz="4" w:space="0" w:color="auto"/>
            </w:tcBorders>
          </w:tcPr>
          <w:p>
            <w:pPr>
              <w:pStyle w:val="TableNAm"/>
              <w:spacing w:before="60"/>
              <w:rPr>
                <w:sz w:val="20"/>
              </w:rPr>
            </w:pPr>
            <w:r>
              <w:rPr>
                <w:sz w:val="20"/>
              </w:rPr>
              <w:t xml:space="preserve">≥ 16°C but &lt;21°C </w:t>
            </w:r>
          </w:p>
        </w:tc>
        <w:tc>
          <w:tcPr>
            <w:tcW w:w="879" w:type="dxa"/>
            <w:tcBorders>
              <w:left w:val="single" w:sz="4" w:space="0" w:color="auto"/>
            </w:tcBorders>
          </w:tcPr>
          <w:p>
            <w:pPr>
              <w:pStyle w:val="TableNAm"/>
              <w:spacing w:before="60"/>
              <w:jc w:val="center"/>
              <w:rPr>
                <w:sz w:val="20"/>
              </w:rPr>
            </w:pPr>
            <w:r>
              <w:rPr>
                <w:sz w:val="20"/>
              </w:rPr>
              <w:t>56</w:t>
            </w:r>
          </w:p>
        </w:tc>
        <w:tc>
          <w:tcPr>
            <w:tcW w:w="820" w:type="dxa"/>
          </w:tcPr>
          <w:p>
            <w:pPr>
              <w:pStyle w:val="TableNAm"/>
              <w:spacing w:before="60"/>
              <w:jc w:val="center"/>
              <w:rPr>
                <w:sz w:val="20"/>
              </w:rPr>
            </w:pPr>
            <w:r>
              <w:rPr>
                <w:sz w:val="20"/>
              </w:rPr>
              <w:t>42</w:t>
            </w:r>
          </w:p>
        </w:tc>
        <w:tc>
          <w:tcPr>
            <w:tcW w:w="938" w:type="dxa"/>
          </w:tcPr>
          <w:p>
            <w:pPr>
              <w:pStyle w:val="TableNAm"/>
              <w:spacing w:before="60"/>
              <w:jc w:val="center"/>
              <w:rPr>
                <w:sz w:val="20"/>
              </w:rPr>
            </w:pPr>
            <w:r>
              <w:rPr>
                <w:sz w:val="20"/>
              </w:rPr>
              <w:t>36</w:t>
            </w:r>
          </w:p>
        </w:tc>
        <w:tc>
          <w:tcPr>
            <w:tcW w:w="879" w:type="dxa"/>
          </w:tcPr>
          <w:p>
            <w:pPr>
              <w:pStyle w:val="TableNAm"/>
              <w:spacing w:before="60"/>
              <w:jc w:val="center"/>
              <w:rPr>
                <w:sz w:val="20"/>
              </w:rPr>
            </w:pPr>
            <w:r>
              <w:rPr>
                <w:sz w:val="20"/>
              </w:rPr>
              <w:t>32</w:t>
            </w:r>
          </w:p>
        </w:tc>
        <w:tc>
          <w:tcPr>
            <w:tcW w:w="879" w:type="dxa"/>
          </w:tcPr>
          <w:p>
            <w:pPr>
              <w:pStyle w:val="TableNAm"/>
              <w:spacing w:before="60"/>
              <w:jc w:val="center"/>
              <w:rPr>
                <w:sz w:val="20"/>
              </w:rPr>
            </w:pPr>
            <w:r>
              <w:rPr>
                <w:sz w:val="20"/>
              </w:rPr>
              <w:t>28</w:t>
            </w:r>
          </w:p>
        </w:tc>
      </w:tr>
      <w:tr>
        <w:trPr>
          <w:cantSplit/>
        </w:trPr>
        <w:tc>
          <w:tcPr>
            <w:tcW w:w="1650" w:type="dxa"/>
            <w:tcBorders>
              <w:bottom w:val="single" w:sz="4" w:space="0" w:color="auto"/>
              <w:right w:val="single" w:sz="4" w:space="0" w:color="auto"/>
            </w:tcBorders>
          </w:tcPr>
          <w:p>
            <w:pPr>
              <w:pStyle w:val="TableNAm"/>
              <w:spacing w:before="60"/>
              <w:rPr>
                <w:sz w:val="20"/>
              </w:rPr>
            </w:pPr>
            <w:r>
              <w:rPr>
                <w:sz w:val="20"/>
              </w:rPr>
              <w:t>≥ 10°C but &lt;16°C</w:t>
            </w:r>
          </w:p>
        </w:tc>
        <w:tc>
          <w:tcPr>
            <w:tcW w:w="879" w:type="dxa"/>
            <w:tcBorders>
              <w:left w:val="single" w:sz="4" w:space="0" w:color="auto"/>
              <w:bottom w:val="single" w:sz="4" w:space="0" w:color="auto"/>
            </w:tcBorders>
          </w:tcPr>
          <w:p>
            <w:pPr>
              <w:pStyle w:val="TableNAm"/>
              <w:spacing w:before="60"/>
              <w:jc w:val="center"/>
              <w:rPr>
                <w:sz w:val="20"/>
              </w:rPr>
            </w:pPr>
            <w:r>
              <w:rPr>
                <w:sz w:val="20"/>
              </w:rPr>
              <w:t>64</w:t>
            </w:r>
          </w:p>
        </w:tc>
        <w:tc>
          <w:tcPr>
            <w:tcW w:w="820" w:type="dxa"/>
            <w:tcBorders>
              <w:bottom w:val="single" w:sz="4" w:space="0" w:color="auto"/>
            </w:tcBorders>
          </w:tcPr>
          <w:p>
            <w:pPr>
              <w:pStyle w:val="TableNAm"/>
              <w:spacing w:before="60"/>
              <w:jc w:val="center"/>
              <w:rPr>
                <w:sz w:val="20"/>
              </w:rPr>
            </w:pPr>
            <w:r>
              <w:rPr>
                <w:sz w:val="20"/>
              </w:rPr>
              <w:t>48</w:t>
            </w:r>
          </w:p>
        </w:tc>
        <w:tc>
          <w:tcPr>
            <w:tcW w:w="938" w:type="dxa"/>
            <w:tcBorders>
              <w:bottom w:val="single" w:sz="4" w:space="0" w:color="auto"/>
            </w:tcBorders>
          </w:tcPr>
          <w:p>
            <w:pPr>
              <w:pStyle w:val="TableNAm"/>
              <w:spacing w:before="60"/>
              <w:jc w:val="center"/>
              <w:rPr>
                <w:sz w:val="20"/>
              </w:rPr>
            </w:pPr>
            <w:r>
              <w:rPr>
                <w:sz w:val="20"/>
              </w:rPr>
              <w:t>42</w:t>
            </w:r>
          </w:p>
        </w:tc>
        <w:tc>
          <w:tcPr>
            <w:tcW w:w="879" w:type="dxa"/>
            <w:tcBorders>
              <w:bottom w:val="single" w:sz="4" w:space="0" w:color="auto"/>
            </w:tcBorders>
          </w:tcPr>
          <w:p>
            <w:pPr>
              <w:pStyle w:val="TableNAm"/>
              <w:spacing w:before="60"/>
              <w:jc w:val="center"/>
              <w:rPr>
                <w:sz w:val="20"/>
              </w:rPr>
            </w:pPr>
            <w:r>
              <w:rPr>
                <w:sz w:val="20"/>
              </w:rPr>
              <w:t>36</w:t>
            </w:r>
          </w:p>
        </w:tc>
        <w:tc>
          <w:tcPr>
            <w:tcW w:w="879" w:type="dxa"/>
            <w:tcBorders>
              <w:bottom w:val="single" w:sz="4" w:space="0" w:color="auto"/>
            </w:tcBorders>
          </w:tcPr>
          <w:p>
            <w:pPr>
              <w:pStyle w:val="TableNAm"/>
              <w:spacing w:before="60"/>
              <w:jc w:val="center"/>
              <w:rPr>
                <w:sz w:val="20"/>
              </w:rPr>
            </w:pPr>
            <w:r>
              <w:rPr>
                <w:sz w:val="20"/>
              </w:rPr>
              <w:t>32</w:t>
            </w:r>
          </w:p>
        </w:tc>
      </w:tr>
    </w:tbl>
    <w:p>
      <w:pPr>
        <w:pStyle w:val="Footnotesection"/>
      </w:pPr>
      <w:r>
        <w:tab/>
        <w:t>[Regulation 12 amended: Gazette 28 Dec 2007 p. 6482</w:t>
      </w:r>
      <w:r>
        <w:noBreakHyphen/>
        <w:t>3; 5 Feb 2010 p. 244.]</w:t>
      </w:r>
    </w:p>
    <w:p>
      <w:pPr>
        <w:pStyle w:val="Heading5"/>
      </w:pPr>
      <w:bookmarkStart w:id="36" w:name="_Toc377973302"/>
      <w:bookmarkStart w:id="37" w:name="_Toc412557440"/>
      <w:r>
        <w:rPr>
          <w:rStyle w:val="CharSectno"/>
        </w:rPr>
        <w:t>13</w:t>
      </w:r>
      <w:r>
        <w:t>.</w:t>
      </w:r>
      <w:r>
        <w:tab/>
        <w:t>Authorised person may carry out work and recover cost</w:t>
      </w:r>
      <w:bookmarkEnd w:id="36"/>
      <w:bookmarkEnd w:id="37"/>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State, and may be sued for and recovered by the Director General on behalf of the State in a court of competent jurisdiction.</w:t>
      </w:r>
    </w:p>
    <w:p>
      <w:pPr>
        <w:pStyle w:val="Footnotesection"/>
      </w:pPr>
      <w:r>
        <w:tab/>
        <w:t>[Regulation 13 amended: Gazette 17 Dec 2010 p. 6418.]</w:t>
      </w:r>
    </w:p>
    <w:p>
      <w:pPr>
        <w:pStyle w:val="Heading2"/>
      </w:pPr>
      <w:bookmarkStart w:id="38" w:name="_Toc377973303"/>
      <w:bookmarkStart w:id="39" w:name="_Toc412557412"/>
      <w:bookmarkStart w:id="40" w:name="_Toc412557441"/>
      <w:r>
        <w:rPr>
          <w:rStyle w:val="CharPartNo"/>
        </w:rPr>
        <w:t>Part 4</w:t>
      </w:r>
      <w:r>
        <w:rPr>
          <w:rStyle w:val="CharDivNo"/>
        </w:rPr>
        <w:t> </w:t>
      </w:r>
      <w:r>
        <w:t>—</w:t>
      </w:r>
      <w:r>
        <w:rPr>
          <w:rStyle w:val="CharDivText"/>
        </w:rPr>
        <w:t> </w:t>
      </w:r>
      <w:r>
        <w:rPr>
          <w:rStyle w:val="CharPartText"/>
        </w:rPr>
        <w:t>Structural pinewood</w:t>
      </w:r>
      <w:bookmarkEnd w:id="38"/>
      <w:bookmarkEnd w:id="39"/>
      <w:bookmarkEnd w:id="40"/>
    </w:p>
    <w:p>
      <w:pPr>
        <w:pStyle w:val="Heading5"/>
        <w:keepNext w:val="0"/>
        <w:spacing w:before="180"/>
      </w:pPr>
      <w:bookmarkStart w:id="41" w:name="_Toc377973304"/>
      <w:bookmarkStart w:id="42" w:name="_Toc412557442"/>
      <w:r>
        <w:rPr>
          <w:rStyle w:val="CharSectno"/>
        </w:rPr>
        <w:t>14</w:t>
      </w:r>
      <w:r>
        <w:t>.</w:t>
      </w:r>
      <w:r>
        <w:tab/>
        <w:t>Terms used</w:t>
      </w:r>
      <w:bookmarkEnd w:id="41"/>
      <w:bookmarkEnd w:id="42"/>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tab/>
      </w:r>
      <w:r>
        <w:rPr>
          <w:rStyle w:val="CharDefText"/>
        </w:rPr>
        <w:t>pest controller</w:t>
      </w:r>
      <w:r>
        <w:t xml:space="preserve"> means a licensee as defined in the </w:t>
      </w:r>
      <w:r>
        <w:rPr>
          <w:i/>
        </w:rPr>
        <w:t xml:space="preserve">Health (Pesticides) Regulations 2011 </w:t>
      </w:r>
      <w:r>
        <w:rPr>
          <w:iCs/>
        </w:rPr>
        <w:t>regulation 3;</w:t>
      </w:r>
    </w:p>
    <w:p>
      <w:pPr>
        <w:pStyle w:val="Defstart"/>
        <w:keepNex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Footnotesection"/>
      </w:pPr>
      <w:r>
        <w:tab/>
        <w:t>[Regulation 14 amended: Gazette 1 Feb 2011 p. 376.]</w:t>
      </w:r>
    </w:p>
    <w:p>
      <w:pPr>
        <w:pStyle w:val="Heading5"/>
        <w:spacing w:before="180"/>
      </w:pPr>
      <w:bookmarkStart w:id="43" w:name="_Toc377973305"/>
      <w:bookmarkStart w:id="44" w:name="_Toc412557443"/>
      <w:r>
        <w:rPr>
          <w:rStyle w:val="CharSectno"/>
        </w:rPr>
        <w:t>15</w:t>
      </w:r>
      <w:r>
        <w:t>.</w:t>
      </w:r>
      <w:r>
        <w:tab/>
        <w:t>EHB infestation to be reported</w:t>
      </w:r>
      <w:bookmarkEnd w:id="43"/>
      <w:bookmarkEnd w:id="44"/>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45" w:name="_Toc377973306"/>
      <w:bookmarkStart w:id="46" w:name="_Toc412557444"/>
      <w:r>
        <w:rPr>
          <w:rStyle w:val="CharSectno"/>
        </w:rPr>
        <w:t>16</w:t>
      </w:r>
      <w:r>
        <w:t>.</w:t>
      </w:r>
      <w:r>
        <w:tab/>
        <w:t>Treatment of infested structural pinewood</w:t>
      </w:r>
      <w:bookmarkEnd w:id="45"/>
      <w:bookmarkEnd w:id="46"/>
      <w:r>
        <w:t xml:space="preserve"> </w:t>
      </w:r>
    </w:p>
    <w:p>
      <w:pPr>
        <w:pStyle w:val="Subsection"/>
        <w:keepNext/>
        <w:keepLines/>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r>
        <w:tab/>
        <w:t>[Regulation 16 amended: Gazette 5 Feb 2010 p. 244.]</w:t>
      </w:r>
    </w:p>
    <w:p>
      <w:pPr>
        <w:pStyle w:val="Heading2"/>
      </w:pPr>
      <w:bookmarkStart w:id="47" w:name="_Toc377973307"/>
      <w:bookmarkStart w:id="48" w:name="_Toc412557416"/>
      <w:bookmarkStart w:id="49" w:name="_Toc412557445"/>
      <w:r>
        <w:rPr>
          <w:rStyle w:val="CharPartNo"/>
        </w:rPr>
        <w:t>Part 5</w:t>
      </w:r>
      <w:r>
        <w:rPr>
          <w:rStyle w:val="CharDivNo"/>
        </w:rPr>
        <w:t> </w:t>
      </w:r>
      <w:r>
        <w:t>—</w:t>
      </w:r>
      <w:r>
        <w:rPr>
          <w:rStyle w:val="CharDivText"/>
        </w:rPr>
        <w:t> </w:t>
      </w:r>
      <w:r>
        <w:rPr>
          <w:rStyle w:val="CharPartText"/>
        </w:rPr>
        <w:t>General</w:t>
      </w:r>
      <w:bookmarkEnd w:id="47"/>
      <w:bookmarkEnd w:id="48"/>
      <w:bookmarkEnd w:id="49"/>
    </w:p>
    <w:p>
      <w:pPr>
        <w:pStyle w:val="Heading5"/>
      </w:pPr>
      <w:bookmarkStart w:id="50" w:name="_Toc377973308"/>
      <w:bookmarkStart w:id="51" w:name="_Toc412557446"/>
      <w:r>
        <w:rPr>
          <w:rStyle w:val="CharSectno"/>
        </w:rPr>
        <w:t>17</w:t>
      </w:r>
      <w:r>
        <w:t>.</w:t>
      </w:r>
      <w:r>
        <w:tab/>
        <w:t>Authorised person to notify owner or occupier of certain properties of infestation</w:t>
      </w:r>
      <w:bookmarkEnd w:id="50"/>
      <w:bookmarkEnd w:id="51"/>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 17 inserted: Gazette 5 Feb 2010 p. 245.]</w:t>
      </w:r>
    </w:p>
    <w:p>
      <w:pPr>
        <w:pStyle w:val="Heading5"/>
      </w:pPr>
      <w:bookmarkStart w:id="52" w:name="_Toc377973309"/>
      <w:bookmarkStart w:id="53" w:name="_Toc412557447"/>
      <w:r>
        <w:rPr>
          <w:rStyle w:val="CharSectno"/>
        </w:rPr>
        <w:t>18A</w:t>
      </w:r>
      <w:r>
        <w:t>.</w:t>
      </w:r>
      <w:r>
        <w:tab/>
        <w:t>Notification of RMZ</w:t>
      </w:r>
      <w:bookmarkEnd w:id="52"/>
      <w:bookmarkEnd w:id="53"/>
    </w:p>
    <w:p>
      <w:pPr>
        <w:pStyle w:val="Subsection"/>
      </w:pPr>
      <w:r>
        <w:tab/>
        <w:t>(1)</w:t>
      </w:r>
      <w:r>
        <w:tab/>
        <w:t xml:space="preserve">As soon as practicable after becoming aware of a site where pinewood is infested with EHB the Director General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t>identify the area to which it relates; and</w:t>
      </w:r>
    </w:p>
    <w:p>
      <w:pPr>
        <w:pStyle w:val="Indenta"/>
      </w:pPr>
      <w:r>
        <w:tab/>
        <w:t>(b)</w:t>
      </w:r>
      <w:r>
        <w:tab/>
        <w:t>provide details of the restrictions imposed by these regulations.</w:t>
      </w:r>
    </w:p>
    <w:p>
      <w:pPr>
        <w:pStyle w:val="Footnotesection"/>
      </w:pPr>
      <w:r>
        <w:tab/>
        <w:t>[Regulation 18A inserted: Gazette 5 Feb 2010 p. 245; amended: Gazette 17 Dec 2010 p. 6418.]</w:t>
      </w:r>
    </w:p>
    <w:p>
      <w:pPr>
        <w:pStyle w:val="Heading5"/>
      </w:pPr>
      <w:bookmarkStart w:id="54" w:name="_Toc377973310"/>
      <w:bookmarkStart w:id="55" w:name="_Toc412557448"/>
      <w:r>
        <w:rPr>
          <w:rStyle w:val="CharSectno"/>
        </w:rPr>
        <w:t>18</w:t>
      </w:r>
      <w:r>
        <w:t>.</w:t>
      </w:r>
      <w:r>
        <w:tab/>
        <w:t>Information as to source and supply of pinewood</w:t>
      </w:r>
      <w:bookmarkEnd w:id="54"/>
      <w:bookmarkEnd w:id="55"/>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r>
        <w:tab/>
        <w:t>[Regulation 18 amended: Gazette 5 Feb 2010 p. 245</w:t>
      </w:r>
      <w:r>
        <w:noBreakHyphen/>
        <w:t>6.]</w:t>
      </w:r>
    </w:p>
    <w:p>
      <w:pPr>
        <w:pStyle w:val="Heading5"/>
      </w:pPr>
      <w:bookmarkStart w:id="56" w:name="_Toc377973311"/>
      <w:bookmarkStart w:id="57" w:name="_Toc412557449"/>
      <w:r>
        <w:rPr>
          <w:rStyle w:val="CharSectno"/>
        </w:rPr>
        <w:t>19</w:t>
      </w:r>
      <w:r>
        <w:t>.</w:t>
      </w:r>
      <w:r>
        <w:tab/>
        <w:t>Record keeping by dealers may be required</w:t>
      </w:r>
      <w:bookmarkEnd w:id="56"/>
      <w:bookmarkEnd w:id="57"/>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Footnotesection"/>
      </w:pPr>
      <w:r>
        <w:tab/>
        <w:t>[Regulation 19 amended: Gazette 28 Dec 2007 p. 6483; 5 Feb 2010 p. 246.]</w:t>
      </w:r>
    </w:p>
    <w:p>
      <w:pPr>
        <w:pStyle w:val="Heading5"/>
      </w:pPr>
      <w:bookmarkStart w:id="58" w:name="_Toc377973312"/>
      <w:bookmarkStart w:id="59" w:name="_Toc412557450"/>
      <w:r>
        <w:rPr>
          <w:rStyle w:val="CharSectno"/>
        </w:rPr>
        <w:t>20</w:t>
      </w:r>
      <w:r>
        <w:t>.</w:t>
      </w:r>
      <w:r>
        <w:tab/>
        <w:t>RMZ or PMZ notification signs</w:t>
      </w:r>
      <w:bookmarkEnd w:id="58"/>
      <w:bookmarkEnd w:id="59"/>
    </w:p>
    <w:p>
      <w:pPr>
        <w:pStyle w:val="Subsection"/>
      </w:pPr>
      <w:r>
        <w:tab/>
        <w:t>(1)</w:t>
      </w:r>
      <w:r>
        <w:tab/>
        <w:t>The Director General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Footnotesection"/>
      </w:pPr>
      <w:r>
        <w:tab/>
        <w:t>[Regulation 20 amended: Gazette 17 Dec 2010 p. 6418.]</w:t>
      </w:r>
    </w:p>
    <w:p>
      <w:pPr>
        <w:pStyle w:val="Heading5"/>
      </w:pPr>
      <w:bookmarkStart w:id="60" w:name="_Toc377973313"/>
      <w:bookmarkStart w:id="61" w:name="_Toc412557451"/>
      <w:r>
        <w:rPr>
          <w:rStyle w:val="CharSectno"/>
        </w:rPr>
        <w:t>21</w:t>
      </w:r>
      <w:r>
        <w:t>.</w:t>
      </w:r>
      <w:r>
        <w:tab/>
        <w:t>Surveillance poles, traps and lures</w:t>
      </w:r>
      <w:bookmarkEnd w:id="60"/>
      <w:bookmarkEnd w:id="61"/>
      <w:r>
        <w:t xml:space="preserve"> </w:t>
      </w:r>
    </w:p>
    <w:p>
      <w:pPr>
        <w:pStyle w:val="Subsection"/>
      </w:pPr>
      <w:r>
        <w:tab/>
        <w:t>(1)</w:t>
      </w:r>
      <w:r>
        <w:tab/>
        <w:t>The Director General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Gazette 28 Dec 2007 p. 6484; 17 Dec 2010 p. 6419.]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 w:name="_Toc377973314"/>
      <w:bookmarkStart w:id="63" w:name="_Toc412557423"/>
      <w:bookmarkStart w:id="64" w:name="_Toc412557452"/>
      <w:r>
        <w:t>Notes</w:t>
      </w:r>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65" w:name="_Toc377973315"/>
      <w:bookmarkStart w:id="66" w:name="_Toc412557453"/>
      <w: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Agriculture and Related Resources Protection (European House Borer) Regulations 2006</w:t>
            </w:r>
          </w:p>
        </w:tc>
        <w:tc>
          <w:tcPr>
            <w:tcW w:w="1276" w:type="dxa"/>
            <w:tcBorders>
              <w:top w:val="single" w:sz="8" w:space="0" w:color="auto"/>
            </w:tcBorders>
          </w:tcPr>
          <w:p>
            <w:pPr>
              <w:pStyle w:val="nTable"/>
              <w:spacing w:after="40"/>
            </w:pPr>
            <w:r>
              <w:t>7 Feb 2006 p. 639</w:t>
            </w:r>
            <w:r>
              <w:noBreakHyphen/>
              <w:t>56</w:t>
            </w:r>
          </w:p>
        </w:tc>
        <w:tc>
          <w:tcPr>
            <w:tcW w:w="2693" w:type="dxa"/>
            <w:tcBorders>
              <w:top w:val="single" w:sz="8" w:space="0" w:color="auto"/>
            </w:tcBorders>
          </w:tcPr>
          <w:p>
            <w:pPr>
              <w:pStyle w:val="nTable"/>
              <w:spacing w:after="40"/>
            </w:pPr>
            <w:r>
              <w:t>7 Feb 2006</w:t>
            </w:r>
          </w:p>
        </w:tc>
      </w:tr>
      <w:tr>
        <w:tc>
          <w:tcPr>
            <w:tcW w:w="3118" w:type="dxa"/>
          </w:tcPr>
          <w:p>
            <w:pPr>
              <w:pStyle w:val="nTable"/>
              <w:spacing w:after="40"/>
              <w:rPr>
                <w:i/>
              </w:rPr>
            </w:pPr>
            <w:r>
              <w:rPr>
                <w:i/>
              </w:rPr>
              <w:t>Agriculture and Related Resources Protection (European House Borer) Amendment Regulations 2007</w:t>
            </w:r>
          </w:p>
        </w:tc>
        <w:tc>
          <w:tcPr>
            <w:tcW w:w="1276" w:type="dxa"/>
          </w:tcPr>
          <w:p>
            <w:pPr>
              <w:pStyle w:val="nTable"/>
              <w:spacing w:after="40"/>
            </w:pPr>
            <w:r>
              <w:t>28 Dec 2007 p. 6477</w:t>
            </w:r>
            <w:r>
              <w:noBreakHyphen/>
              <w:t>84</w:t>
            </w:r>
          </w:p>
        </w:tc>
        <w:tc>
          <w:tcPr>
            <w:tcW w:w="2693" w:type="dxa"/>
          </w:tcPr>
          <w:p>
            <w:pPr>
              <w:pStyle w:val="nTable"/>
              <w:spacing w:after="40"/>
            </w:pPr>
            <w:r>
              <w:rPr>
                <w:snapToGrid w:val="0"/>
              </w:rPr>
              <w:t>r. 1 and 2: 28 Dec 2007 (see r. 2(a));</w:t>
            </w:r>
            <w:r>
              <w:rPr>
                <w:snapToGrid w:val="0"/>
              </w:rPr>
              <w:br/>
              <w:t>Regulations other than r. 1 and 2: 29 Dec 2007 (see r. 2(b))</w:t>
            </w:r>
          </w:p>
        </w:tc>
      </w:tr>
      <w:tr>
        <w:tc>
          <w:tcPr>
            <w:tcW w:w="3118" w:type="dxa"/>
          </w:tcPr>
          <w:p>
            <w:pPr>
              <w:pStyle w:val="nTable"/>
              <w:spacing w:after="40"/>
              <w:rPr>
                <w:i/>
              </w:rPr>
            </w:pPr>
            <w:r>
              <w:rPr>
                <w:i/>
              </w:rPr>
              <w:t>Agriculture and Related Resources Protection (European House Borer) Amendment Regulations 2010</w:t>
            </w:r>
          </w:p>
        </w:tc>
        <w:tc>
          <w:tcPr>
            <w:tcW w:w="1276" w:type="dxa"/>
          </w:tcPr>
          <w:p>
            <w:pPr>
              <w:pStyle w:val="nTable"/>
              <w:spacing w:after="40"/>
            </w:pPr>
            <w:r>
              <w:t>5 Feb 2010 p. 241</w:t>
            </w:r>
            <w:r>
              <w:noBreakHyphen/>
              <w:t>6</w:t>
            </w:r>
          </w:p>
        </w:tc>
        <w:tc>
          <w:tcPr>
            <w:tcW w:w="2693" w:type="dxa"/>
          </w:tcPr>
          <w:p>
            <w:pPr>
              <w:pStyle w:val="nTable"/>
              <w:spacing w:after="40"/>
              <w:rPr>
                <w:snapToGrid w:val="0"/>
              </w:rPr>
            </w:pPr>
            <w:r>
              <w:rPr>
                <w:snapToGrid w:val="0"/>
              </w:rPr>
              <w:t>r. 1 and 2: 5 Feb 2010 (see r. 2(a));</w:t>
            </w:r>
            <w:r>
              <w:rPr>
                <w:snapToGrid w:val="0"/>
              </w:rPr>
              <w:br/>
              <w:t>Regulations other than r. 1 and 2: 6 Feb 2010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 xml:space="preserve">Agriculture and Related Resources Protection (European House Borer) Regulations 2006 </w:t>
            </w:r>
            <w:r>
              <w:rPr>
                <w:b/>
                <w:bCs/>
                <w:snapToGrid w:val="0"/>
              </w:rPr>
              <w:t xml:space="preserve">as at 9 Apr 2010 </w:t>
            </w:r>
            <w:r>
              <w:rPr>
                <w:snapToGrid w:val="0"/>
              </w:rPr>
              <w:t>(includes amendments listed above)</w:t>
            </w:r>
          </w:p>
        </w:tc>
      </w:tr>
      <w:tr>
        <w:tc>
          <w:tcPr>
            <w:tcW w:w="3118" w:type="dxa"/>
          </w:tcPr>
          <w:p>
            <w:pPr>
              <w:pStyle w:val="nTable"/>
              <w:spacing w:after="40"/>
              <w:rPr>
                <w:iCs/>
              </w:rPr>
            </w:pPr>
            <w:r>
              <w:rPr>
                <w:i/>
              </w:rPr>
              <w:t>Agriculture and Related Resources Protection (Repeals and Amendments) Regulations 2010</w:t>
            </w:r>
            <w:r>
              <w:rPr>
                <w:iCs/>
              </w:rPr>
              <w:t xml:space="preserve"> Pt. 6</w:t>
            </w:r>
          </w:p>
        </w:tc>
        <w:tc>
          <w:tcPr>
            <w:tcW w:w="1276" w:type="dxa"/>
          </w:tcPr>
          <w:p>
            <w:pPr>
              <w:pStyle w:val="nTable"/>
              <w:spacing w:after="40"/>
            </w:pPr>
            <w:r>
              <w:t>17 Dec 2010 p. 6403-32</w:t>
            </w:r>
          </w:p>
        </w:tc>
        <w:tc>
          <w:tcPr>
            <w:tcW w:w="2693" w:type="dxa"/>
          </w:tcPr>
          <w:p>
            <w:pPr>
              <w:pStyle w:val="nTable"/>
              <w:spacing w:after="40"/>
              <w:rPr>
                <w:snapToGrid w:val="0"/>
                <w:u w:val="words"/>
              </w:rPr>
            </w:pPr>
            <w:r>
              <w:rPr>
                <w:snapToGrid w:val="0"/>
              </w:rPr>
              <w:t xml:space="preserve">18 Dec 2010 (see r. 2(b) and </w:t>
            </w:r>
            <w:r>
              <w:rPr>
                <w:i/>
                <w:iCs/>
                <w:snapToGrid w:val="0"/>
              </w:rPr>
              <w:t>Gazette</w:t>
            </w:r>
            <w:r>
              <w:rPr>
                <w:snapToGrid w:val="0"/>
              </w:rPr>
              <w:t xml:space="preserve"> 17 Dec 2010 p. 6349)</w:t>
            </w:r>
          </w:p>
        </w:tc>
      </w:tr>
      <w:tr>
        <w:tc>
          <w:tcPr>
            <w:tcW w:w="3118" w:type="dxa"/>
            <w:tcBorders>
              <w:bottom w:val="single" w:sz="4" w:space="0" w:color="auto"/>
            </w:tcBorders>
          </w:tcPr>
          <w:p>
            <w:pPr>
              <w:pStyle w:val="nTable"/>
              <w:spacing w:after="40"/>
              <w:rPr>
                <w:i/>
              </w:rPr>
            </w:pPr>
            <w:r>
              <w:rPr>
                <w:i/>
              </w:rPr>
              <w:t>Agriculture and Related Resources Protection (European House Borer) Amendment Regulations 2011</w:t>
            </w:r>
          </w:p>
        </w:tc>
        <w:tc>
          <w:tcPr>
            <w:tcW w:w="1276" w:type="dxa"/>
            <w:tcBorders>
              <w:bottom w:val="single" w:sz="4" w:space="0" w:color="auto"/>
            </w:tcBorders>
          </w:tcPr>
          <w:p>
            <w:pPr>
              <w:pStyle w:val="nTable"/>
              <w:spacing w:after="40"/>
            </w:pPr>
            <w:r>
              <w:t>1 Feb 2011 p. 375-6</w:t>
            </w:r>
          </w:p>
        </w:tc>
        <w:tc>
          <w:tcPr>
            <w:tcW w:w="2693" w:type="dxa"/>
            <w:tcBorders>
              <w:bottom w:val="single" w:sz="4" w:space="0" w:color="auto"/>
            </w:tcBorders>
          </w:tcPr>
          <w:p>
            <w:pPr>
              <w:pStyle w:val="nTable"/>
              <w:spacing w:after="40"/>
              <w:rPr>
                <w:snapToGrid w:val="0"/>
              </w:rPr>
            </w:pPr>
            <w:r>
              <w:t>r. 1 and 2: 1 Feb 2011 (see r. 2(a));</w:t>
            </w:r>
            <w:r>
              <w:br/>
              <w:t>Regulations other than r. 1 and 2: 2 Feb 2011 (see r. 2(b)(ii))</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 w:name="_Toc412557454"/>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builder</w:t>
      </w:r>
      <w:r>
        <w:tab/>
        <w:t>14</w:t>
      </w:r>
    </w:p>
    <w:p>
      <w:pPr>
        <w:pStyle w:val="DefinedTerms"/>
      </w:pPr>
      <w:r>
        <w:t>building</w:t>
      </w:r>
      <w:r>
        <w:tab/>
        <w:t>14</w:t>
      </w:r>
    </w:p>
    <w:p>
      <w:pPr>
        <w:pStyle w:val="DefinedTerms"/>
      </w:pPr>
      <w:r>
        <w:t>building inspector</w:t>
      </w:r>
      <w:r>
        <w:tab/>
        <w:t>14</w:t>
      </w:r>
    </w:p>
    <w:p>
      <w:pPr>
        <w:pStyle w:val="DefinedTerms"/>
      </w:pPr>
      <w:r>
        <w:t>control period</w:t>
      </w:r>
      <w:r>
        <w:tab/>
        <w:t>2(1)</w:t>
      </w:r>
    </w:p>
    <w:p>
      <w:pPr>
        <w:pStyle w:val="DefinedTerms"/>
      </w:pPr>
      <w:r>
        <w:t>EHB</w:t>
      </w:r>
      <w:r>
        <w:tab/>
        <w:t>2(1)</w:t>
      </w:r>
    </w:p>
    <w:p>
      <w:pPr>
        <w:pStyle w:val="DefinedTerms"/>
      </w:pPr>
      <w:r>
        <w:t>pest controller</w:t>
      </w:r>
      <w:r>
        <w:tab/>
        <w:t>14</w:t>
      </w:r>
    </w:p>
    <w:p>
      <w:pPr>
        <w:pStyle w:val="DefinedTerms"/>
      </w:pPr>
      <w:r>
        <w:t>pinewood</w:t>
      </w:r>
      <w:r>
        <w:tab/>
        <w:t>2(1)</w:t>
      </w:r>
    </w:p>
    <w:p>
      <w:pPr>
        <w:pStyle w:val="DefinedTerms"/>
      </w:pPr>
      <w:r>
        <w:t>pinewood dealer</w:t>
      </w:r>
      <w:r>
        <w:tab/>
        <w:t>2(1)</w:t>
      </w:r>
    </w:p>
    <w:p>
      <w:pPr>
        <w:pStyle w:val="DefinedTerms"/>
      </w:pPr>
      <w:r>
        <w:t>PMZ</w:t>
      </w:r>
      <w:r>
        <w:tab/>
        <w:t>2(1)</w:t>
      </w:r>
    </w:p>
    <w:p>
      <w:pPr>
        <w:pStyle w:val="DefinedTerms"/>
      </w:pPr>
      <w:r>
        <w:t>priority management zone</w:t>
      </w:r>
      <w:r>
        <w:tab/>
        <w:t>2(1)</w:t>
      </w:r>
    </w:p>
    <w:p>
      <w:pPr>
        <w:pStyle w:val="DefinedTerms"/>
      </w:pPr>
      <w:r>
        <w:t>restricted movement zone</w:t>
      </w:r>
      <w:r>
        <w:tab/>
        <w:t>2(1)</w:t>
      </w:r>
    </w:p>
    <w:p>
      <w:pPr>
        <w:pStyle w:val="DefinedTerms"/>
      </w:pPr>
      <w:r>
        <w:t>RMZ</w:t>
      </w:r>
      <w:r>
        <w:tab/>
        <w:t>2(1)</w:t>
      </w:r>
    </w:p>
    <w:p>
      <w:pPr>
        <w:pStyle w:val="DefinedTerms"/>
      </w:pPr>
      <w:r>
        <w:t>seasoned pinewood</w:t>
      </w:r>
      <w:r>
        <w:tab/>
        <w:t>2(1)</w:t>
      </w:r>
    </w:p>
    <w:p>
      <w:pPr>
        <w:pStyle w:val="DefinedTerms"/>
      </w:pPr>
      <w:r>
        <w:t>structural pinewood</w:t>
      </w:r>
      <w:r>
        <w:tab/>
        <w:t>14</w:t>
      </w:r>
    </w:p>
    <w:p>
      <w:pPr>
        <w:pStyle w:val="DefinedTerms"/>
      </w:pPr>
      <w:r>
        <w:t>suitable building</w:t>
      </w:r>
      <w:r>
        <w:tab/>
        <w:t>4(4)</w:t>
      </w:r>
    </w:p>
    <w:p>
      <w:pPr>
        <w:pStyle w:val="DefinedTerms"/>
      </w:pPr>
      <w:r>
        <w:t>unseasoned pinewood</w:t>
      </w:r>
      <w:r>
        <w:tab/>
        <w:t>2(1)</w:t>
      </w:r>
    </w:p>
    <w:p>
      <w:pPr>
        <w:pStyle w:val="DefinedTerms"/>
      </w:pPr>
      <w:r>
        <w:t>unwanted pinewood</w:t>
      </w:r>
      <w:r>
        <w:tab/>
        <w:t>2(1)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jc w:val="cente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(European House Borer)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(European House Borer)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(European House Borer)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(European House Borer)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(European House Borer)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E01890"/>
    <w:lvl w:ilvl="0">
      <w:start w:val="1"/>
      <w:numFmt w:val="decimal"/>
      <w:lvlText w:val="%1."/>
      <w:lvlJc w:val="left"/>
      <w:pPr>
        <w:tabs>
          <w:tab w:val="num" w:pos="1492"/>
        </w:tabs>
        <w:ind w:left="1492" w:hanging="360"/>
      </w:pPr>
    </w:lvl>
  </w:abstractNum>
  <w:abstractNum w:abstractNumId="1">
    <w:nsid w:val="FFFFFF7D"/>
    <w:multiLevelType w:val="singleLevel"/>
    <w:tmpl w:val="B226FDDC"/>
    <w:lvl w:ilvl="0">
      <w:start w:val="1"/>
      <w:numFmt w:val="decimal"/>
      <w:lvlText w:val="%1."/>
      <w:lvlJc w:val="left"/>
      <w:pPr>
        <w:tabs>
          <w:tab w:val="num" w:pos="1209"/>
        </w:tabs>
        <w:ind w:left="1209" w:hanging="360"/>
      </w:pPr>
    </w:lvl>
  </w:abstractNum>
  <w:abstractNum w:abstractNumId="2">
    <w:nsid w:val="FFFFFF7E"/>
    <w:multiLevelType w:val="singleLevel"/>
    <w:tmpl w:val="DA4892F2"/>
    <w:lvl w:ilvl="0">
      <w:start w:val="1"/>
      <w:numFmt w:val="decimal"/>
      <w:lvlText w:val="%1."/>
      <w:lvlJc w:val="left"/>
      <w:pPr>
        <w:tabs>
          <w:tab w:val="num" w:pos="926"/>
        </w:tabs>
        <w:ind w:left="926" w:hanging="360"/>
      </w:pPr>
    </w:lvl>
  </w:abstractNum>
  <w:abstractNum w:abstractNumId="3">
    <w:nsid w:val="FFFFFF7F"/>
    <w:multiLevelType w:val="singleLevel"/>
    <w:tmpl w:val="912E1946"/>
    <w:lvl w:ilvl="0">
      <w:start w:val="1"/>
      <w:numFmt w:val="decimal"/>
      <w:lvlText w:val="%1."/>
      <w:lvlJc w:val="left"/>
      <w:pPr>
        <w:tabs>
          <w:tab w:val="num" w:pos="643"/>
        </w:tabs>
        <w:ind w:left="643" w:hanging="360"/>
      </w:pPr>
    </w:lvl>
  </w:abstractNum>
  <w:abstractNum w:abstractNumId="4">
    <w:nsid w:val="FFFFFF80"/>
    <w:multiLevelType w:val="singleLevel"/>
    <w:tmpl w:val="29528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B4FC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BA01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40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E2A3AC"/>
    <w:lvl w:ilvl="0">
      <w:start w:val="1"/>
      <w:numFmt w:val="decimal"/>
      <w:lvlText w:val="%1."/>
      <w:lvlJc w:val="left"/>
      <w:pPr>
        <w:tabs>
          <w:tab w:val="num" w:pos="360"/>
        </w:tabs>
        <w:ind w:left="360" w:hanging="360"/>
      </w:pPr>
    </w:lvl>
  </w:abstractNum>
  <w:abstractNum w:abstractNumId="9">
    <w:nsid w:val="FFFFFF89"/>
    <w:multiLevelType w:val="singleLevel"/>
    <w:tmpl w:val="9CEE01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958639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20"/>
    <w:docVar w:name="WAFER_20140120091503" w:val="RemoveTocBookmarks,RemoveUnusedBookmarks,RemoveLanguageTags,UsedStyles,ResetPageSize,UpdateArrangement"/>
    <w:docVar w:name="WAFER_20140120091503_GUID" w:val="baf18e1b-6c0a-4f82-aa9e-69e69c16fb54"/>
    <w:docVar w:name="WAFER_20140120092051" w:val="RemoveTocBookmarks,RunningHeaders"/>
    <w:docVar w:name="WAFER_20140120092051_GUID" w:val="27041e98-3a4d-4ae6-8d5f-d444670316be"/>
    <w:docVar w:name="WAFER_20150224160640" w:val="ResetPageSize,UpdateArrangement,UpdateNTable"/>
    <w:docVar w:name="WAFER_20150224160640_GUID" w:val="0a99116d-ffa0-43e0-a841-603b33e6e8c2"/>
    <w:docVar w:name="WAFER_20151102105057" w:val="UpdateStyles,UsedStyles"/>
    <w:docVar w:name="WAFER_20151102105057_GUID" w:val="a4105650-0f36-4947-9e1b-bbe5399cd805"/>
    <w:docVar w:name="WAFER_20151130153420" w:val="RemoveTrackChanges"/>
    <w:docVar w:name="WAFER_20151130153420_GUID" w:val="0d019efd-70de-411d-b6b2-6ffb16b828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3746</Words>
  <Characters>17985</Characters>
  <Application>Microsoft Office Word</Application>
  <DocSecurity>0</DocSecurity>
  <Lines>580</Lines>
  <Paragraphs>395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
  <LinksUpToDate>false</LinksUpToDate>
  <CharactersWithSpaces>21336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2006 - 01-c0-07</dc:title>
  <dc:subject/>
  <dc:creator/>
  <cp:keywords/>
  <dc:description/>
  <cp:lastModifiedBy>svcMRProcess</cp:lastModifiedBy>
  <cp:revision>4</cp:revision>
  <cp:lastPrinted>2010-04-20T03:35:00Z</cp:lastPrinted>
  <dcterms:created xsi:type="dcterms:W3CDTF">2019-01-30T02:55:00Z</dcterms:created>
  <dcterms:modified xsi:type="dcterms:W3CDTF">2019-01-30T02:55:00Z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20110202</vt:lpwstr>
  </property>
  <property fmtid="{D5CDD505-2E9C-101B-9397-08002B2CF9AE}" pid="4" name="DocumentType">
    <vt:lpwstr>Reg</vt:lpwstr>
  </property>
  <property fmtid="{D5CDD505-2E9C-101B-9397-08002B2CF9AE}" pid="5" name="OwlsUID">
    <vt:i4>37658</vt:i4>
  </property>
  <property fmtid="{D5CDD505-2E9C-101B-9397-08002B2CF9AE}" pid="6" name="ReprintNo">
    <vt:lpwstr>1</vt:lpwstr>
  </property>
  <property fmtid="{D5CDD505-2E9C-101B-9397-08002B2CF9AE}" pid="7" name="ThisVersion">
    <vt:lpwstr>01-a0-00</vt:lpwstr>
  </property>
  <property fmtid="{D5CDD505-2E9C-101B-9397-08002B2CF9AE}" pid="8" name="AsAtDate">
    <vt:lpwstr>02 Feb 2011</vt:lpwstr>
  </property>
  <property fmtid="{D5CDD505-2E9C-101B-9397-08002B2CF9AE}" pid="9" name="Suffix">
    <vt:lpwstr>01-c0-07</vt:lpwstr>
  </property>
</Properties>
</file>